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01A6F" w14:textId="77777777" w:rsidR="00C25808" w:rsidRPr="00486896" w:rsidRDefault="00C25808" w:rsidP="00C25808">
      <w:p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6896">
        <w:rPr>
          <w:rFonts w:ascii="Times New Roman" w:hAnsi="Times New Roman" w:cs="Times New Roman"/>
          <w:b/>
          <w:bCs/>
          <w:sz w:val="28"/>
          <w:szCs w:val="28"/>
        </w:rPr>
        <w:t>Supplementary information</w:t>
      </w:r>
    </w:p>
    <w:p w14:paraId="2862FF40" w14:textId="77777777" w:rsidR="00C25808" w:rsidRDefault="00C25808" w:rsidP="00C258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7B7D">
        <w:rPr>
          <w:rFonts w:ascii="Times New Roman" w:hAnsi="Times New Roman" w:cs="Times New Roman"/>
          <w:b/>
          <w:bCs/>
          <w:sz w:val="24"/>
          <w:szCs w:val="24"/>
        </w:rPr>
        <w:t>Additional file 1: Table S1.</w:t>
      </w:r>
      <w:r w:rsidRPr="006C108B">
        <w:rPr>
          <w:rFonts w:ascii="Times New Roman" w:hAnsi="Times New Roman" w:cs="Times New Roman"/>
          <w:sz w:val="24"/>
          <w:szCs w:val="24"/>
        </w:rPr>
        <w:t xml:space="preserve"> Statistical analysis of parasitemia and parasite stage distribution following GBPS340 exposure in ring- and trophozoite-stage cultures.</w:t>
      </w:r>
    </w:p>
    <w:p w14:paraId="78E6F571" w14:textId="77777777" w:rsidR="00C25808" w:rsidRPr="008B6188" w:rsidRDefault="00C25808" w:rsidP="00C258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 2: Dataset S1</w:t>
      </w:r>
      <w:r w:rsidRPr="008B618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B6188">
        <w:rPr>
          <w:rFonts w:ascii="Times New Roman" w:hAnsi="Times New Roman" w:cs="Times New Roman"/>
          <w:sz w:val="24"/>
          <w:szCs w:val="24"/>
        </w:rPr>
        <w:t xml:space="preserve">RNA sequencing read counts and mapping statistics for </w:t>
      </w:r>
      <w:r w:rsidRPr="008B6188">
        <w:rPr>
          <w:rFonts w:ascii="Times New Roman" w:hAnsi="Times New Roman" w:cs="Times New Roman"/>
          <w:i/>
          <w:iCs/>
          <w:sz w:val="24"/>
          <w:szCs w:val="24"/>
        </w:rPr>
        <w:t>Plasmodium. falciparum</w:t>
      </w:r>
      <w:r w:rsidRPr="008B6188">
        <w:rPr>
          <w:rFonts w:ascii="Times New Roman" w:hAnsi="Times New Roman" w:cs="Times New Roman"/>
          <w:sz w:val="24"/>
          <w:szCs w:val="24"/>
        </w:rPr>
        <w:t xml:space="preserve"> cultures exposed to GBPS340 or DMSO control at the ring and trophozoite stages.</w:t>
      </w:r>
    </w:p>
    <w:p w14:paraId="4F62DCEC" w14:textId="77777777" w:rsidR="00C25808" w:rsidRDefault="00C25808" w:rsidP="00C258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 3: Dataset S2</w:t>
      </w:r>
      <w:r w:rsidRPr="008B618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1569A">
        <w:rPr>
          <w:rFonts w:ascii="Times New Roman" w:hAnsi="Times New Roman" w:cs="Times New Roman"/>
          <w:sz w:val="24"/>
          <w:szCs w:val="24"/>
        </w:rPr>
        <w:t>Comparative analysis of ring- and trophozoite-stage cultures at H0: significantly differentially expressed genes.</w:t>
      </w:r>
    </w:p>
    <w:p w14:paraId="1EC220BA" w14:textId="77777777" w:rsidR="00C25808" w:rsidRDefault="00C25808" w:rsidP="00C25808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 4: Dataset S3</w:t>
      </w:r>
      <w:r w:rsidRPr="008B6188">
        <w:rPr>
          <w:rFonts w:ascii="Times New Roman" w:hAnsi="Times New Roman" w:cs="Times New Roman"/>
          <w:sz w:val="24"/>
          <w:szCs w:val="24"/>
        </w:rPr>
        <w:t>.</w:t>
      </w:r>
      <w:r w:rsidRPr="005B5008">
        <w:rPr>
          <w:rFonts w:ascii="Times New Roman" w:hAnsi="Times New Roman" w:cs="Times New Roman"/>
          <w:sz w:val="24"/>
          <w:szCs w:val="24"/>
        </w:rPr>
        <w:t xml:space="preserve"> Differentially expressed genes in </w:t>
      </w:r>
      <w:r w:rsidRPr="005B5008">
        <w:rPr>
          <w:rFonts w:ascii="Times New Roman" w:hAnsi="Times New Roman" w:cs="Times New Roman"/>
          <w:i/>
          <w:iCs/>
          <w:sz w:val="24"/>
          <w:szCs w:val="24"/>
        </w:rPr>
        <w:t>Plasmodium falciparum</w:t>
      </w:r>
      <w:r>
        <w:rPr>
          <w:rFonts w:ascii="Times New Roman" w:hAnsi="Times New Roman" w:cs="Times New Roman"/>
          <w:sz w:val="24"/>
          <w:szCs w:val="24"/>
        </w:rPr>
        <w:t xml:space="preserve"> ring-stage cultures at H24 (sheet 1) and H48 (sheet 2) and in trophozoite-stage cultures at H24 (sheet 3) and H48 (sheet 4).</w:t>
      </w:r>
    </w:p>
    <w:p w14:paraId="186E54FE" w14:textId="77777777" w:rsidR="00C25808" w:rsidRPr="00887240" w:rsidRDefault="00C25808" w:rsidP="00C25808">
      <w:pPr>
        <w:spacing w:line="480" w:lineRule="auto"/>
        <w:ind w:right="-93"/>
        <w:jc w:val="both"/>
        <w:rPr>
          <w:rFonts w:ascii="Times New Roman" w:hAnsi="Times New Roman" w:cs="Times New Roman"/>
        </w:rPr>
      </w:pPr>
      <w:r w:rsidRPr="00E77B7D">
        <w:rPr>
          <w:rFonts w:ascii="Times New Roman" w:hAnsi="Times New Roman" w:cs="Times New Roman"/>
          <w:b/>
          <w:bCs/>
          <w:sz w:val="24"/>
          <w:szCs w:val="24"/>
        </w:rPr>
        <w:t xml:space="preserve">Additional file 5: </w:t>
      </w:r>
      <w:r w:rsidRPr="005B2CC7">
        <w:rPr>
          <w:rFonts w:ascii="Times New Roman" w:hAnsi="Times New Roman" w:cs="Times New Roman"/>
          <w:b/>
          <w:bCs/>
          <w:sz w:val="24"/>
          <w:szCs w:val="24"/>
        </w:rPr>
        <w:t>Table S2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B2C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B2CC7">
        <w:rPr>
          <w:rFonts w:ascii="Times New Roman" w:hAnsi="Times New Roman" w:cs="Times New Roman"/>
          <w:sz w:val="24"/>
          <w:szCs w:val="24"/>
        </w:rPr>
        <w:t xml:space="preserve">Enriched GO terms </w:t>
      </w:r>
      <w:r>
        <w:rPr>
          <w:rFonts w:ascii="Times New Roman" w:hAnsi="Times New Roman" w:cs="Times New Roman"/>
          <w:sz w:val="24"/>
          <w:szCs w:val="24"/>
        </w:rPr>
        <w:t xml:space="preserve">in ring-stage cultures </w:t>
      </w:r>
      <w:r w:rsidRPr="005B2CC7">
        <w:rPr>
          <w:rFonts w:ascii="Times New Roman" w:hAnsi="Times New Roman" w:cs="Times New Roman"/>
          <w:sz w:val="24"/>
          <w:szCs w:val="24"/>
        </w:rPr>
        <w:t>at H24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B2CC7">
        <w:rPr>
          <w:rFonts w:ascii="Times New Roman" w:hAnsi="Times New Roman" w:cs="Times New Roman"/>
          <w:sz w:val="24"/>
          <w:szCs w:val="24"/>
        </w:rPr>
        <w:t>including the number of annotated genes, DEGs, adjusted p-values, and GO identifiers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B2C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Pr="005B2CC7">
        <w:rPr>
          <w:rFonts w:ascii="Times New Roman" w:hAnsi="Times New Roman" w:cs="Times New Roman"/>
          <w:b/>
          <w:bCs/>
          <w:sz w:val="24"/>
          <w:szCs w:val="24"/>
        </w:rPr>
        <w:t>S3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5B2CC7">
        <w:rPr>
          <w:rFonts w:ascii="Times New Roman" w:hAnsi="Times New Roman" w:cs="Times New Roman"/>
          <w:sz w:val="24"/>
          <w:szCs w:val="24"/>
        </w:rPr>
        <w:t xml:space="preserve">Enriched GO terms </w:t>
      </w:r>
      <w:r>
        <w:rPr>
          <w:rFonts w:ascii="Times New Roman" w:hAnsi="Times New Roman" w:cs="Times New Roman"/>
          <w:sz w:val="24"/>
          <w:szCs w:val="24"/>
        </w:rPr>
        <w:t xml:space="preserve">in ring-stage cultures </w:t>
      </w:r>
      <w:r w:rsidRPr="005B2CC7">
        <w:rPr>
          <w:rFonts w:ascii="Times New Roman" w:hAnsi="Times New Roman" w:cs="Times New Roman"/>
          <w:sz w:val="24"/>
          <w:szCs w:val="24"/>
        </w:rPr>
        <w:t>at H48, including the number of annotated genes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B2CC7">
        <w:rPr>
          <w:rFonts w:ascii="Times New Roman" w:hAnsi="Times New Roman" w:cs="Times New Roman"/>
          <w:sz w:val="24"/>
          <w:szCs w:val="24"/>
        </w:rPr>
        <w:t>DEGs, adjusted p-values, and GO identifiers</w:t>
      </w:r>
      <w:r w:rsidRPr="00CF47D6">
        <w:rPr>
          <w:rFonts w:ascii="Times New Roman" w:hAnsi="Times New Roman" w:cs="Times New Roman"/>
          <w:sz w:val="24"/>
          <w:szCs w:val="24"/>
        </w:rPr>
        <w:t>.</w:t>
      </w:r>
      <w:r w:rsidRPr="00CF47D6">
        <w:rPr>
          <w:rFonts w:ascii="Times New Roman" w:hAnsi="Times New Roman" w:cs="Times New Roman"/>
          <w:b/>
          <w:bCs/>
          <w:sz w:val="24"/>
          <w:szCs w:val="24"/>
        </w:rPr>
        <w:t xml:space="preserve"> Fig. S1.</w:t>
      </w:r>
      <w:r w:rsidRPr="00CF47D6">
        <w:rPr>
          <w:rFonts w:ascii="Times New Roman" w:hAnsi="Times New Roman" w:cs="Times New Roman"/>
          <w:sz w:val="24"/>
          <w:szCs w:val="24"/>
        </w:rPr>
        <w:t xml:space="preserve"> Significantly enriched GO terms GBPS340-treated </w:t>
      </w:r>
      <w:r w:rsidRPr="00F878CC">
        <w:rPr>
          <w:rFonts w:ascii="Times New Roman" w:hAnsi="Times New Roman" w:cs="Times New Roman"/>
          <w:i/>
          <w:iCs/>
          <w:sz w:val="24"/>
          <w:szCs w:val="24"/>
        </w:rPr>
        <w:t>vs.</w:t>
      </w:r>
      <w:r w:rsidRPr="00CF47D6">
        <w:rPr>
          <w:rFonts w:ascii="Times New Roman" w:hAnsi="Times New Roman" w:cs="Times New Roman"/>
          <w:sz w:val="24"/>
          <w:szCs w:val="24"/>
        </w:rPr>
        <w:t xml:space="preserve"> untreated ring-stage cultures</w:t>
      </w:r>
      <w:r w:rsidRPr="00F878CC">
        <w:rPr>
          <w:rFonts w:ascii="Times New Roman" w:hAnsi="Times New Roman" w:cs="Times New Roman"/>
          <w:sz w:val="24"/>
          <w:szCs w:val="24"/>
        </w:rPr>
        <w:t xml:space="preserve">. </w:t>
      </w:r>
      <w:r w:rsidRPr="00F878CC">
        <w:rPr>
          <w:rFonts w:ascii="Times New Roman" w:hAnsi="Times New Roman" w:cs="Times New Roman"/>
          <w:b/>
          <w:bCs/>
          <w:sz w:val="24"/>
          <w:szCs w:val="24"/>
        </w:rPr>
        <w:t>Table S4.</w:t>
      </w:r>
      <w:r w:rsidRPr="00F878CC">
        <w:rPr>
          <w:rFonts w:ascii="Times New Roman" w:hAnsi="Times New Roman" w:cs="Times New Roman"/>
          <w:sz w:val="24"/>
          <w:szCs w:val="24"/>
        </w:rPr>
        <w:t xml:space="preserve"> </w:t>
      </w:r>
      <w:r w:rsidRPr="002B2845">
        <w:rPr>
          <w:rFonts w:ascii="Times New Roman" w:hAnsi="Times New Roman" w:cs="Times New Roman"/>
          <w:color w:val="000000" w:themeColor="text1"/>
        </w:rPr>
        <w:t>Differentially expressed genes in the GO term "Inner membrane pellicle complex" (GO:0070258) at H24</w:t>
      </w:r>
      <w:r>
        <w:rPr>
          <w:rFonts w:ascii="Times New Roman" w:hAnsi="Times New Roman" w:cs="Times New Roman"/>
          <w:color w:val="000000" w:themeColor="text1"/>
        </w:rPr>
        <w:t xml:space="preserve">. </w:t>
      </w:r>
      <w:r w:rsidRPr="00F878CC">
        <w:rPr>
          <w:rFonts w:ascii="Times New Roman" w:hAnsi="Times New Roman" w:cs="Times New Roman"/>
          <w:b/>
          <w:bCs/>
          <w:sz w:val="24"/>
          <w:szCs w:val="24"/>
        </w:rPr>
        <w:t>Table S5.</w:t>
      </w:r>
      <w:r w:rsidRPr="00F878CC">
        <w:rPr>
          <w:rFonts w:ascii="Times New Roman" w:hAnsi="Times New Roman" w:cs="Times New Roman"/>
          <w:sz w:val="24"/>
          <w:szCs w:val="24"/>
        </w:rPr>
        <w:t xml:space="preserve"> </w:t>
      </w:r>
      <w:r w:rsidRPr="00F878CC">
        <w:rPr>
          <w:rFonts w:ascii="Times New Roman" w:hAnsi="Times New Roman" w:cs="Times New Roman"/>
          <w:color w:val="000000" w:themeColor="text1"/>
        </w:rPr>
        <w:t>Differentially</w:t>
      </w:r>
      <w:r w:rsidRPr="002B2845">
        <w:rPr>
          <w:rFonts w:ascii="Times New Roman" w:hAnsi="Times New Roman" w:cs="Times New Roman"/>
          <w:color w:val="000000" w:themeColor="text1"/>
        </w:rPr>
        <w:t xml:space="preserve"> expressed genes in the GO term "</w:t>
      </w:r>
      <w:r>
        <w:rPr>
          <w:rFonts w:ascii="Times New Roman" w:hAnsi="Times New Roman" w:cs="Times New Roman"/>
          <w:color w:val="000000" w:themeColor="text1"/>
        </w:rPr>
        <w:t>Host cell</w:t>
      </w:r>
      <w:r w:rsidRPr="002B2845">
        <w:rPr>
          <w:rFonts w:ascii="Times New Roman" w:hAnsi="Times New Roman" w:cs="Times New Roman"/>
          <w:color w:val="000000" w:themeColor="text1"/>
        </w:rPr>
        <w:t>" (GO:000043657) at H24</w:t>
      </w:r>
      <w:r w:rsidRPr="00F878CC">
        <w:rPr>
          <w:rFonts w:ascii="Times New Roman" w:hAnsi="Times New Roman" w:cs="Times New Roman"/>
          <w:color w:val="000000" w:themeColor="text1"/>
        </w:rPr>
        <w:t xml:space="preserve">. </w:t>
      </w:r>
      <w:r w:rsidRPr="00F878CC">
        <w:rPr>
          <w:rFonts w:ascii="Times New Roman" w:hAnsi="Times New Roman" w:cs="Times New Roman"/>
          <w:b/>
          <w:bCs/>
          <w:sz w:val="24"/>
          <w:szCs w:val="24"/>
        </w:rPr>
        <w:t>Table S6.</w:t>
      </w:r>
      <w:r w:rsidRPr="00F878CC">
        <w:rPr>
          <w:rFonts w:ascii="Times New Roman" w:hAnsi="Times New Roman" w:cs="Times New Roman"/>
          <w:sz w:val="24"/>
          <w:szCs w:val="24"/>
        </w:rPr>
        <w:t xml:space="preserve"> </w:t>
      </w:r>
      <w:r w:rsidRPr="00F878CC">
        <w:rPr>
          <w:rFonts w:ascii="Times New Roman" w:hAnsi="Times New Roman" w:cs="Times New Roman"/>
          <w:color w:val="000000" w:themeColor="text1"/>
        </w:rPr>
        <w:t>Differentially</w:t>
      </w:r>
      <w:r w:rsidRPr="002B2845">
        <w:rPr>
          <w:rFonts w:ascii="Times New Roman" w:hAnsi="Times New Roman" w:cs="Times New Roman"/>
          <w:color w:val="000000" w:themeColor="text1"/>
        </w:rPr>
        <w:t xml:space="preserve"> expressed genes in the GO term "Inner membrane pellicle complex" (GO:0070258) at H</w:t>
      </w:r>
      <w:r>
        <w:rPr>
          <w:rFonts w:ascii="Times New Roman" w:hAnsi="Times New Roman" w:cs="Times New Roman"/>
          <w:color w:val="000000" w:themeColor="text1"/>
        </w:rPr>
        <w:t xml:space="preserve">48. </w:t>
      </w:r>
      <w:r w:rsidRPr="00F878CC">
        <w:rPr>
          <w:rFonts w:ascii="Times New Roman" w:hAnsi="Times New Roman" w:cs="Times New Roman"/>
          <w:b/>
          <w:bCs/>
          <w:sz w:val="24"/>
          <w:szCs w:val="24"/>
        </w:rPr>
        <w:t>Table S7.</w:t>
      </w:r>
      <w:r w:rsidRPr="00F878CC">
        <w:rPr>
          <w:rFonts w:ascii="Times New Roman" w:hAnsi="Times New Roman" w:cs="Times New Roman"/>
          <w:sz w:val="24"/>
          <w:szCs w:val="24"/>
        </w:rPr>
        <w:t xml:space="preserve"> </w:t>
      </w:r>
      <w:r w:rsidRPr="00C01657">
        <w:rPr>
          <w:rFonts w:ascii="Times New Roman" w:hAnsi="Times New Roman" w:cs="Times New Roman"/>
        </w:rPr>
        <w:t>Differentially expressed genes in the GO term "Cell surface" (GO:</w:t>
      </w:r>
      <w:r w:rsidRPr="00C01657">
        <w:t xml:space="preserve"> </w:t>
      </w:r>
      <w:r w:rsidRPr="00C01657">
        <w:rPr>
          <w:rFonts w:ascii="Times New Roman" w:hAnsi="Times New Roman" w:cs="Times New Roman"/>
        </w:rPr>
        <w:t>0009986) at H48</w:t>
      </w:r>
      <w:r>
        <w:rPr>
          <w:rFonts w:ascii="Times New Roman" w:hAnsi="Times New Roman" w:cs="Times New Roman"/>
        </w:rPr>
        <w:t xml:space="preserve">. </w:t>
      </w:r>
      <w:r w:rsidRPr="00F878CC">
        <w:rPr>
          <w:rFonts w:ascii="Times New Roman" w:hAnsi="Times New Roman" w:cs="Times New Roman"/>
          <w:b/>
          <w:bCs/>
          <w:sz w:val="24"/>
          <w:szCs w:val="24"/>
        </w:rPr>
        <w:t>Table S8.</w:t>
      </w:r>
      <w:r w:rsidRPr="00F878CC">
        <w:rPr>
          <w:rFonts w:ascii="Times New Roman" w:hAnsi="Times New Roman" w:cs="Times New Roman"/>
          <w:sz w:val="24"/>
          <w:szCs w:val="24"/>
        </w:rPr>
        <w:t xml:space="preserve"> </w:t>
      </w:r>
      <w:r w:rsidRPr="002B2845">
        <w:rPr>
          <w:rFonts w:ascii="Times New Roman" w:hAnsi="Times New Roman" w:cs="Times New Roman"/>
          <w:color w:val="000000" w:themeColor="text1"/>
        </w:rPr>
        <w:t>Differentially expressed genes in the GO term "</w:t>
      </w:r>
      <w:r>
        <w:rPr>
          <w:rFonts w:ascii="Times New Roman" w:hAnsi="Times New Roman" w:cs="Times New Roman"/>
          <w:color w:val="000000" w:themeColor="text1"/>
        </w:rPr>
        <w:t>Entry into host</w:t>
      </w:r>
      <w:r w:rsidRPr="002B2845">
        <w:rPr>
          <w:rFonts w:ascii="Times New Roman" w:hAnsi="Times New Roman" w:cs="Times New Roman"/>
          <w:color w:val="000000" w:themeColor="text1"/>
        </w:rPr>
        <w:t>" (GO:</w:t>
      </w:r>
      <w:r w:rsidRPr="002B2845">
        <w:t xml:space="preserve"> </w:t>
      </w:r>
      <w:r w:rsidRPr="002B2845">
        <w:rPr>
          <w:rFonts w:ascii="Times New Roman" w:hAnsi="Times New Roman" w:cs="Times New Roman"/>
          <w:color w:val="000000" w:themeColor="text1"/>
        </w:rPr>
        <w:t>0044409) at H</w:t>
      </w:r>
      <w:r>
        <w:rPr>
          <w:rFonts w:ascii="Times New Roman" w:hAnsi="Times New Roman" w:cs="Times New Roman"/>
          <w:color w:val="000000" w:themeColor="text1"/>
        </w:rPr>
        <w:t xml:space="preserve">48. </w:t>
      </w:r>
      <w:r w:rsidRPr="00A36ECA">
        <w:rPr>
          <w:rFonts w:ascii="Times New Roman" w:hAnsi="Times New Roman" w:cs="Times New Roman"/>
          <w:b/>
          <w:bCs/>
          <w:sz w:val="24"/>
          <w:szCs w:val="28"/>
        </w:rPr>
        <w:t>Fig</w:t>
      </w:r>
      <w:r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Pr="00A36ECA">
        <w:rPr>
          <w:rFonts w:ascii="Times New Roman" w:hAnsi="Times New Roman" w:cs="Times New Roman"/>
          <w:b/>
          <w:bCs/>
          <w:sz w:val="24"/>
          <w:szCs w:val="28"/>
        </w:rPr>
        <w:t xml:space="preserve"> S2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. </w:t>
      </w:r>
      <w:r w:rsidRPr="00837FC1">
        <w:rPr>
          <w:rFonts w:ascii="Times New Roman" w:hAnsi="Times New Roman" w:cs="Times New Roman"/>
          <w:sz w:val="24"/>
          <w:szCs w:val="28"/>
        </w:rPr>
        <w:t xml:space="preserve">Glideosome / inner membrane complex gene expression (log2FC, GBPS340 </w:t>
      </w:r>
      <w:r w:rsidRPr="00837FC1">
        <w:rPr>
          <w:rFonts w:ascii="Times New Roman" w:hAnsi="Times New Roman" w:cs="Times New Roman"/>
          <w:i/>
          <w:iCs/>
          <w:sz w:val="24"/>
          <w:szCs w:val="28"/>
        </w:rPr>
        <w:t>vs.</w:t>
      </w:r>
      <w:r w:rsidRPr="00837FC1">
        <w:rPr>
          <w:rFonts w:ascii="Times New Roman" w:hAnsi="Times New Roman" w:cs="Times New Roman"/>
          <w:sz w:val="24"/>
          <w:szCs w:val="28"/>
        </w:rPr>
        <w:t xml:space="preserve"> control)</w:t>
      </w:r>
      <w:r>
        <w:rPr>
          <w:rFonts w:ascii="Times New Roman" w:hAnsi="Times New Roman" w:cs="Times New Roman"/>
          <w:sz w:val="24"/>
          <w:szCs w:val="28"/>
        </w:rPr>
        <w:t xml:space="preserve">. </w:t>
      </w:r>
      <w:r w:rsidRPr="00E020D7">
        <w:rPr>
          <w:rFonts w:ascii="Times New Roman" w:hAnsi="Times New Roman" w:cs="Times New Roman"/>
          <w:b/>
          <w:bCs/>
          <w:sz w:val="24"/>
          <w:szCs w:val="24"/>
        </w:rPr>
        <w:t>Fig. S3.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Invasion and motility genes repressed at H48 (GO:004409, “entry into host”). </w:t>
      </w:r>
      <w:r w:rsidRPr="00E020D7">
        <w:rPr>
          <w:rFonts w:ascii="Times New Roman" w:hAnsi="Times New Roman" w:cs="Times New Roman"/>
          <w:b/>
          <w:bCs/>
          <w:sz w:val="24"/>
          <w:szCs w:val="24"/>
        </w:rPr>
        <w:t>Fig. S4.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Exported and surface antigens upregulated in GBPS340-treated cultures.</w:t>
      </w:r>
    </w:p>
    <w:p w14:paraId="5BBF4A72" w14:textId="77777777" w:rsidR="00C25808" w:rsidRDefault="00C25808" w:rsidP="00C258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Additional file 6: Table S9. </w:t>
      </w:r>
      <w:r w:rsidRPr="0086450E">
        <w:rPr>
          <w:rFonts w:ascii="Times New Roman" w:hAnsi="Times New Roman" w:cs="Times New Roman"/>
          <w:sz w:val="24"/>
          <w:szCs w:val="24"/>
        </w:rPr>
        <w:t xml:space="preserve">Differential expression of genes associated with hemoglobin catabolism and heme detoxification in </w:t>
      </w:r>
      <w:r w:rsidRPr="0086450E">
        <w:rPr>
          <w:rFonts w:ascii="Times New Roman" w:hAnsi="Times New Roman" w:cs="Times New Roman"/>
          <w:i/>
          <w:iCs/>
          <w:sz w:val="24"/>
          <w:szCs w:val="24"/>
        </w:rPr>
        <w:t>Plasmodium falciparum</w:t>
      </w:r>
      <w:r w:rsidRPr="0086450E">
        <w:rPr>
          <w:rFonts w:ascii="Times New Roman" w:hAnsi="Times New Roman" w:cs="Times New Roman"/>
          <w:sz w:val="24"/>
          <w:szCs w:val="24"/>
        </w:rPr>
        <w:t xml:space="preserve"> 3D7 ring- and trophozoite-stage cultures following GBPS340 exposure. The table reports p</w:t>
      </w:r>
      <w:r>
        <w:rPr>
          <w:rFonts w:ascii="Times New Roman" w:eastAsia="Aptos" w:hAnsi="Times New Roman" w:cs="Times New Roman"/>
          <w:sz w:val="24"/>
          <w:szCs w:val="24"/>
        </w:rPr>
        <w:t xml:space="preserve"> </w:t>
      </w:r>
      <w:r w:rsidRPr="0086450E">
        <w:rPr>
          <w:rFonts w:ascii="Times New Roman" w:hAnsi="Times New Roman" w:cs="Times New Roman"/>
          <w:sz w:val="24"/>
          <w:szCs w:val="24"/>
        </w:rPr>
        <w:t>values and log2</w:t>
      </w:r>
      <w:r>
        <w:rPr>
          <w:rFonts w:ascii="Times New Roman" w:eastAsia="Aptos" w:hAnsi="Times New Roman" w:cs="Times New Roman"/>
          <w:sz w:val="24"/>
          <w:szCs w:val="24"/>
        </w:rPr>
        <w:t>-</w:t>
      </w:r>
      <w:r w:rsidRPr="0086450E">
        <w:rPr>
          <w:rFonts w:ascii="Times New Roman" w:hAnsi="Times New Roman" w:cs="Times New Roman"/>
          <w:sz w:val="24"/>
          <w:szCs w:val="24"/>
        </w:rPr>
        <w:t>fold changes for each gene at H24 and H48 compared with the corresponding untreated controls.</w:t>
      </w:r>
    </w:p>
    <w:p w14:paraId="03F9F849" w14:textId="77777777" w:rsidR="00EB4A2D" w:rsidRDefault="00EB4A2D"/>
    <w:sectPr w:rsidR="00EB4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808"/>
    <w:rsid w:val="001D3053"/>
    <w:rsid w:val="001E3A92"/>
    <w:rsid w:val="00217E67"/>
    <w:rsid w:val="002C7D54"/>
    <w:rsid w:val="0033371E"/>
    <w:rsid w:val="005C0D39"/>
    <w:rsid w:val="0070406C"/>
    <w:rsid w:val="00724754"/>
    <w:rsid w:val="007B36B1"/>
    <w:rsid w:val="00BE3658"/>
    <w:rsid w:val="00C25808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69226"/>
  <w15:chartTrackingRefBased/>
  <w15:docId w15:val="{7D1BFDF9-EFC6-47F7-9EB0-38B2FE6B7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5808"/>
    <w:pPr>
      <w:spacing w:line="259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58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580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580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580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580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580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580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580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580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58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58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58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58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58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58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58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58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58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58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C25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580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C25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5808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C258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5808"/>
    <w:pPr>
      <w:spacing w:line="278" w:lineRule="auto"/>
      <w:ind w:left="720"/>
      <w:contextualSpacing/>
    </w:pPr>
    <w:rPr>
      <w:sz w:val="24"/>
      <w:szCs w:val="24"/>
      <w:lang w:val="en-IN"/>
    </w:rPr>
  </w:style>
  <w:style w:type="character" w:styleId="IntenseEmphasis">
    <w:name w:val="Intense Emphasis"/>
    <w:basedOn w:val="DefaultParagraphFont"/>
    <w:uiPriority w:val="21"/>
    <w:qFormat/>
    <w:rsid w:val="00C258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8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8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58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2026-10-13T10:32:00Z</dcterms:created>
  <dcterms:modified xsi:type="dcterms:W3CDTF">2026-10-13T10:32:00Z</dcterms:modified>
</cp:coreProperties>
</file>