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16E2F" w14:textId="77777777" w:rsidR="00A378D8" w:rsidRDefault="00A378D8" w:rsidP="00A378D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5A6126F" wp14:editId="4DA67674">
            <wp:extent cx="5760720" cy="322262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CC0FE" w14:textId="77777777" w:rsidR="00A378D8" w:rsidRDefault="00A378D8" w:rsidP="00A378D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C4816C" w14:textId="77777777" w:rsidR="00A378D8" w:rsidRPr="009B7930" w:rsidRDefault="00A378D8" w:rsidP="00A378D8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77483E">
        <w:rPr>
          <w:rFonts w:ascii="Times New Roman" w:hAnsi="Times New Roman" w:cs="Times New Roman"/>
          <w:b/>
          <w:sz w:val="24"/>
          <w:lang w:val="en-US"/>
        </w:rPr>
        <w:t>Fig. S1.</w:t>
      </w:r>
      <w:r w:rsidRPr="0077483E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lang w:val="en-GB"/>
        </w:rPr>
        <w:t>Flow cytometry g</w:t>
      </w:r>
      <w:r w:rsidRPr="0089338A">
        <w:rPr>
          <w:rFonts w:ascii="Times New Roman" w:hAnsi="Times New Roman" w:cs="Times New Roman"/>
          <w:b/>
          <w:bCs/>
          <w:sz w:val="24"/>
          <w:lang w:val="en-GB"/>
        </w:rPr>
        <w:t xml:space="preserve">ating strategy </w:t>
      </w:r>
      <w:r>
        <w:rPr>
          <w:rFonts w:ascii="Times New Roman" w:hAnsi="Times New Roman" w:cs="Times New Roman"/>
          <w:b/>
          <w:bCs/>
          <w:sz w:val="24"/>
          <w:lang w:val="en-GB"/>
        </w:rPr>
        <w:t>and late CD8</w:t>
      </w:r>
      <w:r w:rsidRPr="00180570">
        <w:rPr>
          <w:rFonts w:ascii="Times New Roman" w:hAnsi="Times New Roman" w:cs="Times New Roman"/>
          <w:b/>
          <w:bCs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b/>
          <w:bCs/>
          <w:sz w:val="24"/>
          <w:lang w:val="en-GB"/>
        </w:rPr>
        <w:t xml:space="preserve"> T-cell infiltration across tumor models. 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Example of gating strategy </w:t>
      </w:r>
      <w:r>
        <w:rPr>
          <w:rFonts w:ascii="Times New Roman" w:hAnsi="Times New Roman" w:cs="Times New Roman"/>
          <w:sz w:val="24"/>
          <w:lang w:val="en-GB"/>
        </w:rPr>
        <w:t>from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a </w:t>
      </w:r>
      <w:r w:rsidRPr="00180570">
        <w:rPr>
          <w:rFonts w:ascii="Times New Roman" w:hAnsi="Times New Roman" w:cs="Times New Roman"/>
          <w:sz w:val="24"/>
          <w:lang w:val="en-GB"/>
        </w:rPr>
        <w:t xml:space="preserve">day (D)10 </w:t>
      </w:r>
      <w:r>
        <w:rPr>
          <w:rFonts w:ascii="Times New Roman" w:hAnsi="Times New Roman" w:cs="Times New Roman"/>
          <w:sz w:val="24"/>
          <w:lang w:val="en-GB"/>
        </w:rPr>
        <w:t xml:space="preserve">subcutaneous (SC) CT26 tumor dissociated from a Balb/c </w:t>
      </w:r>
      <w:r w:rsidRPr="00FC3A79">
        <w:rPr>
          <w:rFonts w:ascii="Times New Roman" w:hAnsi="Times New Roman" w:cs="Times New Roman"/>
          <w:sz w:val="24"/>
          <w:lang w:val="en-GB"/>
        </w:rPr>
        <w:t>m</w:t>
      </w:r>
      <w:r>
        <w:rPr>
          <w:rFonts w:ascii="Times New Roman" w:hAnsi="Times New Roman" w:cs="Times New Roman"/>
          <w:sz w:val="24"/>
          <w:lang w:val="en-GB"/>
        </w:rPr>
        <w:t>ouse</w:t>
      </w:r>
      <w:r w:rsidRPr="0089338A">
        <w:rPr>
          <w:rFonts w:ascii="Times New Roman" w:hAnsi="Times New Roman" w:cs="Times New Roman"/>
          <w:sz w:val="24"/>
          <w:lang w:val="en-GB"/>
        </w:rPr>
        <w:t>. (</w:t>
      </w:r>
      <w:r>
        <w:rPr>
          <w:rFonts w:ascii="Times New Roman" w:hAnsi="Times New Roman" w:cs="Times New Roman"/>
          <w:b/>
          <w:sz w:val="24"/>
          <w:lang w:val="en-GB"/>
        </w:rPr>
        <w:t>a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) All </w:t>
      </w:r>
      <w:r>
        <w:rPr>
          <w:rFonts w:ascii="Times New Roman" w:hAnsi="Times New Roman" w:cs="Times New Roman"/>
          <w:sz w:val="24"/>
          <w:lang w:val="en-GB"/>
        </w:rPr>
        <w:t>populations were gated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on live CD45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leukocytes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. Gating </w:t>
      </w:r>
      <w:r>
        <w:rPr>
          <w:rFonts w:ascii="Times New Roman" w:hAnsi="Times New Roman" w:cs="Times New Roman"/>
          <w:sz w:val="24"/>
          <w:lang w:val="en-GB"/>
        </w:rPr>
        <w:t>of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(</w:t>
      </w:r>
      <w:r>
        <w:rPr>
          <w:rFonts w:ascii="Times New Roman" w:hAnsi="Times New Roman" w:cs="Times New Roman"/>
          <w:b/>
          <w:sz w:val="24"/>
          <w:lang w:val="en-GB"/>
        </w:rPr>
        <w:t>b</w:t>
      </w:r>
      <w:r>
        <w:rPr>
          <w:rFonts w:ascii="Times New Roman" w:hAnsi="Times New Roman" w:cs="Times New Roman"/>
          <w:sz w:val="24"/>
          <w:lang w:val="en-GB"/>
        </w:rPr>
        <w:t xml:space="preserve">) </w:t>
      </w:r>
      <w:r w:rsidRPr="0089338A">
        <w:rPr>
          <w:rFonts w:ascii="Times New Roman" w:hAnsi="Times New Roman" w:cs="Times New Roman"/>
          <w:sz w:val="24"/>
          <w:lang w:val="en-GB"/>
        </w:rPr>
        <w:t>CD8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 T cells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and CD4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conventional (</w:t>
      </w:r>
      <w:r>
        <w:rPr>
          <w:rFonts w:ascii="Times New Roman" w:hAnsi="Times New Roman" w:cs="Times New Roman"/>
          <w:sz w:val="24"/>
          <w:lang w:val="en-GB"/>
        </w:rPr>
        <w:t xml:space="preserve">T </w:t>
      </w:r>
      <w:r w:rsidRPr="0089338A">
        <w:rPr>
          <w:rFonts w:ascii="Times New Roman" w:hAnsi="Times New Roman" w:cs="Times New Roman"/>
          <w:sz w:val="24"/>
          <w:lang w:val="en-GB"/>
        </w:rPr>
        <w:t>conv</w:t>
      </w:r>
      <w:r>
        <w:rPr>
          <w:rFonts w:ascii="Times New Roman" w:hAnsi="Times New Roman" w:cs="Times New Roman"/>
          <w:sz w:val="24"/>
          <w:lang w:val="en-GB"/>
        </w:rPr>
        <w:t>; CD25</w:t>
      </w:r>
      <w:r w:rsidRPr="00950736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950736">
        <w:rPr>
          <w:rFonts w:ascii="Times New Roman" w:hAnsi="Times New Roman" w:cs="Times New Roman"/>
          <w:sz w:val="24"/>
          <w:lang w:val="en-GB"/>
        </w:rPr>
        <w:t>/</w:t>
      </w:r>
      <w:r>
        <w:rPr>
          <w:rFonts w:ascii="Times New Roman" w:hAnsi="Times New Roman" w:cs="Times New Roman"/>
          <w:sz w:val="24"/>
          <w:lang w:val="en-GB"/>
        </w:rPr>
        <w:t>FOXP3</w:t>
      </w:r>
      <w:r w:rsidRPr="00950736">
        <w:rPr>
          <w:rFonts w:ascii="Times New Roman" w:hAnsi="Times New Roman" w:cs="Times New Roman"/>
          <w:sz w:val="24"/>
          <w:vertAlign w:val="superscript"/>
          <w:lang w:val="en-GB"/>
        </w:rPr>
        <w:t>-</w:t>
      </w:r>
      <w:r w:rsidRPr="0089338A">
        <w:rPr>
          <w:rFonts w:ascii="Times New Roman" w:hAnsi="Times New Roman" w:cs="Times New Roman"/>
          <w:sz w:val="24"/>
          <w:lang w:val="en-GB"/>
        </w:rPr>
        <w:t>) and regulatory (</w:t>
      </w:r>
      <w:r>
        <w:rPr>
          <w:rFonts w:ascii="Times New Roman" w:hAnsi="Times New Roman" w:cs="Times New Roman"/>
          <w:sz w:val="24"/>
          <w:lang w:val="en-GB"/>
        </w:rPr>
        <w:t>T reg;</w:t>
      </w:r>
      <w:r w:rsidRPr="00950736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CD25</w:t>
      </w:r>
      <w:r w:rsidRPr="00950736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950736">
        <w:rPr>
          <w:rFonts w:ascii="Times New Roman" w:hAnsi="Times New Roman" w:cs="Times New Roman"/>
          <w:sz w:val="24"/>
          <w:lang w:val="en-GB"/>
        </w:rPr>
        <w:t>/</w:t>
      </w:r>
      <w:r>
        <w:rPr>
          <w:rFonts w:ascii="Times New Roman" w:hAnsi="Times New Roman" w:cs="Times New Roman"/>
          <w:sz w:val="24"/>
          <w:lang w:val="en-GB"/>
        </w:rPr>
        <w:t>FOXP3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) T cells, </w:t>
      </w:r>
      <w:r w:rsidRPr="0089338A">
        <w:rPr>
          <w:rFonts w:ascii="Times New Roman" w:hAnsi="Times New Roman" w:cs="Times New Roman"/>
          <w:sz w:val="24"/>
          <w:lang w:val="en-GB"/>
        </w:rPr>
        <w:t>(</w:t>
      </w:r>
      <w:r>
        <w:rPr>
          <w:rFonts w:ascii="Times New Roman" w:hAnsi="Times New Roman" w:cs="Times New Roman"/>
          <w:b/>
          <w:bCs/>
          <w:sz w:val="24"/>
          <w:lang w:val="en-GB"/>
        </w:rPr>
        <w:t>c</w:t>
      </w:r>
      <w:r w:rsidRPr="0089338A">
        <w:rPr>
          <w:rFonts w:ascii="Times New Roman" w:hAnsi="Times New Roman" w:cs="Times New Roman"/>
          <w:sz w:val="24"/>
          <w:lang w:val="en-GB"/>
        </w:rPr>
        <w:t>) macrophages (F4/80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89338A">
        <w:rPr>
          <w:rFonts w:ascii="Times New Roman" w:hAnsi="Times New Roman" w:cs="Times New Roman"/>
          <w:sz w:val="24"/>
          <w:lang w:val="en-GB"/>
        </w:rPr>
        <w:t>/CD11b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), </w:t>
      </w:r>
      <w:r w:rsidRPr="0089338A">
        <w:rPr>
          <w:rFonts w:ascii="Times New Roman" w:hAnsi="Times New Roman" w:cs="Times New Roman"/>
          <w:sz w:val="24"/>
          <w:lang w:val="en-GB"/>
        </w:rPr>
        <w:t>dendritic cells (DC; F4/80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-</w:t>
      </w:r>
      <w:r w:rsidRPr="0089338A">
        <w:rPr>
          <w:rFonts w:ascii="Times New Roman" w:hAnsi="Times New Roman" w:cs="Times New Roman"/>
          <w:sz w:val="24"/>
          <w:lang w:val="en-GB"/>
        </w:rPr>
        <w:t>/CD11b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-</w:t>
      </w:r>
      <w:r w:rsidRPr="0089338A">
        <w:rPr>
          <w:rFonts w:ascii="Times New Roman" w:hAnsi="Times New Roman" w:cs="Times New Roman"/>
          <w:sz w:val="24"/>
          <w:lang w:val="en-GB"/>
        </w:rPr>
        <w:t>/CD11c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) </w:t>
      </w:r>
      <w:r>
        <w:rPr>
          <w:rFonts w:ascii="Times New Roman" w:hAnsi="Times New Roman" w:cs="Times New Roman"/>
          <w:sz w:val="24"/>
          <w:lang w:val="en-GB"/>
        </w:rPr>
        <w:t xml:space="preserve">and </w:t>
      </w:r>
      <w:r w:rsidRPr="0089338A">
        <w:rPr>
          <w:rFonts w:ascii="Times New Roman" w:hAnsi="Times New Roman" w:cs="Times New Roman"/>
          <w:sz w:val="24"/>
          <w:lang w:val="en-GB"/>
        </w:rPr>
        <w:t>myeloid-derived suppressive cells (MDSC; Gr1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 w:rsidRPr="0089338A">
        <w:rPr>
          <w:rFonts w:ascii="Times New Roman" w:hAnsi="Times New Roman" w:cs="Times New Roman"/>
          <w:sz w:val="24"/>
          <w:lang w:val="en-GB"/>
        </w:rPr>
        <w:t>/CD11b</w:t>
      </w:r>
      <w:r w:rsidRPr="0089338A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) and </w:t>
      </w:r>
      <w:r w:rsidRPr="0089338A">
        <w:rPr>
          <w:rFonts w:ascii="Times New Roman" w:hAnsi="Times New Roman" w:cs="Times New Roman"/>
          <w:sz w:val="24"/>
          <w:lang w:val="en-GB"/>
        </w:rPr>
        <w:t>(</w:t>
      </w:r>
      <w:r>
        <w:rPr>
          <w:rFonts w:ascii="Times New Roman" w:hAnsi="Times New Roman" w:cs="Times New Roman"/>
          <w:b/>
          <w:bCs/>
          <w:sz w:val="24"/>
          <w:lang w:val="en-GB"/>
        </w:rPr>
        <w:t>d</w:t>
      </w:r>
      <w:r w:rsidRPr="0089338A">
        <w:rPr>
          <w:rFonts w:ascii="Times New Roman" w:hAnsi="Times New Roman" w:cs="Times New Roman"/>
          <w:bCs/>
          <w:sz w:val="24"/>
          <w:lang w:val="en-GB"/>
        </w:rPr>
        <w:t>)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gating of CD8</w:t>
      </w:r>
      <w:r w:rsidRPr="00150DC8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 T cell exhausted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subpopulations based on the expression of</w:t>
      </w:r>
      <w:r>
        <w:rPr>
          <w:rFonts w:ascii="Times New Roman" w:hAnsi="Times New Roman" w:cs="Times New Roman"/>
          <w:sz w:val="24"/>
          <w:lang w:val="en-GB"/>
        </w:rPr>
        <w:t xml:space="preserve"> the four immune checkpoints:</w:t>
      </w:r>
      <w:r w:rsidRPr="0089338A">
        <w:rPr>
          <w:rFonts w:ascii="Times New Roman" w:hAnsi="Times New Roman" w:cs="Times New Roman"/>
          <w:sz w:val="24"/>
          <w:lang w:val="en-GB"/>
        </w:rPr>
        <w:t xml:space="preserve"> PD-1, TIGIT, TIM-3, CTLA-4</w:t>
      </w:r>
      <w:r>
        <w:rPr>
          <w:rFonts w:ascii="Times New Roman" w:hAnsi="Times New Roman" w:cs="Times New Roman"/>
          <w:sz w:val="24"/>
          <w:lang w:val="en-GB"/>
        </w:rPr>
        <w:t xml:space="preserve"> (QP = quadruple positive)</w:t>
      </w:r>
      <w:r w:rsidRPr="0089338A">
        <w:rPr>
          <w:rFonts w:ascii="Times New Roman" w:hAnsi="Times New Roman" w:cs="Times New Roman"/>
          <w:sz w:val="24"/>
          <w:lang w:val="en-GB"/>
        </w:rPr>
        <w:t>.</w:t>
      </w:r>
      <w:r>
        <w:rPr>
          <w:rFonts w:ascii="Times New Roman" w:hAnsi="Times New Roman" w:cs="Times New Roman"/>
          <w:sz w:val="24"/>
          <w:lang w:val="en-GB"/>
        </w:rPr>
        <w:t xml:space="preserve"> (</w:t>
      </w:r>
      <w:r>
        <w:rPr>
          <w:rFonts w:ascii="Times New Roman" w:hAnsi="Times New Roman" w:cs="Times New Roman"/>
          <w:b/>
          <w:sz w:val="24"/>
          <w:lang w:val="en-GB"/>
        </w:rPr>
        <w:t>e</w:t>
      </w:r>
      <w:r>
        <w:rPr>
          <w:rFonts w:ascii="Times New Roman" w:hAnsi="Times New Roman" w:cs="Times New Roman"/>
          <w:sz w:val="24"/>
          <w:lang w:val="en-GB"/>
        </w:rPr>
        <w:t>) Percentage of CD8</w:t>
      </w:r>
      <w:r w:rsidRPr="00FF482F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 T cells infiltrating MOC1, TC1 and MC38 SC, orthotopic (Ortho) and metastatic (Mets) tumors at late stage (</w:t>
      </w:r>
      <w:r w:rsidRPr="008347B5">
        <w:rPr>
          <w:rFonts w:ascii="Times New Roman" w:hAnsi="Times New Roman" w:cs="Times New Roman"/>
          <w:i/>
          <w:sz w:val="24"/>
          <w:lang w:val="en-GB"/>
        </w:rPr>
        <w:t>n</w:t>
      </w:r>
      <w:r>
        <w:rPr>
          <w:rFonts w:ascii="Times New Roman" w:hAnsi="Times New Roman" w:cs="Times New Roman"/>
          <w:sz w:val="24"/>
          <w:lang w:val="en-GB"/>
        </w:rPr>
        <w:t xml:space="preserve"> = 5-7). Each dot represents an individual mouse. One-way ANOVA with Tukey’s test was used. </w:t>
      </w:r>
      <w:r w:rsidRPr="0077483E">
        <w:rPr>
          <w:rFonts w:ascii="Times New Roman" w:hAnsi="Times New Roman" w:cs="Times New Roman"/>
          <w:sz w:val="24"/>
          <w:lang w:val="en-US"/>
        </w:rPr>
        <w:t>*</w:t>
      </w:r>
      <w:r w:rsidRPr="0077483E">
        <w:rPr>
          <w:rFonts w:ascii="Times New Roman" w:hAnsi="Times New Roman" w:cs="Times New Roman"/>
          <w:i/>
          <w:sz w:val="24"/>
          <w:lang w:val="en-US"/>
        </w:rPr>
        <w:t>P</w:t>
      </w:r>
      <w:r w:rsidRPr="0077483E">
        <w:rPr>
          <w:rFonts w:ascii="Times New Roman" w:hAnsi="Times New Roman" w:cs="Times New Roman"/>
          <w:sz w:val="24"/>
          <w:lang w:val="en-US"/>
        </w:rPr>
        <w:t xml:space="preserve"> ≤ 0.05 and **</w:t>
      </w:r>
      <w:r w:rsidRPr="0077483E">
        <w:rPr>
          <w:rFonts w:ascii="Times New Roman" w:hAnsi="Times New Roman" w:cs="Times New Roman"/>
          <w:i/>
          <w:sz w:val="24"/>
          <w:lang w:val="en-US"/>
        </w:rPr>
        <w:t>P</w:t>
      </w:r>
      <w:r w:rsidRPr="0077483E">
        <w:rPr>
          <w:rFonts w:ascii="Times New Roman" w:hAnsi="Times New Roman" w:cs="Times New Roman"/>
          <w:sz w:val="24"/>
          <w:lang w:val="en-US"/>
        </w:rPr>
        <w:t xml:space="preserve"> &lt; 0.01.</w:t>
      </w:r>
    </w:p>
    <w:p w14:paraId="47AC9198" w14:textId="69F6F7EF" w:rsidR="00A378D8" w:rsidRDefault="00A378D8">
      <w:pPr>
        <w:spacing w:line="278" w:lineRule="auto"/>
      </w:pPr>
      <w:r>
        <w:br w:type="page"/>
      </w:r>
    </w:p>
    <w:p w14:paraId="05AA7D86" w14:textId="77777777" w:rsidR="00A378D8" w:rsidRDefault="00A378D8" w:rsidP="00A378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63B1BDD" wp14:editId="44A8C0C1">
            <wp:extent cx="5760720" cy="518350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8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43F6" w14:textId="77777777" w:rsidR="00A378D8" w:rsidRDefault="00A378D8" w:rsidP="00A378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A21CBD" w14:textId="77777777" w:rsidR="00A378D8" w:rsidRDefault="00A378D8" w:rsidP="00A378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357FE9" w14:textId="77777777" w:rsidR="00A378D8" w:rsidRDefault="00A378D8" w:rsidP="00A378D8">
      <w:pPr>
        <w:tabs>
          <w:tab w:val="left" w:pos="634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78F425" w14:textId="77777777" w:rsidR="00A378D8" w:rsidRPr="005C1A61" w:rsidRDefault="00A378D8" w:rsidP="00A378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49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Fig. S2. </w:t>
      </w:r>
      <w:r w:rsidRPr="006F4996">
        <w:rPr>
          <w:rFonts w:ascii="Times New Roman" w:hAnsi="Times New Roman" w:cs="Times New Roman"/>
          <w:b/>
          <w:sz w:val="24"/>
          <w:lang w:val="en-US"/>
        </w:rPr>
        <w:t>Immune checkpoints acquisition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49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colorectal and hepatocarcinoma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tumor models.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Mice were implanted with tumors as described in Fig 1a.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lang w:val="en-GB"/>
        </w:rPr>
        <w:t>Percentage of immune checkpoints (IC)-expressing CD8</w:t>
      </w:r>
      <w:r w:rsidRPr="00FF482F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 T cell subpopulations (subpop) in MOC1 tumors at early stages</w:t>
      </w:r>
      <w:r w:rsidRPr="00782F1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C145C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59662F">
        <w:rPr>
          <w:rFonts w:ascii="Times New Roman" w:hAnsi="Times New Roman" w:cs="Times New Roman"/>
          <w:sz w:val="24"/>
          <w:szCs w:val="24"/>
          <w:lang w:val="en-US"/>
        </w:rPr>
        <w:t>Subpopulations with a mean frequency &gt;5% (green dotted bar) across one of the three implantation sites (written in blue) were considered for analyses as previously described</w:t>
      </w:r>
      <w:r w:rsidRPr="0059662F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59662F">
        <w:rPr>
          <w:rFonts w:ascii="Times New Roman" w:hAnsi="Times New Roman" w:cs="Times New Roman"/>
          <w:color w:val="FF0000"/>
          <w:sz w:val="24"/>
          <w:szCs w:val="24"/>
          <w:lang w:val="en-US"/>
        </w:rPr>
        <w:fldChar w:fldCharType="begin"/>
      </w:r>
      <w:r w:rsidRPr="0059662F">
        <w:rPr>
          <w:rFonts w:ascii="Times New Roman" w:hAnsi="Times New Roman" w:cs="Times New Roman"/>
          <w:color w:val="FF0000"/>
          <w:sz w:val="24"/>
          <w:szCs w:val="24"/>
          <w:lang w:val="en-US"/>
        </w:rPr>
        <w:instrText xml:space="preserve"> ADDIN ZOTERO_ITEM CSL_CITATION {"citationID":"U9etipTZ","properties":{"formattedCitation":"[28]","plainCitation":"[28]","noteIndex":0},"citationItems":[{"id":578,"uris":["http://zotero.org/users/local/TLPU3gwL/items/D9WIWMI8"],"itemData":{"id":578,"type":"article-journal","abstract":"Although understanding of T-cell exhaustion is widely based on mouse models, its analysis in patients with cancer could provide clues indicating tumor sensitivity to immune checkpoint blockade (ICB). Data suggest a role for costimulatory pathways, particularly CD28, in exhausted T-cell responsiveness to PD-1/PD-L1 blockade. Here, we used single-cell transcriptomic, phenotypic, and functional approaches to dissect the relation between CD8+ T-cell exhaustion, CD28 costimulation, and tumor specificity in head and neck, cervical, and ovarian cancers. We found that memory tumor–specific CD8+ T cells, but not bystander cells, sequentially express immune checkpoints once they infiltrate tumors, leading, in situ, to a functionally exhausted population. Exhausted T cells were nonetheless endowed with effector and tumor residency potential but exhibited loss of the costimulatory receptor CD28 in comparison with their circulating memory counterparts. Accordingly, PD-1 inhibition improved proliferation of circulating tumor–specific CD8+ T cells and reversed functional exhaustion of specific T cells at tumor sites. In agreement with their tumor specificity, high infiltration of tumors by exhausted cells was predictive of response to therapy and survival in ICB-treated patients with head and neck cancer. Our results showed that PD-1 blockade–mediated proliferation/reinvigoration of circulating memory T cells and local reversion of exhaustion occur concurrently to control tumors.","container-title":"Cancer Immunology Research","DOI":"10.1158/2326-6066.CIR-19-0855","ISSN":"2326-6066, 2326-6074","issue":"7","journalAbbreviation":"Cancer Immunol Res","language":"en","license":"©2020 American Association for Cancer Research.","note":"publisher: American Association for Cancer Research\nsection: Research Articles\nPMID: 32295784","page":"869-882","source":"cancerimmunolres-aacrjournals-org.proxy.insermbiblio.inist.fr","title":"Dual Relief of T-lymphocyte Proliferation and Effector Function Underlies Response to PD-1 Blockade in Epithelial Malignancies","volume":"8","author":[{"family":"Balança","given":"Camille-Charlotte"},{"family":"Scarlata","given":"Clara-Maria"},{"family":"Michelas","given":"Marie"},{"family":"Devaud","given":"Christel"},{"family":"Sarradin","given":"Victor"},{"family":"Franchet","given":"Camille"},{"family":"Gomez","given":"Carlos Martinez"},{"family":"Gomez-Roca","given":"Carlos"},{"family":"Tosolini","given":"Marie"},{"family":"Heaugwane","given":"Diana"},{"family":"Lauzéral-Vizcaino","given":"Françoise"},{"family":"Mir-Mesnier","given":"Lucile"},{"family":"Féliu","given":"Virginie"},{"family":"Valle","given":"Carine"},{"family":"Pont","given":"Frédéric"},{"family":"Ferron","given":"Gwénaël"},{"family":"Gladieff","given":"Laurence"},{"family":"Motton","given":"Stéphanie"},{"family":"Gac","given":"Yann Tanguy Le"},{"family":"Dupret-Bories","given":"Agnès"},{"family":"Sarini","given":"Jérôme"},{"family":"Vairel","given":"Benjamin"},{"family":"Illac","given":"Claire"},{"family":"Siegfried-Vergnon","given":"Aurore"},{"family":"Mery","given":"Eliane"},{"family":"Fournié","given":"Jean-Jacques"},{"family":"Vergez","given":"Sébastien"},{"family":"Delord","given":"Jean-Pierre"},{"family":"Rochaix","given":"Philippe"},{"family":"Martinez","given":"Alejandra"},{"family":"Ayyoub","given":"Maha"}],"issued":{"date-parts":[["2020",7,1]]}}}],"schema":"https://github.com/citation-style-language/schema/raw/master/csl-citation.json"} </w:instrText>
      </w:r>
      <w:r w:rsidRPr="0059662F">
        <w:rPr>
          <w:rFonts w:ascii="Times New Roman" w:hAnsi="Times New Roman" w:cs="Times New Roman"/>
          <w:color w:val="FF0000"/>
          <w:sz w:val="24"/>
          <w:szCs w:val="24"/>
          <w:lang w:val="en-US"/>
        </w:rPr>
        <w:fldChar w:fldCharType="separate"/>
      </w:r>
      <w:r w:rsidRPr="0059662F">
        <w:rPr>
          <w:rFonts w:ascii="Times New Roman" w:hAnsi="Times New Roman" w:cs="Times New Roman"/>
          <w:sz w:val="24"/>
          <w:lang w:val="en-US"/>
        </w:rPr>
        <w:t>[28]</w:t>
      </w:r>
      <w:r w:rsidRPr="0059662F">
        <w:rPr>
          <w:rFonts w:ascii="Times New Roman" w:hAnsi="Times New Roman" w:cs="Times New Roman"/>
          <w:color w:val="FF0000"/>
          <w:sz w:val="24"/>
          <w:szCs w:val="24"/>
          <w:lang w:val="en-US"/>
        </w:rPr>
        <w:fldChar w:fldCharType="end"/>
      </w:r>
      <w:r w:rsidRPr="0059662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>) MOC1 and TC1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SC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tumor sizes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 at early (D8) and late (D19) stage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F499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270A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270A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lang w:val="en-GB"/>
        </w:rPr>
        <w:t>Percentage and (</w:t>
      </w:r>
      <w:r>
        <w:rPr>
          <w:rFonts w:ascii="Times New Roman" w:hAnsi="Times New Roman" w:cs="Times New Roman"/>
          <w:b/>
          <w:sz w:val="24"/>
          <w:lang w:val="en-GB"/>
        </w:rPr>
        <w:t>d</w:t>
      </w:r>
      <w:r w:rsidRPr="00047BB3">
        <w:rPr>
          <w:rFonts w:ascii="Times New Roman" w:hAnsi="Times New Roman" w:cs="Times New Roman"/>
          <w:b/>
          <w:sz w:val="24"/>
          <w:lang w:val="en-GB"/>
        </w:rPr>
        <w:t xml:space="preserve">, </w:t>
      </w:r>
      <w:r>
        <w:rPr>
          <w:rFonts w:ascii="Times New Roman" w:hAnsi="Times New Roman" w:cs="Times New Roman"/>
          <w:b/>
          <w:sz w:val="24"/>
          <w:lang w:val="en-GB"/>
        </w:rPr>
        <w:t>f</w:t>
      </w:r>
      <w:r w:rsidRPr="00047BB3">
        <w:rPr>
          <w:rFonts w:ascii="Times New Roman" w:hAnsi="Times New Roman" w:cs="Times New Roman"/>
          <w:b/>
          <w:sz w:val="24"/>
          <w:lang w:val="en-GB"/>
        </w:rPr>
        <w:t xml:space="preserve">, </w:t>
      </w:r>
      <w:r>
        <w:rPr>
          <w:rFonts w:ascii="Times New Roman" w:hAnsi="Times New Roman" w:cs="Times New Roman"/>
          <w:b/>
          <w:sz w:val="24"/>
          <w:lang w:val="en-GB"/>
        </w:rPr>
        <w:t>h</w:t>
      </w:r>
      <w:r>
        <w:rPr>
          <w:rFonts w:ascii="Times New Roman" w:hAnsi="Times New Roman" w:cs="Times New Roman"/>
          <w:sz w:val="24"/>
          <w:lang w:val="en-GB"/>
        </w:rPr>
        <w:t>) representation of IC-expressing</w:t>
      </w:r>
      <w:r w:rsidRPr="00D56651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CD8</w:t>
      </w:r>
      <w:r w:rsidRPr="00047BB3">
        <w:rPr>
          <w:rFonts w:ascii="Times New Roman" w:hAnsi="Times New Roman" w:cs="Times New Roman"/>
          <w:sz w:val="24"/>
          <w:vertAlign w:val="superscript"/>
          <w:lang w:val="en-GB"/>
        </w:rPr>
        <w:t>+</w:t>
      </w:r>
      <w:r>
        <w:rPr>
          <w:rFonts w:ascii="Times New Roman" w:hAnsi="Times New Roman" w:cs="Times New Roman"/>
          <w:sz w:val="24"/>
          <w:lang w:val="en-GB"/>
        </w:rPr>
        <w:t xml:space="preserve"> T cell subpopulations in (c, d) </w:t>
      </w:r>
      <w:r>
        <w:rPr>
          <w:rFonts w:ascii="Times New Roman" w:hAnsi="Times New Roman" w:cs="Times New Roman"/>
          <w:sz w:val="24"/>
          <w:szCs w:val="24"/>
          <w:lang w:val="en-US"/>
        </w:rPr>
        <w:t>MC38</w:t>
      </w:r>
      <w:r>
        <w:rPr>
          <w:rFonts w:ascii="Times New Roman" w:hAnsi="Times New Roman" w:cs="Times New Roman"/>
          <w:sz w:val="24"/>
          <w:lang w:val="en-GB"/>
        </w:rPr>
        <w:t xml:space="preserve"> (</w:t>
      </w:r>
      <w:r w:rsidRPr="00047BB3">
        <w:rPr>
          <w:rFonts w:ascii="Times New Roman" w:hAnsi="Times New Roman" w:cs="Times New Roman"/>
          <w:i/>
          <w:sz w:val="24"/>
          <w:lang w:val="en-GB"/>
        </w:rPr>
        <w:t>n</w:t>
      </w:r>
      <w:r>
        <w:rPr>
          <w:rFonts w:ascii="Times New Roman" w:hAnsi="Times New Roman" w:cs="Times New Roman"/>
          <w:sz w:val="24"/>
          <w:lang w:val="en-GB"/>
        </w:rPr>
        <w:t xml:space="preserve"> = 9-10), (e, f) CT26 (</w:t>
      </w:r>
      <w:r w:rsidRPr="00047BB3">
        <w:rPr>
          <w:rFonts w:ascii="Times New Roman" w:hAnsi="Times New Roman" w:cs="Times New Roman"/>
          <w:i/>
          <w:sz w:val="24"/>
          <w:lang w:val="en-GB"/>
        </w:rPr>
        <w:t>n</w:t>
      </w:r>
      <w:r>
        <w:rPr>
          <w:rFonts w:ascii="Times New Roman" w:hAnsi="Times New Roman" w:cs="Times New Roman"/>
          <w:sz w:val="24"/>
          <w:lang w:val="en-GB"/>
        </w:rPr>
        <w:t xml:space="preserve"> = 9-10), and (g, h) HEPA 1-6 (</w:t>
      </w:r>
      <w:r w:rsidRPr="00047BB3">
        <w:rPr>
          <w:rFonts w:ascii="Times New Roman" w:hAnsi="Times New Roman" w:cs="Times New Roman"/>
          <w:i/>
          <w:sz w:val="24"/>
          <w:lang w:val="en-GB"/>
        </w:rPr>
        <w:t>n</w:t>
      </w:r>
      <w:r>
        <w:rPr>
          <w:rFonts w:ascii="Times New Roman" w:hAnsi="Times New Roman" w:cs="Times New Roman"/>
          <w:sz w:val="24"/>
          <w:lang w:val="en-GB"/>
        </w:rPr>
        <w:t xml:space="preserve"> = 7-10) early stages tumors implanted in </w:t>
      </w:r>
      <w:r>
        <w:rPr>
          <w:rFonts w:ascii="Times New Roman" w:hAnsi="Times New Roman" w:cs="Times New Roman"/>
          <w:sz w:val="24"/>
          <w:szCs w:val="24"/>
          <w:lang w:val="en-US"/>
        </w:rPr>
        <w:t>SC,</w:t>
      </w:r>
      <w:r>
        <w:rPr>
          <w:rFonts w:ascii="Times New Roman" w:hAnsi="Times New Roman" w:cs="Times New Roman"/>
          <w:sz w:val="24"/>
          <w:lang w:val="en-GB"/>
        </w:rPr>
        <w:t xml:space="preserve"> orthotopic (Ortho) </w:t>
      </w:r>
      <w:r>
        <w:rPr>
          <w:rFonts w:ascii="Times New Roman" w:hAnsi="Times New Roman" w:cs="Times New Roman"/>
          <w:sz w:val="24"/>
          <w:lang w:val="en-GB"/>
        </w:rPr>
        <w:lastRenderedPageBreak/>
        <w:t>and metastatic (Mets) sites. Each dot represents an individual mouse. One-way ANOVA with Tukey’s test was used. *</w:t>
      </w:r>
      <w:r w:rsidRPr="00AB7BA5">
        <w:rPr>
          <w:rFonts w:ascii="Times New Roman" w:hAnsi="Times New Roman" w:cs="Times New Roman"/>
          <w:i/>
          <w:sz w:val="24"/>
          <w:lang w:val="en-GB"/>
        </w:rPr>
        <w:t>P</w:t>
      </w:r>
      <w:r>
        <w:rPr>
          <w:rFonts w:ascii="Times New Roman" w:hAnsi="Times New Roman" w:cs="Times New Roman"/>
          <w:sz w:val="24"/>
          <w:lang w:val="en-GB"/>
        </w:rPr>
        <w:t xml:space="preserve"> ≤ 0.05, **</w:t>
      </w:r>
      <w:r w:rsidRPr="00AB7BA5">
        <w:rPr>
          <w:rFonts w:ascii="Times New Roman" w:hAnsi="Times New Roman" w:cs="Times New Roman"/>
          <w:i/>
          <w:sz w:val="24"/>
          <w:lang w:val="en-GB"/>
        </w:rPr>
        <w:t>P</w:t>
      </w:r>
      <w:r>
        <w:rPr>
          <w:rFonts w:ascii="Times New Roman" w:hAnsi="Times New Roman" w:cs="Times New Roman"/>
          <w:sz w:val="24"/>
          <w:lang w:val="en-GB"/>
        </w:rPr>
        <w:t xml:space="preserve"> &lt; 0.01, ***</w:t>
      </w:r>
      <w:r w:rsidRPr="00AB7BA5">
        <w:rPr>
          <w:rFonts w:ascii="Times New Roman" w:hAnsi="Times New Roman" w:cs="Times New Roman"/>
          <w:i/>
          <w:sz w:val="24"/>
          <w:lang w:val="en-GB"/>
        </w:rPr>
        <w:t>P</w:t>
      </w:r>
      <w:r>
        <w:rPr>
          <w:rFonts w:ascii="Times New Roman" w:hAnsi="Times New Roman" w:cs="Times New Roman"/>
          <w:sz w:val="24"/>
          <w:lang w:val="en-GB"/>
        </w:rPr>
        <w:t xml:space="preserve"> &lt; 0.001, and ****</w:t>
      </w:r>
      <w:r w:rsidRPr="00AB7BA5">
        <w:rPr>
          <w:rFonts w:ascii="Times New Roman" w:hAnsi="Times New Roman" w:cs="Times New Roman"/>
          <w:i/>
          <w:sz w:val="24"/>
          <w:lang w:val="en-GB"/>
        </w:rPr>
        <w:t>P</w:t>
      </w:r>
      <w:r>
        <w:rPr>
          <w:rFonts w:ascii="Times New Roman" w:hAnsi="Times New Roman" w:cs="Times New Roman"/>
          <w:sz w:val="24"/>
          <w:lang w:val="en-GB"/>
        </w:rPr>
        <w:t xml:space="preserve"> &lt; 0.0001.</w:t>
      </w:r>
    </w:p>
    <w:p w14:paraId="4292740D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D8"/>
    <w:rsid w:val="003C2EF4"/>
    <w:rsid w:val="00446799"/>
    <w:rsid w:val="00471820"/>
    <w:rsid w:val="006A7E07"/>
    <w:rsid w:val="00701021"/>
    <w:rsid w:val="007573F7"/>
    <w:rsid w:val="00866E40"/>
    <w:rsid w:val="00A378D8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86BA1"/>
  <w15:chartTrackingRefBased/>
  <w15:docId w15:val="{C42D1DF7-345E-40B7-8120-04F5AC40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8D8"/>
    <w:pPr>
      <w:spacing w:line="259" w:lineRule="auto"/>
    </w:pPr>
    <w:rPr>
      <w:kern w:val="0"/>
      <w:sz w:val="22"/>
      <w:szCs w:val="22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8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8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8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8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8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8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8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7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8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7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8D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7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8D8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7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839</Words>
  <Characters>4784</Characters>
  <Application>Microsoft Office Word</Application>
  <DocSecurity>0</DocSecurity>
  <Lines>39</Lines>
  <Paragraphs>11</Paragraphs>
  <ScaleCrop>false</ScaleCrop>
  <Company>Springer Nature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2026-10-14T13:13:00Z</dcterms:created>
  <dcterms:modified xsi:type="dcterms:W3CDTF">2026-10-14T13:14:00Z</dcterms:modified>
</cp:coreProperties>
</file>