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70FF5" w14:textId="0FD6219F" w:rsidR="0007790E" w:rsidRPr="00BC76DC" w:rsidRDefault="00000000" w:rsidP="00BC76DC">
      <w:pPr>
        <w:tabs>
          <w:tab w:val="left" w:pos="1276"/>
        </w:tabs>
        <w:rPr>
          <w:rFonts w:ascii="Times New Roman" w:hAnsi="Times New Roman" w:cs="Times New Roman"/>
          <w:sz w:val="22"/>
          <w:shd w:val="clear" w:color="auto" w:fill="FFFFFF" w:themeFill="background1"/>
        </w:rPr>
      </w:pPr>
      <w:r w:rsidRPr="00BC76DC">
        <w:rPr>
          <w:rFonts w:ascii="Times New Roman" w:hAnsi="Times New Roman" w:cs="Times New Roman"/>
          <w:sz w:val="22"/>
          <w:shd w:val="clear" w:color="auto" w:fill="FFFFFF" w:themeFill="background1"/>
        </w:rPr>
        <w:t>Supplementary Analysis of TTC Differences</w:t>
      </w:r>
    </w:p>
    <w:p w14:paraId="3ADBE619" w14:textId="77777777" w:rsidR="0007790E" w:rsidRPr="00BC76DC" w:rsidRDefault="00000000" w:rsidP="00BC76DC">
      <w:pPr>
        <w:pStyle w:val="1"/>
        <w:tabs>
          <w:tab w:val="left" w:pos="1276"/>
        </w:tabs>
        <w:spacing w:line="240" w:lineRule="auto"/>
        <w:rPr>
          <w:rFonts w:ascii="Times New Roman" w:hAnsi="Times New Roman" w:cs="Times New Roman"/>
          <w:color w:val="000000" w:themeColor="text1"/>
          <w:sz w:val="22"/>
          <w:szCs w:val="22"/>
          <w:shd w:val="clear" w:color="auto" w:fill="FFFFFF" w:themeFill="background1"/>
        </w:rPr>
      </w:pPr>
      <w:r w:rsidRPr="00BC76DC">
        <w:rPr>
          <w:rFonts w:ascii="Times New Roman" w:hAnsi="Times New Roman" w:cs="Times New Roman"/>
          <w:b w:val="0"/>
          <w:color w:val="000000" w:themeColor="text1"/>
          <w:sz w:val="22"/>
          <w:szCs w:val="22"/>
          <w:shd w:val="clear" w:color="auto" w:fill="FFFFFF" w:themeFill="background1"/>
        </w:rPr>
        <w:t>Purpose</w:t>
      </w:r>
    </w:p>
    <w:p w14:paraId="21171A7C" w14:textId="77777777" w:rsidR="0007790E" w:rsidRPr="00BC76DC" w:rsidRDefault="00000000" w:rsidP="00BC76DC">
      <w:pPr>
        <w:tabs>
          <w:tab w:val="left" w:pos="1276"/>
        </w:tabs>
        <w:spacing w:line="240" w:lineRule="auto"/>
        <w:rPr>
          <w:rFonts w:ascii="Times New Roman" w:hAnsi="Times New Roman" w:cs="Times New Roman"/>
          <w:color w:val="000000" w:themeColor="text1"/>
          <w:sz w:val="22"/>
          <w:shd w:val="clear" w:color="auto" w:fill="FFFFFF" w:themeFill="background1"/>
        </w:rPr>
      </w:pPr>
      <w:r w:rsidRPr="00BC76DC">
        <w:rPr>
          <w:rFonts w:ascii="Times New Roman" w:hAnsi="Times New Roman" w:cs="Times New Roman"/>
          <w:color w:val="000000" w:themeColor="text1"/>
          <w:sz w:val="22"/>
          <w:shd w:val="clear" w:color="auto" w:fill="FFFFFF" w:themeFill="background1"/>
        </w:rPr>
        <w:t>The study included students from Pakse and Savannakhet Teacher Training Colleges (TTCs). This supplementary analysis explains why the two groups were analysed together and why TTC was included as an adjustment variable in the main model.</w:t>
      </w:r>
    </w:p>
    <w:p w14:paraId="0E5FD2E1" w14:textId="77777777" w:rsidR="0007790E" w:rsidRPr="00BC76DC" w:rsidRDefault="00000000" w:rsidP="00BC76DC">
      <w:pPr>
        <w:pStyle w:val="1"/>
        <w:tabs>
          <w:tab w:val="left" w:pos="1276"/>
        </w:tabs>
        <w:spacing w:line="240" w:lineRule="auto"/>
        <w:rPr>
          <w:rFonts w:ascii="Times New Roman" w:hAnsi="Times New Roman" w:cs="Times New Roman"/>
          <w:color w:val="000000" w:themeColor="text1"/>
          <w:sz w:val="22"/>
          <w:szCs w:val="22"/>
          <w:shd w:val="clear" w:color="auto" w:fill="FFFFFF" w:themeFill="background1"/>
        </w:rPr>
      </w:pPr>
      <w:r w:rsidRPr="00BC76DC">
        <w:rPr>
          <w:rFonts w:ascii="Times New Roman" w:hAnsi="Times New Roman" w:cs="Times New Roman"/>
          <w:b w:val="0"/>
          <w:color w:val="000000" w:themeColor="text1"/>
          <w:sz w:val="22"/>
          <w:szCs w:val="22"/>
          <w:shd w:val="clear" w:color="auto" w:fill="FFFFFF" w:themeFill="background1"/>
        </w:rPr>
        <w:t>Why TTC was included in the main model</w:t>
      </w:r>
    </w:p>
    <w:p w14:paraId="0D29AE53" w14:textId="77777777" w:rsidR="0007790E" w:rsidRPr="00BC76DC" w:rsidRDefault="00000000" w:rsidP="00BC76DC">
      <w:pPr>
        <w:tabs>
          <w:tab w:val="left" w:pos="1276"/>
        </w:tabs>
        <w:spacing w:line="240" w:lineRule="auto"/>
        <w:rPr>
          <w:rFonts w:ascii="Times New Roman" w:hAnsi="Times New Roman" w:cs="Times New Roman"/>
          <w:color w:val="000000" w:themeColor="text1"/>
          <w:sz w:val="22"/>
          <w:shd w:val="clear" w:color="auto" w:fill="FFFFFF" w:themeFill="background1"/>
        </w:rPr>
      </w:pPr>
      <w:r w:rsidRPr="00BC76DC">
        <w:rPr>
          <w:rFonts w:ascii="Times New Roman" w:hAnsi="Times New Roman" w:cs="Times New Roman"/>
          <w:color w:val="000000" w:themeColor="text1"/>
          <w:sz w:val="22"/>
          <w:shd w:val="clear" w:color="auto" w:fill="FFFFFF" w:themeFill="background1"/>
        </w:rPr>
        <w:t>The two TTCs may differ in their educational environment, local context, and student characteristics. To account for these possible differences, TTC was included in the main multivariable logistic regression model. This adjustment does not assess whether one TTC is better than the other; it helps ensure that the associations of individual factors with willingness are not distorted by college-related differences.</w:t>
      </w:r>
    </w:p>
    <w:p w14:paraId="13115C8E" w14:textId="77777777" w:rsidR="0007790E" w:rsidRPr="00BC76DC" w:rsidRDefault="00000000" w:rsidP="00BC76DC">
      <w:pPr>
        <w:pStyle w:val="1"/>
        <w:tabs>
          <w:tab w:val="left" w:pos="1276"/>
        </w:tabs>
        <w:spacing w:line="240" w:lineRule="auto"/>
        <w:rPr>
          <w:rFonts w:ascii="Times New Roman" w:hAnsi="Times New Roman" w:cs="Times New Roman"/>
          <w:color w:val="000000" w:themeColor="text1"/>
          <w:sz w:val="22"/>
          <w:szCs w:val="22"/>
          <w:shd w:val="clear" w:color="auto" w:fill="FFFFFF" w:themeFill="background1"/>
        </w:rPr>
      </w:pPr>
      <w:r w:rsidRPr="00BC76DC">
        <w:rPr>
          <w:rFonts w:ascii="Times New Roman" w:hAnsi="Times New Roman" w:cs="Times New Roman"/>
          <w:b w:val="0"/>
          <w:color w:val="000000" w:themeColor="text1"/>
          <w:sz w:val="22"/>
          <w:szCs w:val="22"/>
          <w:shd w:val="clear" w:color="auto" w:fill="FFFFFF" w:themeFill="background1"/>
        </w:rPr>
        <w:t>Did including TTC change the main findings?</w:t>
      </w:r>
    </w:p>
    <w:p w14:paraId="1C18621E" w14:textId="77777777" w:rsidR="0007790E" w:rsidRPr="00BC76DC" w:rsidRDefault="00000000" w:rsidP="00BC76DC">
      <w:pPr>
        <w:tabs>
          <w:tab w:val="left" w:pos="1276"/>
        </w:tabs>
        <w:spacing w:line="240" w:lineRule="auto"/>
        <w:rPr>
          <w:rFonts w:ascii="Times New Roman" w:hAnsi="Times New Roman" w:cs="Times New Roman"/>
          <w:color w:val="000000" w:themeColor="text1"/>
          <w:sz w:val="22"/>
          <w:shd w:val="clear" w:color="auto" w:fill="FFFFFF" w:themeFill="background1"/>
        </w:rPr>
      </w:pPr>
      <w:r w:rsidRPr="00BC76DC">
        <w:rPr>
          <w:rFonts w:ascii="Times New Roman" w:hAnsi="Times New Roman" w:cs="Times New Roman"/>
          <w:color w:val="000000" w:themeColor="text1"/>
          <w:sz w:val="22"/>
          <w:shd w:val="clear" w:color="auto" w:fill="FFFFFF" w:themeFill="background1"/>
        </w:rPr>
        <w:t>We compared the main model, which included TTC, with a sensitivity model that excluded TTC. The results were almost identical. Therefore, the main conclusions about the factors associated with willingness did not depend on whether TTC was included in the model.</w:t>
      </w:r>
    </w:p>
    <w:p w14:paraId="6E78EB04" w14:textId="77777777" w:rsidR="0007790E" w:rsidRPr="00BC76DC" w:rsidRDefault="00000000" w:rsidP="00BC76DC">
      <w:pPr>
        <w:tabs>
          <w:tab w:val="left" w:pos="1276"/>
        </w:tabs>
        <w:spacing w:line="240" w:lineRule="auto"/>
        <w:rPr>
          <w:rFonts w:ascii="Times New Roman" w:hAnsi="Times New Roman" w:cs="Times New Roman"/>
          <w:color w:val="000000" w:themeColor="text1"/>
          <w:sz w:val="22"/>
          <w:shd w:val="clear" w:color="auto" w:fill="FFFFFF" w:themeFill="background1"/>
        </w:rPr>
      </w:pPr>
      <w:r w:rsidRPr="00BC76DC">
        <w:rPr>
          <w:rFonts w:ascii="Times New Roman" w:hAnsi="Times New Roman" w:cs="Times New Roman"/>
          <w:b/>
          <w:color w:val="000000" w:themeColor="text1"/>
          <w:sz w:val="22"/>
          <w:shd w:val="clear" w:color="auto" w:fill="FFFFFF" w:themeFill="background1"/>
        </w:rPr>
        <w:t>Supplementary Table S1. Comparison of the main model with the sensitivity model</w:t>
      </w:r>
    </w:p>
    <w:tbl>
      <w:tblPr>
        <w:tblStyle w:val="afe"/>
        <w:tblW w:w="0" w:type="auto"/>
        <w:tblLook w:val="04A0" w:firstRow="1" w:lastRow="0" w:firstColumn="1" w:lastColumn="0" w:noHBand="0" w:noVBand="1"/>
      </w:tblPr>
      <w:tblGrid>
        <w:gridCol w:w="3816"/>
        <w:gridCol w:w="2664"/>
        <w:gridCol w:w="2664"/>
      </w:tblGrid>
      <w:tr w:rsidR="0007790E" w:rsidRPr="00BC76DC" w14:paraId="2C6C48E2" w14:textId="77777777" w:rsidTr="00BC76DC">
        <w:trPr>
          <w:cantSplit/>
          <w:tblHeader/>
        </w:trPr>
        <w:tc>
          <w:tcPr>
            <w:tcW w:w="3816" w:type="dxa"/>
            <w:shd w:val="clear" w:color="auto" w:fill="FFFFFF" w:themeFill="background1"/>
            <w:vAlign w:val="center"/>
          </w:tcPr>
          <w:p w14:paraId="2FDCFBA7" w14:textId="77777777" w:rsidR="0007790E" w:rsidRPr="00BC76DC" w:rsidRDefault="00000000" w:rsidP="00BC76DC">
            <w:pPr>
              <w:tabs>
                <w:tab w:val="left" w:pos="1276"/>
              </w:tabs>
              <w:rPr>
                <w:rFonts w:ascii="Times New Roman" w:hAnsi="Times New Roman" w:cs="Times New Roman"/>
                <w:color w:val="000000" w:themeColor="text1"/>
                <w:sz w:val="22"/>
                <w:shd w:val="clear" w:color="auto" w:fill="FFFFFF" w:themeFill="background1"/>
              </w:rPr>
            </w:pPr>
            <w:r w:rsidRPr="00BC76DC">
              <w:rPr>
                <w:rFonts w:ascii="Times New Roman" w:hAnsi="Times New Roman" w:cs="Times New Roman"/>
                <w:b/>
                <w:color w:val="000000" w:themeColor="text1"/>
                <w:sz w:val="22"/>
                <w:shd w:val="clear" w:color="auto" w:fill="FFFFFF" w:themeFill="background1"/>
              </w:rPr>
              <w:t>Factor</w:t>
            </w:r>
          </w:p>
        </w:tc>
        <w:tc>
          <w:tcPr>
            <w:tcW w:w="2664" w:type="dxa"/>
            <w:shd w:val="clear" w:color="auto" w:fill="FFFFFF" w:themeFill="background1"/>
            <w:vAlign w:val="center"/>
          </w:tcPr>
          <w:p w14:paraId="4BAF119B" w14:textId="77777777" w:rsidR="0007790E" w:rsidRPr="00BC76DC" w:rsidRDefault="00000000" w:rsidP="00BC76DC">
            <w:pPr>
              <w:tabs>
                <w:tab w:val="left" w:pos="1276"/>
              </w:tabs>
              <w:rPr>
                <w:rFonts w:ascii="Times New Roman" w:hAnsi="Times New Roman" w:cs="Times New Roman"/>
                <w:color w:val="000000" w:themeColor="text1"/>
                <w:sz w:val="22"/>
                <w:shd w:val="clear" w:color="auto" w:fill="FFFFFF" w:themeFill="background1"/>
              </w:rPr>
            </w:pPr>
            <w:r w:rsidRPr="00BC76DC">
              <w:rPr>
                <w:rFonts w:ascii="Times New Roman" w:hAnsi="Times New Roman" w:cs="Times New Roman"/>
                <w:b/>
                <w:color w:val="000000" w:themeColor="text1"/>
                <w:sz w:val="22"/>
                <w:shd w:val="clear" w:color="auto" w:fill="FFFFFF" w:themeFill="background1"/>
              </w:rPr>
              <w:t>Main model</w:t>
            </w:r>
            <w:r w:rsidRPr="00BC76DC">
              <w:rPr>
                <w:rFonts w:ascii="Times New Roman" w:hAnsi="Times New Roman" w:cs="Times New Roman"/>
                <w:b/>
                <w:color w:val="000000" w:themeColor="text1"/>
                <w:sz w:val="22"/>
                <w:shd w:val="clear" w:color="auto" w:fill="FFFFFF" w:themeFill="background1"/>
              </w:rPr>
              <w:br/>
              <w:t>(TTC included)</w:t>
            </w:r>
          </w:p>
        </w:tc>
        <w:tc>
          <w:tcPr>
            <w:tcW w:w="2664" w:type="dxa"/>
            <w:shd w:val="clear" w:color="auto" w:fill="FFFFFF" w:themeFill="background1"/>
            <w:vAlign w:val="center"/>
          </w:tcPr>
          <w:p w14:paraId="16433C48" w14:textId="77777777" w:rsidR="0007790E" w:rsidRPr="00BC76DC" w:rsidRDefault="00000000" w:rsidP="00BC76DC">
            <w:pPr>
              <w:tabs>
                <w:tab w:val="left" w:pos="1276"/>
              </w:tabs>
              <w:rPr>
                <w:rFonts w:ascii="Times New Roman" w:hAnsi="Times New Roman" w:cs="Times New Roman"/>
                <w:color w:val="000000" w:themeColor="text1"/>
                <w:sz w:val="22"/>
                <w:shd w:val="clear" w:color="auto" w:fill="FFFFFF" w:themeFill="background1"/>
              </w:rPr>
            </w:pPr>
            <w:r w:rsidRPr="00BC76DC">
              <w:rPr>
                <w:rFonts w:ascii="Times New Roman" w:hAnsi="Times New Roman" w:cs="Times New Roman"/>
                <w:b/>
                <w:color w:val="000000" w:themeColor="text1"/>
                <w:sz w:val="22"/>
                <w:shd w:val="clear" w:color="auto" w:fill="FFFFFF" w:themeFill="background1"/>
              </w:rPr>
              <w:t>Sensitivity model</w:t>
            </w:r>
            <w:r w:rsidRPr="00BC76DC">
              <w:rPr>
                <w:rFonts w:ascii="Times New Roman" w:hAnsi="Times New Roman" w:cs="Times New Roman"/>
                <w:b/>
                <w:color w:val="000000" w:themeColor="text1"/>
                <w:sz w:val="22"/>
                <w:shd w:val="clear" w:color="auto" w:fill="FFFFFF" w:themeFill="background1"/>
              </w:rPr>
              <w:br/>
              <w:t>(TTC excluded)</w:t>
            </w:r>
          </w:p>
        </w:tc>
      </w:tr>
      <w:tr w:rsidR="0007790E" w:rsidRPr="00BC76DC" w14:paraId="6954306A" w14:textId="77777777" w:rsidTr="00BC76DC">
        <w:trPr>
          <w:cantSplit/>
        </w:trPr>
        <w:tc>
          <w:tcPr>
            <w:tcW w:w="3816" w:type="dxa"/>
            <w:vAlign w:val="center"/>
          </w:tcPr>
          <w:p w14:paraId="5134DED1" w14:textId="77777777" w:rsidR="0007790E" w:rsidRPr="00BC76DC" w:rsidRDefault="00000000" w:rsidP="00BC76DC">
            <w:pPr>
              <w:tabs>
                <w:tab w:val="left" w:pos="1276"/>
              </w:tabs>
              <w:rPr>
                <w:rFonts w:ascii="Times New Roman" w:hAnsi="Times New Roman" w:cs="Times New Roman"/>
                <w:color w:val="000000" w:themeColor="text1"/>
                <w:sz w:val="22"/>
                <w:shd w:val="clear" w:color="auto" w:fill="FFFFFF" w:themeFill="background1"/>
              </w:rPr>
            </w:pPr>
            <w:r w:rsidRPr="00BC76DC">
              <w:rPr>
                <w:rFonts w:ascii="Times New Roman" w:hAnsi="Times New Roman" w:cs="Times New Roman"/>
                <w:color w:val="000000" w:themeColor="text1"/>
                <w:sz w:val="22"/>
                <w:shd w:val="clear" w:color="auto" w:fill="FFFFFF" w:themeFill="background1"/>
              </w:rPr>
              <w:t>Female (vs male)</w:t>
            </w:r>
          </w:p>
        </w:tc>
        <w:tc>
          <w:tcPr>
            <w:tcW w:w="2664" w:type="dxa"/>
            <w:vAlign w:val="center"/>
          </w:tcPr>
          <w:p w14:paraId="7454D429" w14:textId="77777777" w:rsidR="0007790E" w:rsidRPr="00BC76DC" w:rsidRDefault="00000000" w:rsidP="00BC76DC">
            <w:pPr>
              <w:tabs>
                <w:tab w:val="left" w:pos="1276"/>
              </w:tabs>
              <w:rPr>
                <w:rFonts w:ascii="Times New Roman" w:hAnsi="Times New Roman" w:cs="Times New Roman"/>
                <w:color w:val="000000" w:themeColor="text1"/>
                <w:sz w:val="22"/>
                <w:shd w:val="clear" w:color="auto" w:fill="FFFFFF" w:themeFill="background1"/>
              </w:rPr>
            </w:pPr>
            <w:r w:rsidRPr="00BC76DC">
              <w:rPr>
                <w:rFonts w:ascii="Times New Roman" w:hAnsi="Times New Roman" w:cs="Times New Roman"/>
                <w:color w:val="000000" w:themeColor="text1"/>
                <w:sz w:val="22"/>
                <w:shd w:val="clear" w:color="auto" w:fill="FFFFFF" w:themeFill="background1"/>
              </w:rPr>
              <w:t>2.79 (1.43–5.45)</w:t>
            </w:r>
          </w:p>
        </w:tc>
        <w:tc>
          <w:tcPr>
            <w:tcW w:w="2664" w:type="dxa"/>
            <w:vAlign w:val="center"/>
          </w:tcPr>
          <w:p w14:paraId="755C19BC" w14:textId="77777777" w:rsidR="0007790E" w:rsidRPr="00BC76DC" w:rsidRDefault="00000000" w:rsidP="00BC76DC">
            <w:pPr>
              <w:tabs>
                <w:tab w:val="left" w:pos="1276"/>
              </w:tabs>
              <w:rPr>
                <w:rFonts w:ascii="Times New Roman" w:hAnsi="Times New Roman" w:cs="Times New Roman"/>
                <w:color w:val="000000" w:themeColor="text1"/>
                <w:sz w:val="22"/>
                <w:shd w:val="clear" w:color="auto" w:fill="FFFFFF" w:themeFill="background1"/>
              </w:rPr>
            </w:pPr>
            <w:r w:rsidRPr="00BC76DC">
              <w:rPr>
                <w:rFonts w:ascii="Times New Roman" w:hAnsi="Times New Roman" w:cs="Times New Roman"/>
                <w:color w:val="000000" w:themeColor="text1"/>
                <w:sz w:val="22"/>
                <w:shd w:val="clear" w:color="auto" w:fill="FFFFFF" w:themeFill="background1"/>
              </w:rPr>
              <w:t>2.81 (1.44–5.48)</w:t>
            </w:r>
          </w:p>
        </w:tc>
      </w:tr>
      <w:tr w:rsidR="0007790E" w:rsidRPr="00BC76DC" w14:paraId="1084C846" w14:textId="77777777" w:rsidTr="00BC76DC">
        <w:trPr>
          <w:cantSplit/>
        </w:trPr>
        <w:tc>
          <w:tcPr>
            <w:tcW w:w="3816" w:type="dxa"/>
            <w:vAlign w:val="center"/>
          </w:tcPr>
          <w:p w14:paraId="5DD23ABB" w14:textId="77777777" w:rsidR="0007790E" w:rsidRPr="00BC76DC" w:rsidRDefault="00000000" w:rsidP="00BC76DC">
            <w:pPr>
              <w:tabs>
                <w:tab w:val="left" w:pos="1276"/>
              </w:tabs>
              <w:rPr>
                <w:rFonts w:ascii="Times New Roman" w:hAnsi="Times New Roman" w:cs="Times New Roman"/>
                <w:color w:val="000000" w:themeColor="text1"/>
                <w:sz w:val="22"/>
                <w:shd w:val="clear" w:color="auto" w:fill="FFFFFF" w:themeFill="background1"/>
              </w:rPr>
            </w:pPr>
            <w:r w:rsidRPr="00BC76DC">
              <w:rPr>
                <w:rFonts w:ascii="Times New Roman" w:hAnsi="Times New Roman" w:cs="Times New Roman"/>
                <w:color w:val="000000" w:themeColor="text1"/>
                <w:sz w:val="22"/>
                <w:shd w:val="clear" w:color="auto" w:fill="FFFFFF" w:themeFill="background1"/>
              </w:rPr>
              <w:t>Fourth year (vs first year)</w:t>
            </w:r>
          </w:p>
        </w:tc>
        <w:tc>
          <w:tcPr>
            <w:tcW w:w="2664" w:type="dxa"/>
            <w:vAlign w:val="center"/>
          </w:tcPr>
          <w:p w14:paraId="65240B2C" w14:textId="77777777" w:rsidR="0007790E" w:rsidRPr="00BC76DC" w:rsidRDefault="00000000" w:rsidP="00BC76DC">
            <w:pPr>
              <w:tabs>
                <w:tab w:val="left" w:pos="1276"/>
              </w:tabs>
              <w:rPr>
                <w:rFonts w:ascii="Times New Roman" w:hAnsi="Times New Roman" w:cs="Times New Roman"/>
                <w:color w:val="000000" w:themeColor="text1"/>
                <w:sz w:val="22"/>
                <w:shd w:val="clear" w:color="auto" w:fill="FFFFFF" w:themeFill="background1"/>
              </w:rPr>
            </w:pPr>
            <w:r w:rsidRPr="00BC76DC">
              <w:rPr>
                <w:rFonts w:ascii="Times New Roman" w:hAnsi="Times New Roman" w:cs="Times New Roman"/>
                <w:color w:val="000000" w:themeColor="text1"/>
                <w:sz w:val="22"/>
                <w:shd w:val="clear" w:color="auto" w:fill="FFFFFF" w:themeFill="background1"/>
              </w:rPr>
              <w:t>0.12 (0.02–0.84)</w:t>
            </w:r>
          </w:p>
        </w:tc>
        <w:tc>
          <w:tcPr>
            <w:tcW w:w="2664" w:type="dxa"/>
            <w:vAlign w:val="center"/>
          </w:tcPr>
          <w:p w14:paraId="32CD7EC3" w14:textId="77777777" w:rsidR="0007790E" w:rsidRPr="00BC76DC" w:rsidRDefault="00000000" w:rsidP="00BC76DC">
            <w:pPr>
              <w:tabs>
                <w:tab w:val="left" w:pos="1276"/>
              </w:tabs>
              <w:rPr>
                <w:rFonts w:ascii="Times New Roman" w:hAnsi="Times New Roman" w:cs="Times New Roman"/>
                <w:color w:val="000000" w:themeColor="text1"/>
                <w:sz w:val="22"/>
                <w:shd w:val="clear" w:color="auto" w:fill="FFFFFF" w:themeFill="background1"/>
              </w:rPr>
            </w:pPr>
            <w:r w:rsidRPr="00BC76DC">
              <w:rPr>
                <w:rFonts w:ascii="Times New Roman" w:hAnsi="Times New Roman" w:cs="Times New Roman"/>
                <w:color w:val="000000" w:themeColor="text1"/>
                <w:sz w:val="22"/>
                <w:shd w:val="clear" w:color="auto" w:fill="FFFFFF" w:themeFill="background1"/>
              </w:rPr>
              <w:t>0.13 (0.02–0.86)</w:t>
            </w:r>
          </w:p>
        </w:tc>
      </w:tr>
      <w:tr w:rsidR="0007790E" w:rsidRPr="00BC76DC" w14:paraId="211EF8F2" w14:textId="77777777" w:rsidTr="00BC76DC">
        <w:trPr>
          <w:cantSplit/>
        </w:trPr>
        <w:tc>
          <w:tcPr>
            <w:tcW w:w="3816" w:type="dxa"/>
            <w:vAlign w:val="center"/>
          </w:tcPr>
          <w:p w14:paraId="5103D934" w14:textId="77777777" w:rsidR="0007790E" w:rsidRPr="00BC76DC" w:rsidRDefault="00000000" w:rsidP="00BC76DC">
            <w:pPr>
              <w:tabs>
                <w:tab w:val="left" w:pos="1276"/>
              </w:tabs>
              <w:rPr>
                <w:rFonts w:ascii="Times New Roman" w:hAnsi="Times New Roman" w:cs="Times New Roman"/>
                <w:color w:val="000000" w:themeColor="text1"/>
                <w:sz w:val="22"/>
                <w:shd w:val="clear" w:color="auto" w:fill="FFFFFF" w:themeFill="background1"/>
              </w:rPr>
            </w:pPr>
            <w:r w:rsidRPr="00BC76DC">
              <w:rPr>
                <w:rFonts w:ascii="Times New Roman" w:hAnsi="Times New Roman" w:cs="Times New Roman"/>
                <w:color w:val="000000" w:themeColor="text1"/>
                <w:sz w:val="22"/>
                <w:shd w:val="clear" w:color="auto" w:fill="FFFFFF" w:themeFill="background1"/>
              </w:rPr>
              <w:t>Positive attitude</w:t>
            </w:r>
          </w:p>
        </w:tc>
        <w:tc>
          <w:tcPr>
            <w:tcW w:w="2664" w:type="dxa"/>
            <w:vAlign w:val="center"/>
          </w:tcPr>
          <w:p w14:paraId="1BB08D70" w14:textId="77777777" w:rsidR="0007790E" w:rsidRPr="00BC76DC" w:rsidRDefault="00000000" w:rsidP="00BC76DC">
            <w:pPr>
              <w:tabs>
                <w:tab w:val="left" w:pos="1276"/>
              </w:tabs>
              <w:rPr>
                <w:rFonts w:ascii="Times New Roman" w:hAnsi="Times New Roman" w:cs="Times New Roman"/>
                <w:color w:val="000000" w:themeColor="text1"/>
                <w:sz w:val="22"/>
                <w:shd w:val="clear" w:color="auto" w:fill="FFFFFF" w:themeFill="background1"/>
              </w:rPr>
            </w:pPr>
            <w:r w:rsidRPr="00BC76DC">
              <w:rPr>
                <w:rFonts w:ascii="Times New Roman" w:hAnsi="Times New Roman" w:cs="Times New Roman"/>
                <w:color w:val="000000" w:themeColor="text1"/>
                <w:sz w:val="22"/>
                <w:shd w:val="clear" w:color="auto" w:fill="FFFFFF" w:themeFill="background1"/>
              </w:rPr>
              <w:t>3.03 (1.05–8.76)</w:t>
            </w:r>
          </w:p>
        </w:tc>
        <w:tc>
          <w:tcPr>
            <w:tcW w:w="2664" w:type="dxa"/>
            <w:vAlign w:val="center"/>
          </w:tcPr>
          <w:p w14:paraId="5F2ECA97" w14:textId="77777777" w:rsidR="0007790E" w:rsidRPr="00BC76DC" w:rsidRDefault="00000000" w:rsidP="00BC76DC">
            <w:pPr>
              <w:tabs>
                <w:tab w:val="left" w:pos="1276"/>
              </w:tabs>
              <w:rPr>
                <w:rFonts w:ascii="Times New Roman" w:hAnsi="Times New Roman" w:cs="Times New Roman"/>
                <w:color w:val="000000" w:themeColor="text1"/>
                <w:sz w:val="22"/>
                <w:shd w:val="clear" w:color="auto" w:fill="FFFFFF" w:themeFill="background1"/>
              </w:rPr>
            </w:pPr>
            <w:r w:rsidRPr="00BC76DC">
              <w:rPr>
                <w:rFonts w:ascii="Times New Roman" w:hAnsi="Times New Roman" w:cs="Times New Roman"/>
                <w:color w:val="000000" w:themeColor="text1"/>
                <w:sz w:val="22"/>
                <w:shd w:val="clear" w:color="auto" w:fill="FFFFFF" w:themeFill="background1"/>
              </w:rPr>
              <w:t>3.07 (1.06–8.84)</w:t>
            </w:r>
          </w:p>
        </w:tc>
      </w:tr>
      <w:tr w:rsidR="0007790E" w:rsidRPr="00BC76DC" w14:paraId="776F4420" w14:textId="77777777" w:rsidTr="00BC76DC">
        <w:trPr>
          <w:cantSplit/>
        </w:trPr>
        <w:tc>
          <w:tcPr>
            <w:tcW w:w="3816" w:type="dxa"/>
            <w:vAlign w:val="center"/>
          </w:tcPr>
          <w:p w14:paraId="3C411995" w14:textId="77777777" w:rsidR="0007790E" w:rsidRPr="00BC76DC" w:rsidRDefault="00000000" w:rsidP="00BC76DC">
            <w:pPr>
              <w:tabs>
                <w:tab w:val="left" w:pos="1276"/>
              </w:tabs>
              <w:rPr>
                <w:rFonts w:ascii="Times New Roman" w:hAnsi="Times New Roman" w:cs="Times New Roman"/>
                <w:color w:val="000000" w:themeColor="text1"/>
                <w:sz w:val="22"/>
                <w:shd w:val="clear" w:color="auto" w:fill="FFFFFF" w:themeFill="background1"/>
              </w:rPr>
            </w:pPr>
            <w:r w:rsidRPr="00BC76DC">
              <w:rPr>
                <w:rFonts w:ascii="Times New Roman" w:hAnsi="Times New Roman" w:cs="Times New Roman"/>
                <w:color w:val="000000" w:themeColor="text1"/>
                <w:sz w:val="22"/>
                <w:shd w:val="clear" w:color="auto" w:fill="FFFFFF" w:themeFill="background1"/>
              </w:rPr>
              <w:t>Positive subjective norm</w:t>
            </w:r>
          </w:p>
        </w:tc>
        <w:tc>
          <w:tcPr>
            <w:tcW w:w="2664" w:type="dxa"/>
            <w:vAlign w:val="center"/>
          </w:tcPr>
          <w:p w14:paraId="287F2F6A" w14:textId="77777777" w:rsidR="0007790E" w:rsidRPr="00BC76DC" w:rsidRDefault="00000000" w:rsidP="00BC76DC">
            <w:pPr>
              <w:tabs>
                <w:tab w:val="left" w:pos="1276"/>
              </w:tabs>
              <w:rPr>
                <w:rFonts w:ascii="Times New Roman" w:hAnsi="Times New Roman" w:cs="Times New Roman"/>
                <w:color w:val="000000" w:themeColor="text1"/>
                <w:sz w:val="22"/>
                <w:shd w:val="clear" w:color="auto" w:fill="FFFFFF" w:themeFill="background1"/>
              </w:rPr>
            </w:pPr>
            <w:r w:rsidRPr="00BC76DC">
              <w:rPr>
                <w:rFonts w:ascii="Times New Roman" w:hAnsi="Times New Roman" w:cs="Times New Roman"/>
                <w:color w:val="000000" w:themeColor="text1"/>
                <w:sz w:val="22"/>
                <w:shd w:val="clear" w:color="auto" w:fill="FFFFFF" w:themeFill="background1"/>
              </w:rPr>
              <w:t>4.87 (1.60–14.80)</w:t>
            </w:r>
          </w:p>
        </w:tc>
        <w:tc>
          <w:tcPr>
            <w:tcW w:w="2664" w:type="dxa"/>
            <w:vAlign w:val="center"/>
          </w:tcPr>
          <w:p w14:paraId="324AB785" w14:textId="77777777" w:rsidR="0007790E" w:rsidRPr="00BC76DC" w:rsidRDefault="00000000" w:rsidP="00BC76DC">
            <w:pPr>
              <w:tabs>
                <w:tab w:val="left" w:pos="1276"/>
              </w:tabs>
              <w:rPr>
                <w:rFonts w:ascii="Times New Roman" w:hAnsi="Times New Roman" w:cs="Times New Roman"/>
                <w:color w:val="000000" w:themeColor="text1"/>
                <w:sz w:val="22"/>
                <w:shd w:val="clear" w:color="auto" w:fill="FFFFFF" w:themeFill="background1"/>
              </w:rPr>
            </w:pPr>
            <w:r w:rsidRPr="00BC76DC">
              <w:rPr>
                <w:rFonts w:ascii="Times New Roman" w:hAnsi="Times New Roman" w:cs="Times New Roman"/>
                <w:color w:val="000000" w:themeColor="text1"/>
                <w:sz w:val="22"/>
                <w:shd w:val="clear" w:color="auto" w:fill="FFFFFF" w:themeFill="background1"/>
              </w:rPr>
              <w:t>4.95 (1.63–15.00)</w:t>
            </w:r>
          </w:p>
        </w:tc>
      </w:tr>
      <w:tr w:rsidR="0007790E" w:rsidRPr="00BC76DC" w14:paraId="63A0AB0B" w14:textId="77777777" w:rsidTr="00BC76DC">
        <w:trPr>
          <w:cantSplit/>
        </w:trPr>
        <w:tc>
          <w:tcPr>
            <w:tcW w:w="3816" w:type="dxa"/>
            <w:vAlign w:val="center"/>
          </w:tcPr>
          <w:p w14:paraId="02958587" w14:textId="77777777" w:rsidR="0007790E" w:rsidRPr="00BC76DC" w:rsidRDefault="00000000" w:rsidP="00BC76DC">
            <w:pPr>
              <w:tabs>
                <w:tab w:val="left" w:pos="1276"/>
              </w:tabs>
              <w:rPr>
                <w:rFonts w:ascii="Times New Roman" w:hAnsi="Times New Roman" w:cs="Times New Roman"/>
                <w:color w:val="000000" w:themeColor="text1"/>
                <w:sz w:val="22"/>
                <w:shd w:val="clear" w:color="auto" w:fill="FFFFFF" w:themeFill="background1"/>
              </w:rPr>
            </w:pPr>
            <w:r w:rsidRPr="00BC76DC">
              <w:rPr>
                <w:rFonts w:ascii="Times New Roman" w:hAnsi="Times New Roman" w:cs="Times New Roman"/>
                <w:color w:val="000000" w:themeColor="text1"/>
                <w:sz w:val="22"/>
                <w:shd w:val="clear" w:color="auto" w:fill="FFFFFF" w:themeFill="background1"/>
              </w:rPr>
              <w:t>Moderately confident PBC</w:t>
            </w:r>
          </w:p>
        </w:tc>
        <w:tc>
          <w:tcPr>
            <w:tcW w:w="2664" w:type="dxa"/>
            <w:vAlign w:val="center"/>
          </w:tcPr>
          <w:p w14:paraId="3D302FEF" w14:textId="77777777" w:rsidR="0007790E" w:rsidRPr="00BC76DC" w:rsidRDefault="00000000" w:rsidP="00BC76DC">
            <w:pPr>
              <w:tabs>
                <w:tab w:val="left" w:pos="1276"/>
              </w:tabs>
              <w:rPr>
                <w:rFonts w:ascii="Times New Roman" w:hAnsi="Times New Roman" w:cs="Times New Roman"/>
                <w:color w:val="000000" w:themeColor="text1"/>
                <w:sz w:val="22"/>
                <w:shd w:val="clear" w:color="auto" w:fill="FFFFFF" w:themeFill="background1"/>
              </w:rPr>
            </w:pPr>
            <w:r w:rsidRPr="00BC76DC">
              <w:rPr>
                <w:rFonts w:ascii="Times New Roman" w:hAnsi="Times New Roman" w:cs="Times New Roman"/>
                <w:color w:val="000000" w:themeColor="text1"/>
                <w:sz w:val="22"/>
                <w:shd w:val="clear" w:color="auto" w:fill="FFFFFF" w:themeFill="background1"/>
              </w:rPr>
              <w:t>2.56 (1.30–5.05)</w:t>
            </w:r>
          </w:p>
        </w:tc>
        <w:tc>
          <w:tcPr>
            <w:tcW w:w="2664" w:type="dxa"/>
            <w:vAlign w:val="center"/>
          </w:tcPr>
          <w:p w14:paraId="7CABBDE3" w14:textId="77777777" w:rsidR="0007790E" w:rsidRPr="00BC76DC" w:rsidRDefault="00000000" w:rsidP="00BC76DC">
            <w:pPr>
              <w:tabs>
                <w:tab w:val="left" w:pos="1276"/>
              </w:tabs>
              <w:rPr>
                <w:rFonts w:ascii="Times New Roman" w:hAnsi="Times New Roman" w:cs="Times New Roman"/>
                <w:color w:val="000000" w:themeColor="text1"/>
                <w:sz w:val="22"/>
                <w:shd w:val="clear" w:color="auto" w:fill="FFFFFF" w:themeFill="background1"/>
              </w:rPr>
            </w:pPr>
            <w:r w:rsidRPr="00BC76DC">
              <w:rPr>
                <w:rFonts w:ascii="Times New Roman" w:hAnsi="Times New Roman" w:cs="Times New Roman"/>
                <w:color w:val="000000" w:themeColor="text1"/>
                <w:sz w:val="22"/>
                <w:shd w:val="clear" w:color="auto" w:fill="FFFFFF" w:themeFill="background1"/>
              </w:rPr>
              <w:t>2.59 (1.32–5.09)</w:t>
            </w:r>
          </w:p>
        </w:tc>
      </w:tr>
      <w:tr w:rsidR="0007790E" w:rsidRPr="00BC76DC" w14:paraId="47447263" w14:textId="77777777" w:rsidTr="00BC76DC">
        <w:trPr>
          <w:cantSplit/>
        </w:trPr>
        <w:tc>
          <w:tcPr>
            <w:tcW w:w="3816" w:type="dxa"/>
            <w:vAlign w:val="center"/>
          </w:tcPr>
          <w:p w14:paraId="25CEAF52" w14:textId="77777777" w:rsidR="0007790E" w:rsidRPr="00BC76DC" w:rsidRDefault="00000000" w:rsidP="00BC76DC">
            <w:pPr>
              <w:tabs>
                <w:tab w:val="left" w:pos="1276"/>
              </w:tabs>
              <w:rPr>
                <w:rFonts w:ascii="Times New Roman" w:hAnsi="Times New Roman" w:cs="Times New Roman"/>
                <w:color w:val="000000" w:themeColor="text1"/>
                <w:sz w:val="22"/>
                <w:shd w:val="clear" w:color="auto" w:fill="FFFFFF" w:themeFill="background1"/>
              </w:rPr>
            </w:pPr>
            <w:r w:rsidRPr="00BC76DC">
              <w:rPr>
                <w:rFonts w:ascii="Times New Roman" w:hAnsi="Times New Roman" w:cs="Times New Roman"/>
                <w:color w:val="000000" w:themeColor="text1"/>
                <w:sz w:val="22"/>
                <w:shd w:val="clear" w:color="auto" w:fill="FFFFFF" w:themeFill="background1"/>
              </w:rPr>
              <w:t>Confident/very confident PBC</w:t>
            </w:r>
          </w:p>
        </w:tc>
        <w:tc>
          <w:tcPr>
            <w:tcW w:w="2664" w:type="dxa"/>
            <w:vAlign w:val="center"/>
          </w:tcPr>
          <w:p w14:paraId="0528ACF7" w14:textId="77777777" w:rsidR="0007790E" w:rsidRPr="00BC76DC" w:rsidRDefault="00000000" w:rsidP="00BC76DC">
            <w:pPr>
              <w:tabs>
                <w:tab w:val="left" w:pos="1276"/>
              </w:tabs>
              <w:rPr>
                <w:rFonts w:ascii="Times New Roman" w:hAnsi="Times New Roman" w:cs="Times New Roman"/>
                <w:color w:val="000000" w:themeColor="text1"/>
                <w:sz w:val="22"/>
                <w:shd w:val="clear" w:color="auto" w:fill="FFFFFF" w:themeFill="background1"/>
              </w:rPr>
            </w:pPr>
            <w:r w:rsidRPr="00BC76DC">
              <w:rPr>
                <w:rFonts w:ascii="Times New Roman" w:hAnsi="Times New Roman" w:cs="Times New Roman"/>
                <w:color w:val="000000" w:themeColor="text1"/>
                <w:sz w:val="22"/>
                <w:shd w:val="clear" w:color="auto" w:fill="FFFFFF" w:themeFill="background1"/>
              </w:rPr>
              <w:t>12.90 (4.64–35.90)</w:t>
            </w:r>
          </w:p>
        </w:tc>
        <w:tc>
          <w:tcPr>
            <w:tcW w:w="2664" w:type="dxa"/>
            <w:vAlign w:val="center"/>
          </w:tcPr>
          <w:p w14:paraId="048040D9" w14:textId="77777777" w:rsidR="0007790E" w:rsidRPr="00BC76DC" w:rsidRDefault="00000000" w:rsidP="00BC76DC">
            <w:pPr>
              <w:tabs>
                <w:tab w:val="left" w:pos="1276"/>
              </w:tabs>
              <w:rPr>
                <w:rFonts w:ascii="Times New Roman" w:hAnsi="Times New Roman" w:cs="Times New Roman"/>
                <w:color w:val="000000" w:themeColor="text1"/>
                <w:sz w:val="22"/>
                <w:shd w:val="clear" w:color="auto" w:fill="FFFFFF" w:themeFill="background1"/>
              </w:rPr>
            </w:pPr>
            <w:r w:rsidRPr="00BC76DC">
              <w:rPr>
                <w:rFonts w:ascii="Times New Roman" w:hAnsi="Times New Roman" w:cs="Times New Roman"/>
                <w:color w:val="000000" w:themeColor="text1"/>
                <w:sz w:val="22"/>
                <w:shd w:val="clear" w:color="auto" w:fill="FFFFFF" w:themeFill="background1"/>
              </w:rPr>
              <w:t>13.00 (4.65–36.00)</w:t>
            </w:r>
          </w:p>
        </w:tc>
      </w:tr>
    </w:tbl>
    <w:p w14:paraId="27E52A97" w14:textId="77777777" w:rsidR="0007790E" w:rsidRPr="00BC76DC" w:rsidRDefault="00000000" w:rsidP="00BC76DC">
      <w:pPr>
        <w:tabs>
          <w:tab w:val="left" w:pos="1276"/>
        </w:tabs>
        <w:spacing w:line="240" w:lineRule="auto"/>
        <w:rPr>
          <w:rFonts w:ascii="Times New Roman" w:hAnsi="Times New Roman" w:cs="Times New Roman"/>
          <w:color w:val="000000" w:themeColor="text1"/>
          <w:sz w:val="22"/>
          <w:shd w:val="clear" w:color="auto" w:fill="FFFFFF" w:themeFill="background1"/>
        </w:rPr>
      </w:pPr>
      <w:r w:rsidRPr="00BC76DC">
        <w:rPr>
          <w:rFonts w:ascii="Times New Roman" w:hAnsi="Times New Roman" w:cs="Times New Roman"/>
          <w:color w:val="000000" w:themeColor="text1"/>
          <w:sz w:val="22"/>
          <w:shd w:val="clear" w:color="auto" w:fill="FFFFFF" w:themeFill="background1"/>
        </w:rPr>
        <w:t>Values are adjusted odds ratios (95% confidence intervals). PBC, perceived behavioral control.</w:t>
      </w:r>
    </w:p>
    <w:p w14:paraId="1D9FA88B" w14:textId="77777777" w:rsidR="0007790E" w:rsidRPr="00BC76DC" w:rsidRDefault="00000000" w:rsidP="00BC76DC">
      <w:pPr>
        <w:pStyle w:val="1"/>
        <w:tabs>
          <w:tab w:val="left" w:pos="1276"/>
        </w:tabs>
        <w:spacing w:line="240" w:lineRule="auto"/>
        <w:rPr>
          <w:rFonts w:ascii="Times New Roman" w:hAnsi="Times New Roman" w:cs="Times New Roman"/>
          <w:color w:val="000000" w:themeColor="text1"/>
          <w:sz w:val="22"/>
          <w:szCs w:val="22"/>
          <w:shd w:val="clear" w:color="auto" w:fill="FFFFFF" w:themeFill="background1"/>
        </w:rPr>
      </w:pPr>
      <w:r w:rsidRPr="00BC76DC">
        <w:rPr>
          <w:rFonts w:ascii="Times New Roman" w:hAnsi="Times New Roman" w:cs="Times New Roman"/>
          <w:b w:val="0"/>
          <w:color w:val="000000" w:themeColor="text1"/>
          <w:sz w:val="22"/>
          <w:szCs w:val="22"/>
          <w:shd w:val="clear" w:color="auto" w:fill="FFFFFF" w:themeFill="background1"/>
        </w:rPr>
        <w:t>Were the associations different between the two TTCs?</w:t>
      </w:r>
    </w:p>
    <w:p w14:paraId="11118D21" w14:textId="77777777" w:rsidR="0007790E" w:rsidRPr="00BC76DC" w:rsidRDefault="00000000" w:rsidP="00BC76DC">
      <w:pPr>
        <w:tabs>
          <w:tab w:val="left" w:pos="1276"/>
        </w:tabs>
        <w:spacing w:line="240" w:lineRule="auto"/>
        <w:rPr>
          <w:rFonts w:ascii="Times New Roman" w:hAnsi="Times New Roman" w:cs="Times New Roman"/>
          <w:color w:val="000000" w:themeColor="text1"/>
          <w:sz w:val="22"/>
          <w:shd w:val="clear" w:color="auto" w:fill="FFFFFF" w:themeFill="background1"/>
        </w:rPr>
      </w:pPr>
      <w:r w:rsidRPr="00BC76DC">
        <w:rPr>
          <w:rFonts w:ascii="Times New Roman" w:hAnsi="Times New Roman" w:cs="Times New Roman"/>
          <w:color w:val="000000" w:themeColor="text1"/>
          <w:sz w:val="22"/>
          <w:shd w:val="clear" w:color="auto" w:fill="FFFFFF" w:themeFill="background1"/>
        </w:rPr>
        <w:t>We also examined whether the associations of attitude, subjective norm, and perceived behavioral control with willingness differed between Pakse and Savannakhet TTCs. For each factor, a p value above 0.05 indicates that there was no evidence that the association differed between the two TTCs.</w:t>
      </w:r>
    </w:p>
    <w:p w14:paraId="695FDA0B" w14:textId="77777777" w:rsidR="0007790E" w:rsidRPr="00BC76DC" w:rsidRDefault="00000000" w:rsidP="00BC76DC">
      <w:pPr>
        <w:tabs>
          <w:tab w:val="left" w:pos="1276"/>
        </w:tabs>
        <w:spacing w:line="240" w:lineRule="auto"/>
        <w:rPr>
          <w:rFonts w:ascii="Times New Roman" w:hAnsi="Times New Roman" w:cs="Times New Roman"/>
          <w:color w:val="000000" w:themeColor="text1"/>
          <w:sz w:val="22"/>
          <w:shd w:val="clear" w:color="auto" w:fill="FFFFFF" w:themeFill="background1"/>
        </w:rPr>
      </w:pPr>
      <w:r w:rsidRPr="00BC76DC">
        <w:rPr>
          <w:rFonts w:ascii="Times New Roman" w:hAnsi="Times New Roman" w:cs="Times New Roman"/>
          <w:b/>
          <w:color w:val="000000" w:themeColor="text1"/>
          <w:sz w:val="22"/>
          <w:shd w:val="clear" w:color="auto" w:fill="FFFFFF" w:themeFill="background1"/>
        </w:rPr>
        <w:t>Supplementary Table S2. Do associations with willingness differ between TTCs?</w:t>
      </w:r>
    </w:p>
    <w:tbl>
      <w:tblPr>
        <w:tblStyle w:val="afe"/>
        <w:tblW w:w="0" w:type="auto"/>
        <w:jc w:val="center"/>
        <w:tblLook w:val="04A0" w:firstRow="1" w:lastRow="0" w:firstColumn="1" w:lastColumn="0" w:noHBand="0" w:noVBand="1"/>
      </w:tblPr>
      <w:tblGrid>
        <w:gridCol w:w="3168"/>
        <w:gridCol w:w="2232"/>
        <w:gridCol w:w="3816"/>
      </w:tblGrid>
      <w:tr w:rsidR="0007790E" w:rsidRPr="00BC76DC" w14:paraId="65692C14" w14:textId="77777777" w:rsidTr="00BC76DC">
        <w:trPr>
          <w:cantSplit/>
          <w:tblHeader/>
          <w:jc w:val="center"/>
        </w:trPr>
        <w:tc>
          <w:tcPr>
            <w:tcW w:w="3168" w:type="dxa"/>
            <w:shd w:val="clear" w:color="auto" w:fill="FFFFFF" w:themeFill="background1"/>
            <w:vAlign w:val="center"/>
          </w:tcPr>
          <w:p w14:paraId="1D3CB489" w14:textId="77777777" w:rsidR="0007790E" w:rsidRPr="00BC76DC" w:rsidRDefault="00000000" w:rsidP="00BC76DC">
            <w:pPr>
              <w:tabs>
                <w:tab w:val="left" w:pos="1276"/>
              </w:tabs>
              <w:rPr>
                <w:rFonts w:ascii="Times New Roman" w:hAnsi="Times New Roman" w:cs="Times New Roman"/>
                <w:color w:val="000000" w:themeColor="text1"/>
                <w:sz w:val="22"/>
                <w:shd w:val="clear" w:color="auto" w:fill="FFFFFF" w:themeFill="background1"/>
              </w:rPr>
            </w:pPr>
            <w:r w:rsidRPr="00BC76DC">
              <w:rPr>
                <w:rFonts w:ascii="Times New Roman" w:hAnsi="Times New Roman" w:cs="Times New Roman"/>
                <w:b/>
                <w:color w:val="000000" w:themeColor="text1"/>
                <w:sz w:val="22"/>
                <w:shd w:val="clear" w:color="auto" w:fill="FFFFFF" w:themeFill="background1"/>
              </w:rPr>
              <w:t>Factor</w:t>
            </w:r>
          </w:p>
        </w:tc>
        <w:tc>
          <w:tcPr>
            <w:tcW w:w="2232" w:type="dxa"/>
            <w:shd w:val="clear" w:color="auto" w:fill="FFFFFF" w:themeFill="background1"/>
            <w:vAlign w:val="center"/>
          </w:tcPr>
          <w:p w14:paraId="3CE6ABC2" w14:textId="77777777" w:rsidR="0007790E" w:rsidRPr="00BC76DC" w:rsidRDefault="00000000" w:rsidP="00BC76DC">
            <w:pPr>
              <w:tabs>
                <w:tab w:val="left" w:pos="1276"/>
              </w:tabs>
              <w:rPr>
                <w:rFonts w:ascii="Times New Roman" w:hAnsi="Times New Roman" w:cs="Times New Roman"/>
                <w:color w:val="000000" w:themeColor="text1"/>
                <w:sz w:val="22"/>
                <w:shd w:val="clear" w:color="auto" w:fill="FFFFFF" w:themeFill="background1"/>
              </w:rPr>
            </w:pPr>
            <w:r w:rsidRPr="00BC76DC">
              <w:rPr>
                <w:rFonts w:ascii="Times New Roman" w:hAnsi="Times New Roman" w:cs="Times New Roman"/>
                <w:b/>
                <w:color w:val="000000" w:themeColor="text1"/>
                <w:sz w:val="22"/>
                <w:shd w:val="clear" w:color="auto" w:fill="FFFFFF" w:themeFill="background1"/>
              </w:rPr>
              <w:t>p value for difference</w:t>
            </w:r>
            <w:r w:rsidRPr="00BC76DC">
              <w:rPr>
                <w:rFonts w:ascii="Times New Roman" w:hAnsi="Times New Roman" w:cs="Times New Roman"/>
                <w:b/>
                <w:color w:val="000000" w:themeColor="text1"/>
                <w:sz w:val="22"/>
                <w:shd w:val="clear" w:color="auto" w:fill="FFFFFF" w:themeFill="background1"/>
              </w:rPr>
              <w:br/>
              <w:t>between TTCs</w:t>
            </w:r>
          </w:p>
        </w:tc>
        <w:tc>
          <w:tcPr>
            <w:tcW w:w="3816" w:type="dxa"/>
            <w:shd w:val="clear" w:color="auto" w:fill="FFFFFF" w:themeFill="background1"/>
            <w:vAlign w:val="center"/>
          </w:tcPr>
          <w:p w14:paraId="78580FF5" w14:textId="77777777" w:rsidR="0007790E" w:rsidRPr="00BC76DC" w:rsidRDefault="00000000" w:rsidP="00BC76DC">
            <w:pPr>
              <w:tabs>
                <w:tab w:val="left" w:pos="1276"/>
              </w:tabs>
              <w:rPr>
                <w:rFonts w:ascii="Times New Roman" w:hAnsi="Times New Roman" w:cs="Times New Roman"/>
                <w:color w:val="000000" w:themeColor="text1"/>
                <w:sz w:val="22"/>
                <w:shd w:val="clear" w:color="auto" w:fill="FFFFFF" w:themeFill="background1"/>
              </w:rPr>
            </w:pPr>
            <w:r w:rsidRPr="00BC76DC">
              <w:rPr>
                <w:rFonts w:ascii="Times New Roman" w:hAnsi="Times New Roman" w:cs="Times New Roman"/>
                <w:b/>
                <w:color w:val="000000" w:themeColor="text1"/>
                <w:sz w:val="22"/>
                <w:shd w:val="clear" w:color="auto" w:fill="FFFFFF" w:themeFill="background1"/>
              </w:rPr>
              <w:t>Conclusion</w:t>
            </w:r>
          </w:p>
        </w:tc>
      </w:tr>
      <w:tr w:rsidR="0007790E" w:rsidRPr="00BC76DC" w14:paraId="3A001F31" w14:textId="77777777">
        <w:trPr>
          <w:cantSplit/>
          <w:jc w:val="center"/>
        </w:trPr>
        <w:tc>
          <w:tcPr>
            <w:tcW w:w="3168" w:type="dxa"/>
            <w:vAlign w:val="center"/>
          </w:tcPr>
          <w:p w14:paraId="0ECCE1B2" w14:textId="77777777" w:rsidR="0007790E" w:rsidRPr="00BC76DC" w:rsidRDefault="00000000" w:rsidP="00BC76DC">
            <w:pPr>
              <w:tabs>
                <w:tab w:val="left" w:pos="1276"/>
              </w:tabs>
              <w:rPr>
                <w:rFonts w:ascii="Times New Roman" w:hAnsi="Times New Roman" w:cs="Times New Roman"/>
                <w:color w:val="000000" w:themeColor="text1"/>
                <w:sz w:val="22"/>
                <w:shd w:val="clear" w:color="auto" w:fill="FFFFFF" w:themeFill="background1"/>
              </w:rPr>
            </w:pPr>
            <w:r w:rsidRPr="00BC76DC">
              <w:rPr>
                <w:rFonts w:ascii="Times New Roman" w:hAnsi="Times New Roman" w:cs="Times New Roman"/>
                <w:color w:val="000000" w:themeColor="text1"/>
                <w:sz w:val="22"/>
                <w:shd w:val="clear" w:color="auto" w:fill="FFFFFF" w:themeFill="background1"/>
              </w:rPr>
              <w:t>Attitude</w:t>
            </w:r>
          </w:p>
        </w:tc>
        <w:tc>
          <w:tcPr>
            <w:tcW w:w="2232" w:type="dxa"/>
            <w:vAlign w:val="center"/>
          </w:tcPr>
          <w:p w14:paraId="64FB28C0" w14:textId="77777777" w:rsidR="0007790E" w:rsidRPr="00BC76DC" w:rsidRDefault="00000000" w:rsidP="00BC76DC">
            <w:pPr>
              <w:tabs>
                <w:tab w:val="left" w:pos="1276"/>
              </w:tabs>
              <w:rPr>
                <w:rFonts w:ascii="Times New Roman" w:hAnsi="Times New Roman" w:cs="Times New Roman"/>
                <w:color w:val="000000" w:themeColor="text1"/>
                <w:sz w:val="22"/>
                <w:shd w:val="clear" w:color="auto" w:fill="FFFFFF" w:themeFill="background1"/>
              </w:rPr>
            </w:pPr>
            <w:r w:rsidRPr="00BC76DC">
              <w:rPr>
                <w:rFonts w:ascii="Times New Roman" w:hAnsi="Times New Roman" w:cs="Times New Roman"/>
                <w:color w:val="000000" w:themeColor="text1"/>
                <w:sz w:val="22"/>
                <w:shd w:val="clear" w:color="auto" w:fill="FFFFFF" w:themeFill="background1"/>
              </w:rPr>
              <w:t>0.413</w:t>
            </w:r>
          </w:p>
        </w:tc>
        <w:tc>
          <w:tcPr>
            <w:tcW w:w="3816" w:type="dxa"/>
            <w:vAlign w:val="center"/>
          </w:tcPr>
          <w:p w14:paraId="12574BB5" w14:textId="77777777" w:rsidR="0007790E" w:rsidRPr="00BC76DC" w:rsidRDefault="00000000" w:rsidP="00BC76DC">
            <w:pPr>
              <w:tabs>
                <w:tab w:val="left" w:pos="1276"/>
              </w:tabs>
              <w:rPr>
                <w:rFonts w:ascii="Times New Roman" w:hAnsi="Times New Roman" w:cs="Times New Roman"/>
                <w:color w:val="000000" w:themeColor="text1"/>
                <w:sz w:val="22"/>
                <w:shd w:val="clear" w:color="auto" w:fill="FFFFFF" w:themeFill="background1"/>
              </w:rPr>
            </w:pPr>
            <w:r w:rsidRPr="00BC76DC">
              <w:rPr>
                <w:rFonts w:ascii="Times New Roman" w:hAnsi="Times New Roman" w:cs="Times New Roman"/>
                <w:color w:val="000000" w:themeColor="text1"/>
                <w:sz w:val="22"/>
                <w:shd w:val="clear" w:color="auto" w:fill="FFFFFF" w:themeFill="background1"/>
              </w:rPr>
              <w:t>No evidence of a difference between TTCs</w:t>
            </w:r>
          </w:p>
        </w:tc>
      </w:tr>
      <w:tr w:rsidR="0007790E" w:rsidRPr="00BC76DC" w14:paraId="694A78B3" w14:textId="77777777">
        <w:trPr>
          <w:cantSplit/>
          <w:jc w:val="center"/>
        </w:trPr>
        <w:tc>
          <w:tcPr>
            <w:tcW w:w="3168" w:type="dxa"/>
            <w:vAlign w:val="center"/>
          </w:tcPr>
          <w:p w14:paraId="31B97CBC" w14:textId="77777777" w:rsidR="0007790E" w:rsidRPr="00BC76DC" w:rsidRDefault="00000000" w:rsidP="00BC76DC">
            <w:pPr>
              <w:tabs>
                <w:tab w:val="left" w:pos="1276"/>
              </w:tabs>
              <w:rPr>
                <w:rFonts w:ascii="Times New Roman" w:hAnsi="Times New Roman" w:cs="Times New Roman"/>
                <w:color w:val="000000" w:themeColor="text1"/>
                <w:sz w:val="22"/>
                <w:shd w:val="clear" w:color="auto" w:fill="FFFFFF" w:themeFill="background1"/>
              </w:rPr>
            </w:pPr>
            <w:r w:rsidRPr="00BC76DC">
              <w:rPr>
                <w:rFonts w:ascii="Times New Roman" w:hAnsi="Times New Roman" w:cs="Times New Roman"/>
                <w:color w:val="000000" w:themeColor="text1"/>
                <w:sz w:val="22"/>
                <w:shd w:val="clear" w:color="auto" w:fill="FFFFFF" w:themeFill="background1"/>
              </w:rPr>
              <w:t>Subjective norm</w:t>
            </w:r>
          </w:p>
        </w:tc>
        <w:tc>
          <w:tcPr>
            <w:tcW w:w="2232" w:type="dxa"/>
            <w:vAlign w:val="center"/>
          </w:tcPr>
          <w:p w14:paraId="33F2FB49" w14:textId="77777777" w:rsidR="0007790E" w:rsidRPr="00BC76DC" w:rsidRDefault="00000000" w:rsidP="00BC76DC">
            <w:pPr>
              <w:tabs>
                <w:tab w:val="left" w:pos="1276"/>
              </w:tabs>
              <w:rPr>
                <w:rFonts w:ascii="Times New Roman" w:hAnsi="Times New Roman" w:cs="Times New Roman"/>
                <w:color w:val="000000" w:themeColor="text1"/>
                <w:sz w:val="22"/>
                <w:shd w:val="clear" w:color="auto" w:fill="FFFFFF" w:themeFill="background1"/>
              </w:rPr>
            </w:pPr>
            <w:r w:rsidRPr="00BC76DC">
              <w:rPr>
                <w:rFonts w:ascii="Times New Roman" w:hAnsi="Times New Roman" w:cs="Times New Roman"/>
                <w:color w:val="000000" w:themeColor="text1"/>
                <w:sz w:val="22"/>
                <w:shd w:val="clear" w:color="auto" w:fill="FFFFFF" w:themeFill="background1"/>
              </w:rPr>
              <w:t>0.471</w:t>
            </w:r>
          </w:p>
        </w:tc>
        <w:tc>
          <w:tcPr>
            <w:tcW w:w="3816" w:type="dxa"/>
            <w:vAlign w:val="center"/>
          </w:tcPr>
          <w:p w14:paraId="0B9EE1D6" w14:textId="77777777" w:rsidR="0007790E" w:rsidRPr="00BC76DC" w:rsidRDefault="00000000" w:rsidP="00BC76DC">
            <w:pPr>
              <w:tabs>
                <w:tab w:val="left" w:pos="1276"/>
              </w:tabs>
              <w:rPr>
                <w:rFonts w:ascii="Times New Roman" w:hAnsi="Times New Roman" w:cs="Times New Roman"/>
                <w:color w:val="000000" w:themeColor="text1"/>
                <w:sz w:val="22"/>
                <w:shd w:val="clear" w:color="auto" w:fill="FFFFFF" w:themeFill="background1"/>
              </w:rPr>
            </w:pPr>
            <w:r w:rsidRPr="00BC76DC">
              <w:rPr>
                <w:rFonts w:ascii="Times New Roman" w:hAnsi="Times New Roman" w:cs="Times New Roman"/>
                <w:color w:val="000000" w:themeColor="text1"/>
                <w:sz w:val="22"/>
                <w:shd w:val="clear" w:color="auto" w:fill="FFFFFF" w:themeFill="background1"/>
              </w:rPr>
              <w:t>No evidence of a difference between TTCs</w:t>
            </w:r>
          </w:p>
        </w:tc>
      </w:tr>
      <w:tr w:rsidR="0007790E" w:rsidRPr="00BC76DC" w14:paraId="69C24E8D" w14:textId="77777777">
        <w:trPr>
          <w:cantSplit/>
          <w:jc w:val="center"/>
        </w:trPr>
        <w:tc>
          <w:tcPr>
            <w:tcW w:w="3168" w:type="dxa"/>
            <w:vAlign w:val="center"/>
          </w:tcPr>
          <w:p w14:paraId="69056070" w14:textId="77777777" w:rsidR="0007790E" w:rsidRPr="00BC76DC" w:rsidRDefault="00000000" w:rsidP="00BC76DC">
            <w:pPr>
              <w:tabs>
                <w:tab w:val="left" w:pos="1276"/>
              </w:tabs>
              <w:rPr>
                <w:rFonts w:ascii="Times New Roman" w:hAnsi="Times New Roman" w:cs="Times New Roman"/>
                <w:color w:val="000000" w:themeColor="text1"/>
                <w:sz w:val="22"/>
                <w:shd w:val="clear" w:color="auto" w:fill="FFFFFF" w:themeFill="background1"/>
              </w:rPr>
            </w:pPr>
            <w:r w:rsidRPr="00BC76DC">
              <w:rPr>
                <w:rFonts w:ascii="Times New Roman" w:hAnsi="Times New Roman" w:cs="Times New Roman"/>
                <w:color w:val="000000" w:themeColor="text1"/>
                <w:sz w:val="22"/>
                <w:shd w:val="clear" w:color="auto" w:fill="FFFFFF" w:themeFill="background1"/>
              </w:rPr>
              <w:t>Perceived behavioral control</w:t>
            </w:r>
          </w:p>
        </w:tc>
        <w:tc>
          <w:tcPr>
            <w:tcW w:w="2232" w:type="dxa"/>
            <w:vAlign w:val="center"/>
          </w:tcPr>
          <w:p w14:paraId="0E519ABB" w14:textId="77777777" w:rsidR="0007790E" w:rsidRPr="00BC76DC" w:rsidRDefault="00000000" w:rsidP="00BC76DC">
            <w:pPr>
              <w:tabs>
                <w:tab w:val="left" w:pos="1276"/>
              </w:tabs>
              <w:rPr>
                <w:rFonts w:ascii="Times New Roman" w:hAnsi="Times New Roman" w:cs="Times New Roman"/>
                <w:color w:val="000000" w:themeColor="text1"/>
                <w:sz w:val="22"/>
                <w:shd w:val="clear" w:color="auto" w:fill="FFFFFF" w:themeFill="background1"/>
              </w:rPr>
            </w:pPr>
            <w:r w:rsidRPr="00BC76DC">
              <w:rPr>
                <w:rFonts w:ascii="Times New Roman" w:hAnsi="Times New Roman" w:cs="Times New Roman"/>
                <w:color w:val="000000" w:themeColor="text1"/>
                <w:sz w:val="22"/>
                <w:shd w:val="clear" w:color="auto" w:fill="FFFFFF" w:themeFill="background1"/>
              </w:rPr>
              <w:t>0.823</w:t>
            </w:r>
          </w:p>
        </w:tc>
        <w:tc>
          <w:tcPr>
            <w:tcW w:w="3816" w:type="dxa"/>
            <w:vAlign w:val="center"/>
          </w:tcPr>
          <w:p w14:paraId="6BA9BCF1" w14:textId="77777777" w:rsidR="0007790E" w:rsidRPr="00BC76DC" w:rsidRDefault="00000000" w:rsidP="00BC76DC">
            <w:pPr>
              <w:tabs>
                <w:tab w:val="left" w:pos="1276"/>
              </w:tabs>
              <w:rPr>
                <w:rFonts w:ascii="Times New Roman" w:hAnsi="Times New Roman" w:cs="Times New Roman"/>
                <w:color w:val="000000" w:themeColor="text1"/>
                <w:sz w:val="22"/>
                <w:shd w:val="clear" w:color="auto" w:fill="FFFFFF" w:themeFill="background1"/>
              </w:rPr>
            </w:pPr>
            <w:r w:rsidRPr="00BC76DC">
              <w:rPr>
                <w:rFonts w:ascii="Times New Roman" w:hAnsi="Times New Roman" w:cs="Times New Roman"/>
                <w:color w:val="000000" w:themeColor="text1"/>
                <w:sz w:val="22"/>
                <w:shd w:val="clear" w:color="auto" w:fill="FFFFFF" w:themeFill="background1"/>
              </w:rPr>
              <w:t>No evidence of a difference between TTCs</w:t>
            </w:r>
          </w:p>
        </w:tc>
      </w:tr>
    </w:tbl>
    <w:p w14:paraId="1CFF0228" w14:textId="77777777" w:rsidR="00BC76DC" w:rsidRDefault="00BC76DC" w:rsidP="00BC76DC">
      <w:pPr>
        <w:tabs>
          <w:tab w:val="left" w:pos="1276"/>
        </w:tabs>
        <w:spacing w:line="240" w:lineRule="auto"/>
        <w:rPr>
          <w:rFonts w:ascii="Times New Roman" w:hAnsi="Times New Roman" w:cs="Times New Roman"/>
          <w:bCs/>
          <w:color w:val="000000" w:themeColor="text1"/>
          <w:sz w:val="22"/>
          <w:shd w:val="clear" w:color="auto" w:fill="FFFFFF" w:themeFill="background1"/>
        </w:rPr>
      </w:pPr>
    </w:p>
    <w:p w14:paraId="5E4C71BB" w14:textId="31156636" w:rsidR="0007790E" w:rsidRPr="00BC76DC" w:rsidRDefault="00000000" w:rsidP="00BC76DC">
      <w:pPr>
        <w:tabs>
          <w:tab w:val="left" w:pos="1276"/>
        </w:tabs>
        <w:spacing w:line="240" w:lineRule="auto"/>
        <w:rPr>
          <w:rFonts w:ascii="Times New Roman" w:hAnsi="Times New Roman" w:cs="Times New Roman"/>
          <w:bCs/>
          <w:color w:val="000000" w:themeColor="text1"/>
          <w:sz w:val="22"/>
          <w:shd w:val="clear" w:color="auto" w:fill="FFFFFF" w:themeFill="background1"/>
        </w:rPr>
      </w:pPr>
      <w:r w:rsidRPr="00BC76DC">
        <w:rPr>
          <w:rFonts w:ascii="Times New Roman" w:hAnsi="Times New Roman" w:cs="Times New Roman"/>
          <w:bCs/>
          <w:color w:val="000000" w:themeColor="text1"/>
          <w:sz w:val="22"/>
          <w:shd w:val="clear" w:color="auto" w:fill="FFFFFF" w:themeFill="background1"/>
        </w:rPr>
        <w:t>In summary, the main findings were stable when TTC was included or excluded, and there was no evidence that the associations with willingness differed between the two TTCs. The pooled analysis adjusted for TTC was therefore appropriate.</w:t>
      </w:r>
    </w:p>
    <w:sectPr w:rsidR="0007790E" w:rsidRPr="00BC76D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348673567">
    <w:abstractNumId w:val="8"/>
  </w:num>
  <w:num w:numId="2" w16cid:durableId="1354918860">
    <w:abstractNumId w:val="6"/>
  </w:num>
  <w:num w:numId="3" w16cid:durableId="997928224">
    <w:abstractNumId w:val="5"/>
  </w:num>
  <w:num w:numId="4" w16cid:durableId="1754233498">
    <w:abstractNumId w:val="4"/>
  </w:num>
  <w:num w:numId="5" w16cid:durableId="1813019652">
    <w:abstractNumId w:val="7"/>
  </w:num>
  <w:num w:numId="6" w16cid:durableId="1870684737">
    <w:abstractNumId w:val="3"/>
  </w:num>
  <w:num w:numId="7" w16cid:durableId="661543945">
    <w:abstractNumId w:val="2"/>
  </w:num>
  <w:num w:numId="8" w16cid:durableId="1630895890">
    <w:abstractNumId w:val="1"/>
  </w:num>
  <w:num w:numId="9" w16cid:durableId="1666318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790E"/>
    <w:rsid w:val="0015074B"/>
    <w:rsid w:val="001E299F"/>
    <w:rsid w:val="0029639D"/>
    <w:rsid w:val="00326F90"/>
    <w:rsid w:val="00A828F6"/>
    <w:rsid w:val="00AA1D8D"/>
    <w:rsid w:val="00B47730"/>
    <w:rsid w:val="00BC76DC"/>
    <w:rsid w:val="00CB0664"/>
    <w:rsid w:val="00F4411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5FCE1605"/>
  <w14:defaultImageDpi w14:val="300"/>
  <w15:docId w15:val="{DF7931A6-A9DB-42AF-9714-0EF51C273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Arial" w:hAnsi="Arial"/>
      <w:sz w:val="20"/>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8"/>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382</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無名</cp:lastModifiedBy>
  <cp:revision>2</cp:revision>
  <dcterms:created xsi:type="dcterms:W3CDTF">2026-09-28T07:14:00Z</dcterms:created>
  <dcterms:modified xsi:type="dcterms:W3CDTF">2026-09-28T07:14:00Z</dcterms:modified>
  <cp:category/>
</cp:coreProperties>
</file>