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0B9DF" w14:textId="77777777" w:rsidR="0028419A" w:rsidRDefault="00000000" w:rsidP="00FA2B35">
      <w:pPr>
        <w:pStyle w:val="Title"/>
        <w:pBdr>
          <w:bottom w:val="none" w:sz="0" w:space="0" w:color="auto"/>
        </w:pBdr>
        <w:spacing w:after="0"/>
        <w:jc w:val="center"/>
        <w:rPr>
          <w:rFonts w:ascii="Times New Roman" w:hAnsi="Times New Roman" w:cs="Times New Roman"/>
          <w:b/>
          <w:color w:val="auto"/>
          <w:sz w:val="24"/>
          <w:szCs w:val="24"/>
        </w:rPr>
      </w:pPr>
      <w:r w:rsidRPr="00C3183D">
        <w:rPr>
          <w:rFonts w:ascii="Times New Roman" w:hAnsi="Times New Roman" w:cs="Times New Roman"/>
          <w:b/>
          <w:color w:val="auto"/>
          <w:sz w:val="24"/>
          <w:szCs w:val="24"/>
        </w:rPr>
        <w:t>Supplementary File S1</w:t>
      </w:r>
      <w:r w:rsidRPr="00C3183D">
        <w:rPr>
          <w:rFonts w:ascii="Times New Roman" w:hAnsi="Times New Roman" w:cs="Times New Roman"/>
          <w:b/>
          <w:color w:val="auto"/>
          <w:sz w:val="24"/>
          <w:szCs w:val="24"/>
        </w:rPr>
        <w:br/>
        <w:t>Data and Methodological Documentation</w:t>
      </w:r>
    </w:p>
    <w:p w14:paraId="6BE0572F" w14:textId="77777777" w:rsidR="00C3183D" w:rsidRPr="00C3183D" w:rsidRDefault="00C3183D" w:rsidP="00C3183D"/>
    <w:p w14:paraId="246774D5" w14:textId="77777777" w:rsidR="0028419A" w:rsidRPr="00C3183D" w:rsidRDefault="00000000" w:rsidP="00FA2B35">
      <w:pPr>
        <w:spacing w:after="0" w:line="240" w:lineRule="auto"/>
        <w:jc w:val="center"/>
        <w:rPr>
          <w:rFonts w:ascii="Times New Roman" w:hAnsi="Times New Roman" w:cs="Times New Roman"/>
          <w:sz w:val="24"/>
          <w:szCs w:val="24"/>
        </w:rPr>
      </w:pPr>
      <w:r w:rsidRPr="00C3183D">
        <w:rPr>
          <w:rFonts w:ascii="Times New Roman" w:hAnsi="Times New Roman" w:cs="Times New Roman"/>
          <w:i/>
          <w:sz w:val="24"/>
          <w:szCs w:val="24"/>
        </w:rPr>
        <w:t>Urban Vulnerability, the Right to the City, and Ecovocation: Migrant Women in Covert Spa-Based Sex Work in Jakarta</w:t>
      </w:r>
    </w:p>
    <w:p w14:paraId="2FF9DA89" w14:textId="77777777" w:rsidR="0028419A" w:rsidRPr="00C3183D" w:rsidRDefault="00000000" w:rsidP="00FA2B35">
      <w:pPr>
        <w:spacing w:after="0" w:line="240" w:lineRule="auto"/>
        <w:jc w:val="center"/>
        <w:rPr>
          <w:rFonts w:ascii="Times New Roman" w:hAnsi="Times New Roman" w:cs="Times New Roman"/>
          <w:sz w:val="24"/>
          <w:szCs w:val="24"/>
        </w:rPr>
      </w:pPr>
      <w:r w:rsidRPr="00C3183D">
        <w:rPr>
          <w:rFonts w:ascii="Times New Roman" w:hAnsi="Times New Roman" w:cs="Times New Roman"/>
          <w:sz w:val="24"/>
          <w:szCs w:val="24"/>
        </w:rPr>
        <w:t>Submission ID: bd5b09dc-bf3b-427b-848c-ae8aaa5b34c8</w:t>
      </w:r>
    </w:p>
    <w:p w14:paraId="2792A41E" w14:textId="77777777" w:rsidR="00FA2B35" w:rsidRPr="00C3183D" w:rsidRDefault="00FA2B35" w:rsidP="00FA2B35">
      <w:pPr>
        <w:spacing w:after="0" w:line="240" w:lineRule="auto"/>
        <w:jc w:val="center"/>
        <w:rPr>
          <w:rFonts w:ascii="Times New Roman" w:hAnsi="Times New Roman" w:cs="Times New Roman"/>
          <w:sz w:val="24"/>
          <w:szCs w:val="24"/>
        </w:rPr>
      </w:pPr>
    </w:p>
    <w:p w14:paraId="318F64EF" w14:textId="77777777" w:rsidR="00FA2B35" w:rsidRPr="00C3183D" w:rsidRDefault="00FA2B35" w:rsidP="00FA2B35">
      <w:pPr>
        <w:spacing w:after="0" w:line="240" w:lineRule="auto"/>
        <w:jc w:val="center"/>
        <w:rPr>
          <w:rFonts w:ascii="Times New Roman" w:hAnsi="Times New Roman" w:cs="Times New Roman"/>
          <w:sz w:val="24"/>
          <w:szCs w:val="24"/>
        </w:rPr>
      </w:pPr>
    </w:p>
    <w:p w14:paraId="1F41745E" w14:textId="77777777" w:rsidR="0028419A" w:rsidRPr="00C3183D" w:rsidRDefault="00000000" w:rsidP="00FA2B35">
      <w:pPr>
        <w:pStyle w:val="Heading1"/>
        <w:spacing w:before="0" w:line="240" w:lineRule="auto"/>
        <w:jc w:val="both"/>
        <w:rPr>
          <w:rFonts w:ascii="Times New Roman" w:hAnsi="Times New Roman" w:cs="Times New Roman"/>
          <w:color w:val="auto"/>
          <w:sz w:val="24"/>
          <w:szCs w:val="24"/>
        </w:rPr>
      </w:pPr>
      <w:r w:rsidRPr="00C3183D">
        <w:rPr>
          <w:rFonts w:ascii="Times New Roman" w:hAnsi="Times New Roman" w:cs="Times New Roman"/>
          <w:color w:val="auto"/>
          <w:sz w:val="24"/>
          <w:szCs w:val="24"/>
        </w:rPr>
        <w:t>S1. Purpose and provenance</w:t>
      </w:r>
    </w:p>
    <w:p w14:paraId="2D19EF46" w14:textId="77777777" w:rsidR="0028419A" w:rsidRPr="00C3183D"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 xml:space="preserve">This supplementary file documents the de-identified analytic materials and methodological information that can be shared for editorial and peer-review assessment of the secondary interpretive reanalysis. It does not recreate or fabricate original records that are not retained in the materials available for the present reanalysis. </w:t>
      </w:r>
      <w:proofErr w:type="gramStart"/>
      <w:r w:rsidRPr="00C3183D">
        <w:rPr>
          <w:rFonts w:ascii="Times New Roman" w:hAnsi="Times New Roman" w:cs="Times New Roman"/>
          <w:sz w:val="24"/>
          <w:szCs w:val="24"/>
        </w:rPr>
        <w:t>In particular, it</w:t>
      </w:r>
      <w:proofErr w:type="gramEnd"/>
      <w:r w:rsidRPr="00C3183D">
        <w:rPr>
          <w:rFonts w:ascii="Times New Roman" w:hAnsi="Times New Roman" w:cs="Times New Roman"/>
          <w:sz w:val="24"/>
          <w:szCs w:val="24"/>
        </w:rPr>
        <w:t xml:space="preserve"> should not be interpreted as a verbatim copy of an original interview guide or as a substitute for identifiable raw interview records.</w:t>
      </w:r>
    </w:p>
    <w:p w14:paraId="56FD21F3" w14:textId="77777777" w:rsidR="0028419A" w:rsidRPr="00C3183D" w:rsidRDefault="00000000" w:rsidP="00FA2B35">
      <w:pPr>
        <w:pStyle w:val="Heading1"/>
        <w:spacing w:before="0" w:line="240" w:lineRule="auto"/>
        <w:rPr>
          <w:rFonts w:ascii="Times New Roman" w:hAnsi="Times New Roman" w:cs="Times New Roman"/>
          <w:color w:val="auto"/>
          <w:sz w:val="24"/>
          <w:szCs w:val="24"/>
        </w:rPr>
      </w:pPr>
      <w:r w:rsidRPr="00C3183D">
        <w:rPr>
          <w:rFonts w:ascii="Times New Roman" w:hAnsi="Times New Roman" w:cs="Times New Roman"/>
          <w:color w:val="auto"/>
          <w:sz w:val="24"/>
          <w:szCs w:val="24"/>
        </w:rPr>
        <w:t>S2. Data and documentation inventory</w:t>
      </w:r>
    </w:p>
    <w:tbl>
      <w:tblPr>
        <w:tblStyle w:val="TableGrid"/>
        <w:tblW w:w="0" w:type="auto"/>
        <w:jc w:val="center"/>
        <w:tblLook w:val="04A0" w:firstRow="1" w:lastRow="0" w:firstColumn="1" w:lastColumn="0" w:noHBand="0" w:noVBand="1"/>
      </w:tblPr>
      <w:tblGrid>
        <w:gridCol w:w="2448"/>
        <w:gridCol w:w="2448"/>
        <w:gridCol w:w="2448"/>
        <w:gridCol w:w="2522"/>
      </w:tblGrid>
      <w:tr w:rsidR="0028419A" w:rsidRPr="00C3183D" w14:paraId="2C55C045" w14:textId="77777777">
        <w:trPr>
          <w:jc w:val="center"/>
        </w:trPr>
        <w:tc>
          <w:tcPr>
            <w:tcW w:w="2448" w:type="dxa"/>
          </w:tcPr>
          <w:p w14:paraId="480C591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Material</w:t>
            </w:r>
          </w:p>
        </w:tc>
        <w:tc>
          <w:tcPr>
            <w:tcW w:w="2448" w:type="dxa"/>
          </w:tcPr>
          <w:p w14:paraId="1CC2C43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Status</w:t>
            </w:r>
          </w:p>
        </w:tc>
        <w:tc>
          <w:tcPr>
            <w:tcW w:w="2448" w:type="dxa"/>
          </w:tcPr>
          <w:p w14:paraId="76ED307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Where provided / access</w:t>
            </w:r>
          </w:p>
        </w:tc>
        <w:tc>
          <w:tcPr>
            <w:tcW w:w="2448" w:type="dxa"/>
          </w:tcPr>
          <w:p w14:paraId="0468321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Notes</w:t>
            </w:r>
          </w:p>
        </w:tc>
      </w:tr>
      <w:tr w:rsidR="0028419A" w:rsidRPr="00C3183D" w14:paraId="3493F259" w14:textId="77777777">
        <w:trPr>
          <w:jc w:val="center"/>
        </w:trPr>
        <w:tc>
          <w:tcPr>
            <w:tcW w:w="2448" w:type="dxa"/>
          </w:tcPr>
          <w:p w14:paraId="70BDE7D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Participant-code inventory and group composition</w:t>
            </w:r>
          </w:p>
        </w:tc>
        <w:tc>
          <w:tcPr>
            <w:tcW w:w="2448" w:type="dxa"/>
          </w:tcPr>
          <w:p w14:paraId="4073F59A"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De-identified processed documentation</w:t>
            </w:r>
          </w:p>
        </w:tc>
        <w:tc>
          <w:tcPr>
            <w:tcW w:w="2448" w:type="dxa"/>
          </w:tcPr>
          <w:p w14:paraId="3BA1EE5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Table S1 below</w:t>
            </w:r>
          </w:p>
        </w:tc>
        <w:tc>
          <w:tcPr>
            <w:tcW w:w="2448" w:type="dxa"/>
          </w:tcPr>
          <w:p w14:paraId="4E412777"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 xml:space="preserve">Sixteen pseudonymized codes </w:t>
            </w:r>
            <w:proofErr w:type="gramStart"/>
            <w:r w:rsidRPr="00C3183D">
              <w:rPr>
                <w:rFonts w:ascii="Times New Roman" w:hAnsi="Times New Roman" w:cs="Times New Roman"/>
                <w:sz w:val="24"/>
                <w:szCs w:val="24"/>
              </w:rPr>
              <w:t>used</w:t>
            </w:r>
            <w:proofErr w:type="gramEnd"/>
            <w:r w:rsidRPr="00C3183D">
              <w:rPr>
                <w:rFonts w:ascii="Times New Roman" w:hAnsi="Times New Roman" w:cs="Times New Roman"/>
                <w:sz w:val="24"/>
                <w:szCs w:val="24"/>
              </w:rPr>
              <w:t xml:space="preserve"> in the reanalysis.</w:t>
            </w:r>
          </w:p>
        </w:tc>
      </w:tr>
      <w:tr w:rsidR="0028419A" w:rsidRPr="00C3183D" w14:paraId="0A0ABD5C" w14:textId="77777777">
        <w:trPr>
          <w:jc w:val="center"/>
        </w:trPr>
        <w:tc>
          <w:tcPr>
            <w:tcW w:w="2448" w:type="dxa"/>
          </w:tcPr>
          <w:p w14:paraId="2AC50C5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Interview-topic domains retained for reanalysis</w:t>
            </w:r>
          </w:p>
        </w:tc>
        <w:tc>
          <w:tcPr>
            <w:tcW w:w="2448" w:type="dxa"/>
          </w:tcPr>
          <w:p w14:paraId="64761394"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De-identified methodological documentation</w:t>
            </w:r>
          </w:p>
        </w:tc>
        <w:tc>
          <w:tcPr>
            <w:tcW w:w="2448" w:type="dxa"/>
          </w:tcPr>
          <w:p w14:paraId="20DA0FA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Section S4 below</w:t>
            </w:r>
          </w:p>
        </w:tc>
        <w:tc>
          <w:tcPr>
            <w:tcW w:w="2448" w:type="dxa"/>
          </w:tcPr>
          <w:p w14:paraId="689728F2"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Documents the domains represented in the retained research materials; not presented as a verbatim original interview guide.</w:t>
            </w:r>
          </w:p>
        </w:tc>
      </w:tr>
      <w:tr w:rsidR="0028419A" w:rsidRPr="00C3183D" w14:paraId="3AF37836" w14:textId="77777777">
        <w:trPr>
          <w:jc w:val="center"/>
        </w:trPr>
        <w:tc>
          <w:tcPr>
            <w:tcW w:w="2448" w:type="dxa"/>
          </w:tcPr>
          <w:p w14:paraId="590F260C"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Coding/thematic framework</w:t>
            </w:r>
          </w:p>
        </w:tc>
        <w:tc>
          <w:tcPr>
            <w:tcW w:w="2448" w:type="dxa"/>
          </w:tcPr>
          <w:p w14:paraId="353379F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Processed analytic documentation</w:t>
            </w:r>
          </w:p>
        </w:tc>
        <w:tc>
          <w:tcPr>
            <w:tcW w:w="2448" w:type="dxa"/>
          </w:tcPr>
          <w:p w14:paraId="12DAF03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Table S2 below</w:t>
            </w:r>
          </w:p>
        </w:tc>
        <w:tc>
          <w:tcPr>
            <w:tcW w:w="2448" w:type="dxa"/>
          </w:tcPr>
          <w:p w14:paraId="743F497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Records the principal descriptive coding domains and six higher-order vulnerability dimensions used in the reanalysis.</w:t>
            </w:r>
          </w:p>
        </w:tc>
      </w:tr>
      <w:tr w:rsidR="0028419A" w:rsidRPr="00C3183D" w14:paraId="3ABED64D" w14:textId="77777777">
        <w:trPr>
          <w:jc w:val="center"/>
        </w:trPr>
        <w:tc>
          <w:tcPr>
            <w:tcW w:w="2448" w:type="dxa"/>
          </w:tcPr>
          <w:p w14:paraId="295778D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Analytic procedure and provenance</w:t>
            </w:r>
          </w:p>
        </w:tc>
        <w:tc>
          <w:tcPr>
            <w:tcW w:w="2448" w:type="dxa"/>
          </w:tcPr>
          <w:p w14:paraId="1BC2FBE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Methodological documentation</w:t>
            </w:r>
          </w:p>
        </w:tc>
        <w:tc>
          <w:tcPr>
            <w:tcW w:w="2448" w:type="dxa"/>
          </w:tcPr>
          <w:p w14:paraId="2246070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Section S5 below</w:t>
            </w:r>
          </w:p>
        </w:tc>
        <w:tc>
          <w:tcPr>
            <w:tcW w:w="2448" w:type="dxa"/>
          </w:tcPr>
          <w:p w14:paraId="7387C5DE"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Describes the thematic/interpretive sequence and the separation of evidence, theory, and policy propositions.</w:t>
            </w:r>
          </w:p>
        </w:tc>
      </w:tr>
      <w:tr w:rsidR="0028419A" w:rsidRPr="00C3183D" w14:paraId="524670A2" w14:textId="77777777">
        <w:trPr>
          <w:jc w:val="center"/>
        </w:trPr>
        <w:tc>
          <w:tcPr>
            <w:tcW w:w="2448" w:type="dxa"/>
          </w:tcPr>
          <w:p w14:paraId="46301D2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Statistical scripts, modelling code, formulae</w:t>
            </w:r>
          </w:p>
        </w:tc>
        <w:tc>
          <w:tcPr>
            <w:tcW w:w="2448" w:type="dxa"/>
          </w:tcPr>
          <w:p w14:paraId="3EDBC24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Not applicable</w:t>
            </w:r>
          </w:p>
        </w:tc>
        <w:tc>
          <w:tcPr>
            <w:tcW w:w="2448" w:type="dxa"/>
          </w:tcPr>
          <w:p w14:paraId="0FB803F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Not applicable</w:t>
            </w:r>
          </w:p>
        </w:tc>
        <w:tc>
          <w:tcPr>
            <w:tcW w:w="2448" w:type="dxa"/>
          </w:tcPr>
          <w:p w14:paraId="217CF81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No statistical modelling or quantitative transformation was performed.</w:t>
            </w:r>
          </w:p>
        </w:tc>
      </w:tr>
      <w:tr w:rsidR="0028419A" w:rsidRPr="00C3183D" w14:paraId="66AD3BA7" w14:textId="77777777">
        <w:trPr>
          <w:jc w:val="center"/>
        </w:trPr>
        <w:tc>
          <w:tcPr>
            <w:tcW w:w="2448" w:type="dxa"/>
          </w:tcPr>
          <w:p w14:paraId="735BCE5D"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Full raw transcripts / audio records</w:t>
            </w:r>
          </w:p>
        </w:tc>
        <w:tc>
          <w:tcPr>
            <w:tcW w:w="2448" w:type="dxa"/>
          </w:tcPr>
          <w:p w14:paraId="2408CBFC"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Restricted; not publicly deposited</w:t>
            </w:r>
          </w:p>
        </w:tc>
        <w:tc>
          <w:tcPr>
            <w:tcW w:w="2448" w:type="dxa"/>
          </w:tcPr>
          <w:p w14:paraId="0086425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Confidential access only if ethically permissible and available in the retained study records</w:t>
            </w:r>
          </w:p>
        </w:tc>
        <w:tc>
          <w:tcPr>
            <w:tcW w:w="2448" w:type="dxa"/>
          </w:tcPr>
          <w:p w14:paraId="39AAC0A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 xml:space="preserve">Unrestricted release could create re-identification and social/legal/reputational risks for a vulnerable </w:t>
            </w:r>
            <w:r w:rsidRPr="00C3183D">
              <w:rPr>
                <w:rFonts w:ascii="Times New Roman" w:hAnsi="Times New Roman" w:cs="Times New Roman"/>
                <w:sz w:val="24"/>
                <w:szCs w:val="24"/>
              </w:rPr>
              <w:lastRenderedPageBreak/>
              <w:t>and stigmatized participant group.</w:t>
            </w:r>
          </w:p>
        </w:tc>
      </w:tr>
      <w:tr w:rsidR="0028419A" w:rsidRPr="00C3183D" w14:paraId="54C9F4E4" w14:textId="77777777">
        <w:trPr>
          <w:jc w:val="center"/>
        </w:trPr>
        <w:tc>
          <w:tcPr>
            <w:tcW w:w="2448" w:type="dxa"/>
          </w:tcPr>
          <w:p w14:paraId="1ED6667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lastRenderedPageBreak/>
              <w:t>Identifiable recruitment/contact records</w:t>
            </w:r>
          </w:p>
        </w:tc>
        <w:tc>
          <w:tcPr>
            <w:tcW w:w="2448" w:type="dxa"/>
          </w:tcPr>
          <w:p w14:paraId="22249854"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Restricted; not shared</w:t>
            </w:r>
          </w:p>
        </w:tc>
        <w:tc>
          <w:tcPr>
            <w:tcW w:w="2448" w:type="dxa"/>
          </w:tcPr>
          <w:p w14:paraId="70F4867C"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Not publicly available</w:t>
            </w:r>
          </w:p>
        </w:tc>
        <w:tc>
          <w:tcPr>
            <w:tcW w:w="2448" w:type="dxa"/>
          </w:tcPr>
          <w:p w14:paraId="6FD8372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Contains or may contain information capable of identifying participants.</w:t>
            </w:r>
          </w:p>
        </w:tc>
      </w:tr>
    </w:tbl>
    <w:p w14:paraId="27D97E1C" w14:textId="77777777" w:rsidR="00C3183D" w:rsidRDefault="00C3183D" w:rsidP="00FA2B35">
      <w:pPr>
        <w:pStyle w:val="Heading1"/>
        <w:spacing w:before="0" w:line="240" w:lineRule="auto"/>
        <w:rPr>
          <w:rFonts w:ascii="Times New Roman" w:hAnsi="Times New Roman" w:cs="Times New Roman"/>
          <w:color w:val="auto"/>
          <w:sz w:val="24"/>
          <w:szCs w:val="24"/>
        </w:rPr>
      </w:pPr>
    </w:p>
    <w:p w14:paraId="62C4C18B" w14:textId="187DA96D" w:rsidR="0028419A" w:rsidRPr="00C3183D" w:rsidRDefault="00000000" w:rsidP="00FA2B35">
      <w:pPr>
        <w:pStyle w:val="Heading1"/>
        <w:spacing w:before="0" w:line="240" w:lineRule="auto"/>
        <w:rPr>
          <w:rFonts w:ascii="Times New Roman" w:hAnsi="Times New Roman" w:cs="Times New Roman"/>
          <w:color w:val="auto"/>
          <w:sz w:val="24"/>
          <w:szCs w:val="24"/>
        </w:rPr>
      </w:pPr>
      <w:r w:rsidRPr="00C3183D">
        <w:rPr>
          <w:rFonts w:ascii="Times New Roman" w:hAnsi="Times New Roman" w:cs="Times New Roman"/>
          <w:color w:val="auto"/>
          <w:sz w:val="24"/>
          <w:szCs w:val="24"/>
        </w:rPr>
        <w:t>S3. Participant-code inventory</w:t>
      </w:r>
    </w:p>
    <w:tbl>
      <w:tblPr>
        <w:tblStyle w:val="TableGrid"/>
        <w:tblW w:w="0" w:type="auto"/>
        <w:jc w:val="center"/>
        <w:tblLook w:val="04A0" w:firstRow="1" w:lastRow="0" w:firstColumn="1" w:lastColumn="0" w:noHBand="0" w:noVBand="1"/>
      </w:tblPr>
      <w:tblGrid>
        <w:gridCol w:w="2448"/>
        <w:gridCol w:w="2448"/>
        <w:gridCol w:w="2448"/>
        <w:gridCol w:w="2448"/>
      </w:tblGrid>
      <w:tr w:rsidR="0028419A" w:rsidRPr="00C3183D" w14:paraId="2D227441" w14:textId="77777777">
        <w:trPr>
          <w:jc w:val="center"/>
        </w:trPr>
        <w:tc>
          <w:tcPr>
            <w:tcW w:w="2448" w:type="dxa"/>
          </w:tcPr>
          <w:p w14:paraId="3141CEDC"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Participant group</w:t>
            </w:r>
          </w:p>
        </w:tc>
        <w:tc>
          <w:tcPr>
            <w:tcW w:w="2448" w:type="dxa"/>
          </w:tcPr>
          <w:p w14:paraId="44A98DD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Pseudonymized codes</w:t>
            </w:r>
          </w:p>
        </w:tc>
        <w:tc>
          <w:tcPr>
            <w:tcW w:w="2448" w:type="dxa"/>
          </w:tcPr>
          <w:p w14:paraId="37B32242"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w:t>
            </w:r>
          </w:p>
        </w:tc>
        <w:tc>
          <w:tcPr>
            <w:tcW w:w="2448" w:type="dxa"/>
          </w:tcPr>
          <w:p w14:paraId="6E361DC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Role in analysis</w:t>
            </w:r>
          </w:p>
        </w:tc>
      </w:tr>
      <w:tr w:rsidR="0028419A" w:rsidRPr="00C3183D" w14:paraId="51C7E6C0" w14:textId="77777777">
        <w:trPr>
          <w:jc w:val="center"/>
        </w:trPr>
        <w:tc>
          <w:tcPr>
            <w:tcW w:w="2448" w:type="dxa"/>
          </w:tcPr>
          <w:p w14:paraId="1DD2A46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Migrant women / SPA workers</w:t>
            </w:r>
          </w:p>
        </w:tc>
        <w:tc>
          <w:tcPr>
            <w:tcW w:w="2448" w:type="dxa"/>
          </w:tcPr>
          <w:p w14:paraId="34F8CAA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IT, RN, DS, WD, DA, NA, LA, RA</w:t>
            </w:r>
          </w:p>
        </w:tc>
        <w:tc>
          <w:tcPr>
            <w:tcW w:w="2448" w:type="dxa"/>
          </w:tcPr>
          <w:p w14:paraId="4782F8A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8</w:t>
            </w:r>
          </w:p>
        </w:tc>
        <w:tc>
          <w:tcPr>
            <w:tcW w:w="2448" w:type="dxa"/>
          </w:tcPr>
          <w:p w14:paraId="0689066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Migration, employment, stigma, protection, housing/environmental conditions</w:t>
            </w:r>
          </w:p>
        </w:tc>
      </w:tr>
      <w:tr w:rsidR="0028419A" w:rsidRPr="00C3183D" w14:paraId="202123C8" w14:textId="77777777">
        <w:trPr>
          <w:jc w:val="center"/>
        </w:trPr>
        <w:tc>
          <w:tcPr>
            <w:tcW w:w="2448" w:type="dxa"/>
          </w:tcPr>
          <w:p w14:paraId="7CEC303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NGO / legal-aid advocates</w:t>
            </w:r>
          </w:p>
        </w:tc>
        <w:tc>
          <w:tcPr>
            <w:tcW w:w="2448" w:type="dxa"/>
          </w:tcPr>
          <w:p w14:paraId="0C02670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SI, RO, TA</w:t>
            </w:r>
          </w:p>
        </w:tc>
        <w:tc>
          <w:tcPr>
            <w:tcW w:w="2448" w:type="dxa"/>
          </w:tcPr>
          <w:p w14:paraId="53364DAE"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3</w:t>
            </w:r>
          </w:p>
        </w:tc>
        <w:tc>
          <w:tcPr>
            <w:tcW w:w="2448" w:type="dxa"/>
          </w:tcPr>
          <w:p w14:paraId="654EEE84"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Rights advocacy, legal protection, referral pathways</w:t>
            </w:r>
          </w:p>
        </w:tc>
      </w:tr>
      <w:tr w:rsidR="0028419A" w:rsidRPr="00C3183D" w14:paraId="605BE0F8" w14:textId="77777777">
        <w:trPr>
          <w:jc w:val="center"/>
        </w:trPr>
        <w:tc>
          <w:tcPr>
            <w:tcW w:w="2448" w:type="dxa"/>
          </w:tcPr>
          <w:p w14:paraId="326683BA"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Academics</w:t>
            </w:r>
          </w:p>
        </w:tc>
        <w:tc>
          <w:tcPr>
            <w:tcW w:w="2448" w:type="dxa"/>
          </w:tcPr>
          <w:p w14:paraId="21D848C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ID, AH</w:t>
            </w:r>
          </w:p>
        </w:tc>
        <w:tc>
          <w:tcPr>
            <w:tcW w:w="2448" w:type="dxa"/>
          </w:tcPr>
          <w:p w14:paraId="016C6B0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2</w:t>
            </w:r>
          </w:p>
        </w:tc>
        <w:tc>
          <w:tcPr>
            <w:tcW w:w="2448" w:type="dxa"/>
          </w:tcPr>
          <w:p w14:paraId="3752037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Urban exclusion, citizenship, policy interpretation</w:t>
            </w:r>
          </w:p>
        </w:tc>
      </w:tr>
      <w:tr w:rsidR="0028419A" w:rsidRPr="00C3183D" w14:paraId="278C168A" w14:textId="77777777">
        <w:trPr>
          <w:jc w:val="center"/>
        </w:trPr>
        <w:tc>
          <w:tcPr>
            <w:tcW w:w="2448" w:type="dxa"/>
          </w:tcPr>
          <w:p w14:paraId="3FD26F3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Public-sector informants</w:t>
            </w:r>
          </w:p>
        </w:tc>
        <w:tc>
          <w:tcPr>
            <w:tcW w:w="2448" w:type="dxa"/>
          </w:tcPr>
          <w:p w14:paraId="0702A5F9"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HD, NM</w:t>
            </w:r>
          </w:p>
        </w:tc>
        <w:tc>
          <w:tcPr>
            <w:tcW w:w="2448" w:type="dxa"/>
          </w:tcPr>
          <w:p w14:paraId="0BA5EC0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2</w:t>
            </w:r>
          </w:p>
        </w:tc>
        <w:tc>
          <w:tcPr>
            <w:tcW w:w="2448" w:type="dxa"/>
          </w:tcPr>
          <w:p w14:paraId="775C35E2"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Governance, programs, implementation constraints</w:t>
            </w:r>
          </w:p>
        </w:tc>
      </w:tr>
      <w:tr w:rsidR="0028419A" w:rsidRPr="00C3183D" w14:paraId="6C9B52E6" w14:textId="77777777">
        <w:trPr>
          <w:jc w:val="center"/>
        </w:trPr>
        <w:tc>
          <w:tcPr>
            <w:tcW w:w="2448" w:type="dxa"/>
          </w:tcPr>
          <w:p w14:paraId="4449744A"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Community actor</w:t>
            </w:r>
          </w:p>
        </w:tc>
        <w:tc>
          <w:tcPr>
            <w:tcW w:w="2448" w:type="dxa"/>
          </w:tcPr>
          <w:p w14:paraId="50FF11A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JT</w:t>
            </w:r>
          </w:p>
        </w:tc>
        <w:tc>
          <w:tcPr>
            <w:tcW w:w="2448" w:type="dxa"/>
          </w:tcPr>
          <w:p w14:paraId="6454F42E"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1</w:t>
            </w:r>
          </w:p>
        </w:tc>
        <w:tc>
          <w:tcPr>
            <w:tcW w:w="2448" w:type="dxa"/>
          </w:tcPr>
          <w:p w14:paraId="2A28719D"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Local social context and livelihood access</w:t>
            </w:r>
          </w:p>
        </w:tc>
      </w:tr>
      <w:tr w:rsidR="0028419A" w:rsidRPr="00C3183D" w14:paraId="52FBB777" w14:textId="77777777">
        <w:trPr>
          <w:jc w:val="center"/>
        </w:trPr>
        <w:tc>
          <w:tcPr>
            <w:tcW w:w="2448" w:type="dxa"/>
          </w:tcPr>
          <w:p w14:paraId="1DC82A9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Total</w:t>
            </w:r>
          </w:p>
        </w:tc>
        <w:tc>
          <w:tcPr>
            <w:tcW w:w="2448" w:type="dxa"/>
          </w:tcPr>
          <w:p w14:paraId="2317494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w:t>
            </w:r>
          </w:p>
        </w:tc>
        <w:tc>
          <w:tcPr>
            <w:tcW w:w="2448" w:type="dxa"/>
          </w:tcPr>
          <w:p w14:paraId="4F6257B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16</w:t>
            </w:r>
          </w:p>
        </w:tc>
        <w:tc>
          <w:tcPr>
            <w:tcW w:w="2448" w:type="dxa"/>
          </w:tcPr>
          <w:p w14:paraId="0ACC198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Analytic corpus used in the secondary reanalysis</w:t>
            </w:r>
          </w:p>
        </w:tc>
      </w:tr>
    </w:tbl>
    <w:p w14:paraId="1DBA3A42" w14:textId="77777777" w:rsidR="0028419A" w:rsidRPr="00C3183D" w:rsidRDefault="00000000" w:rsidP="00FA2B35">
      <w:pPr>
        <w:pStyle w:val="Heading1"/>
        <w:spacing w:before="0" w:line="240" w:lineRule="auto"/>
        <w:rPr>
          <w:rFonts w:ascii="Times New Roman" w:hAnsi="Times New Roman" w:cs="Times New Roman"/>
          <w:color w:val="auto"/>
          <w:sz w:val="24"/>
          <w:szCs w:val="24"/>
        </w:rPr>
      </w:pPr>
      <w:r w:rsidRPr="00C3183D">
        <w:rPr>
          <w:rFonts w:ascii="Times New Roman" w:hAnsi="Times New Roman" w:cs="Times New Roman"/>
          <w:color w:val="auto"/>
          <w:sz w:val="24"/>
          <w:szCs w:val="24"/>
        </w:rPr>
        <w:t>S4. Documented interview-topic domains</w:t>
      </w:r>
    </w:p>
    <w:p w14:paraId="0C59AA48" w14:textId="77777777" w:rsidR="0028419A" w:rsidRPr="00C3183D"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The retained research materials used in the reanalysis document semi-structured interview coverage of the following domains: migration trajectories; education and employment histories; pathways into spa-based work; working conditions and wage arrangements; family obligations; stigma and enforcement experiences; housing, sanitation, flooding and other environmental conditions; access to legal or social assistance; perceived rights and protection; and livelihood alternatives. Contextual informants addressed protection mechanisms, social programs, labor-market barriers, urban governance, and referral/support pathways.</w:t>
      </w:r>
    </w:p>
    <w:p w14:paraId="66E63763" w14:textId="77777777" w:rsidR="0028419A"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Because the present article is a secondary interpretive reanalysis, this section reports only topic domains that can be verified from the retained materials and prior methodological accounts. It does not claim to reproduce an original verbatim interview schedule where such a document is not retained.</w:t>
      </w:r>
    </w:p>
    <w:p w14:paraId="53D98565" w14:textId="77777777" w:rsidR="00C3183D" w:rsidRPr="00C3183D" w:rsidRDefault="00C3183D" w:rsidP="00FA2B35">
      <w:pPr>
        <w:spacing w:after="0" w:line="240" w:lineRule="auto"/>
        <w:jc w:val="both"/>
        <w:rPr>
          <w:rFonts w:ascii="Times New Roman" w:hAnsi="Times New Roman" w:cs="Times New Roman"/>
          <w:sz w:val="24"/>
          <w:szCs w:val="24"/>
        </w:rPr>
      </w:pPr>
    </w:p>
    <w:p w14:paraId="28E7C9C0" w14:textId="77777777" w:rsidR="0028419A" w:rsidRPr="00C3183D" w:rsidRDefault="00000000" w:rsidP="00FA2B35">
      <w:pPr>
        <w:pStyle w:val="Heading1"/>
        <w:spacing w:before="0" w:line="240" w:lineRule="auto"/>
        <w:rPr>
          <w:rFonts w:ascii="Times New Roman" w:hAnsi="Times New Roman" w:cs="Times New Roman"/>
          <w:color w:val="auto"/>
          <w:sz w:val="24"/>
          <w:szCs w:val="24"/>
        </w:rPr>
      </w:pPr>
      <w:r w:rsidRPr="00C3183D">
        <w:rPr>
          <w:rFonts w:ascii="Times New Roman" w:hAnsi="Times New Roman" w:cs="Times New Roman"/>
          <w:color w:val="auto"/>
          <w:sz w:val="24"/>
          <w:szCs w:val="24"/>
        </w:rPr>
        <w:t>S5. Coding and thematic framework</w:t>
      </w:r>
    </w:p>
    <w:tbl>
      <w:tblPr>
        <w:tblStyle w:val="TableGrid"/>
        <w:tblW w:w="0" w:type="auto"/>
        <w:jc w:val="center"/>
        <w:tblLook w:val="04A0" w:firstRow="1" w:lastRow="0" w:firstColumn="1" w:lastColumn="0" w:noHBand="0" w:noVBand="1"/>
      </w:tblPr>
      <w:tblGrid>
        <w:gridCol w:w="3264"/>
        <w:gridCol w:w="3264"/>
        <w:gridCol w:w="3264"/>
      </w:tblGrid>
      <w:tr w:rsidR="0028419A" w:rsidRPr="00C3183D" w14:paraId="7D6B1645" w14:textId="77777777">
        <w:trPr>
          <w:jc w:val="center"/>
        </w:trPr>
        <w:tc>
          <w:tcPr>
            <w:tcW w:w="3264" w:type="dxa"/>
          </w:tcPr>
          <w:p w14:paraId="5F339D18"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Higher-order dimension</w:t>
            </w:r>
          </w:p>
        </w:tc>
        <w:tc>
          <w:tcPr>
            <w:tcW w:w="3264" w:type="dxa"/>
          </w:tcPr>
          <w:p w14:paraId="5A1E9375"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Indicative descriptive codes / evidence domains</w:t>
            </w:r>
          </w:p>
        </w:tc>
        <w:tc>
          <w:tcPr>
            <w:tcW w:w="3264" w:type="dxa"/>
          </w:tcPr>
          <w:p w14:paraId="620BE55D"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Analytic purpose</w:t>
            </w:r>
          </w:p>
        </w:tc>
      </w:tr>
      <w:tr w:rsidR="0028419A" w:rsidRPr="00C3183D" w14:paraId="2F9E2460" w14:textId="77777777">
        <w:trPr>
          <w:jc w:val="center"/>
        </w:trPr>
        <w:tc>
          <w:tcPr>
            <w:tcW w:w="3264" w:type="dxa"/>
          </w:tcPr>
          <w:p w14:paraId="10424E14"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Economic vulnerability</w:t>
            </w:r>
          </w:p>
        </w:tc>
        <w:tc>
          <w:tcPr>
            <w:tcW w:w="3264" w:type="dxa"/>
          </w:tcPr>
          <w:p w14:paraId="5ABA163A"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 xml:space="preserve">employment loss; income pressure; family/remittance obligations; constrained </w:t>
            </w:r>
            <w:r w:rsidRPr="00C3183D">
              <w:rPr>
                <w:rFonts w:ascii="Times New Roman" w:hAnsi="Times New Roman" w:cs="Times New Roman"/>
                <w:sz w:val="24"/>
                <w:szCs w:val="24"/>
              </w:rPr>
              <w:lastRenderedPageBreak/>
              <w:t>migration</w:t>
            </w:r>
          </w:p>
        </w:tc>
        <w:tc>
          <w:tcPr>
            <w:tcW w:w="3264" w:type="dxa"/>
          </w:tcPr>
          <w:p w14:paraId="2FF39B6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lastRenderedPageBreak/>
              <w:t>Maps livelihood pressures shaping feasible choices.</w:t>
            </w:r>
          </w:p>
        </w:tc>
      </w:tr>
      <w:tr w:rsidR="0028419A" w:rsidRPr="00C3183D" w14:paraId="2C655EC1" w14:textId="77777777">
        <w:trPr>
          <w:jc w:val="center"/>
        </w:trPr>
        <w:tc>
          <w:tcPr>
            <w:tcW w:w="3264" w:type="dxa"/>
          </w:tcPr>
          <w:p w14:paraId="60E63BCF"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Labor vulnerability</w:t>
            </w:r>
          </w:p>
        </w:tc>
        <w:tc>
          <w:tcPr>
            <w:tcW w:w="3264" w:type="dxa"/>
          </w:tcPr>
          <w:p w14:paraId="7B91523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credential barriers; lack of experience/networks; opaque wages; unpaid/unrecognized overtime; weak complaint mechanisms</w:t>
            </w:r>
          </w:p>
        </w:tc>
        <w:tc>
          <w:tcPr>
            <w:tcW w:w="3264" w:type="dxa"/>
          </w:tcPr>
          <w:p w14:paraId="110CA01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Examines insecurity in access to and conditions of work.</w:t>
            </w:r>
          </w:p>
        </w:tc>
      </w:tr>
      <w:tr w:rsidR="0028419A" w:rsidRPr="00C3183D" w14:paraId="49697E9C" w14:textId="77777777">
        <w:trPr>
          <w:jc w:val="center"/>
        </w:trPr>
        <w:tc>
          <w:tcPr>
            <w:tcW w:w="3264" w:type="dxa"/>
          </w:tcPr>
          <w:p w14:paraId="47F0DCE4"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Legal/protection vulnerability</w:t>
            </w:r>
          </w:p>
        </w:tc>
        <w:tc>
          <w:tcPr>
            <w:tcW w:w="3264" w:type="dxa"/>
          </w:tcPr>
          <w:p w14:paraId="7E56FB4E"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enforcement exposure; lack of legal assistance; uncertainty about complaint/reporting pathways</w:t>
            </w:r>
          </w:p>
        </w:tc>
        <w:tc>
          <w:tcPr>
            <w:tcW w:w="3264" w:type="dxa"/>
          </w:tcPr>
          <w:p w14:paraId="69F3CF6D" w14:textId="77777777" w:rsidR="0028419A" w:rsidRPr="00C3183D" w:rsidRDefault="00000000" w:rsidP="00FA2B35">
            <w:pPr>
              <w:rPr>
                <w:rFonts w:ascii="Times New Roman" w:hAnsi="Times New Roman" w:cs="Times New Roman"/>
                <w:sz w:val="24"/>
                <w:szCs w:val="24"/>
              </w:rPr>
            </w:pPr>
            <w:proofErr w:type="gramStart"/>
            <w:r w:rsidRPr="00C3183D">
              <w:rPr>
                <w:rFonts w:ascii="Times New Roman" w:hAnsi="Times New Roman" w:cs="Times New Roman"/>
                <w:sz w:val="24"/>
                <w:szCs w:val="24"/>
              </w:rPr>
              <w:t>Examines</w:t>
            </w:r>
            <w:proofErr w:type="gramEnd"/>
            <w:r w:rsidRPr="00C3183D">
              <w:rPr>
                <w:rFonts w:ascii="Times New Roman" w:hAnsi="Times New Roman" w:cs="Times New Roman"/>
                <w:sz w:val="24"/>
                <w:szCs w:val="24"/>
              </w:rPr>
              <w:t xml:space="preserve"> practical access to protection and </w:t>
            </w:r>
            <w:proofErr w:type="gramStart"/>
            <w:r w:rsidRPr="00C3183D">
              <w:rPr>
                <w:rFonts w:ascii="Times New Roman" w:hAnsi="Times New Roman" w:cs="Times New Roman"/>
                <w:sz w:val="24"/>
                <w:szCs w:val="24"/>
              </w:rPr>
              <w:t>safe</w:t>
            </w:r>
            <w:proofErr w:type="gramEnd"/>
            <w:r w:rsidRPr="00C3183D">
              <w:rPr>
                <w:rFonts w:ascii="Times New Roman" w:hAnsi="Times New Roman" w:cs="Times New Roman"/>
                <w:sz w:val="24"/>
                <w:szCs w:val="24"/>
              </w:rPr>
              <w:t xml:space="preserve"> rights-claiming.</w:t>
            </w:r>
          </w:p>
        </w:tc>
      </w:tr>
      <w:tr w:rsidR="0028419A" w:rsidRPr="00C3183D" w14:paraId="3837EEC0" w14:textId="77777777">
        <w:trPr>
          <w:jc w:val="center"/>
        </w:trPr>
        <w:tc>
          <w:tcPr>
            <w:tcW w:w="3264" w:type="dxa"/>
          </w:tcPr>
          <w:p w14:paraId="6F2B03BB"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Symbolic vulnerability</w:t>
            </w:r>
          </w:p>
        </w:tc>
        <w:tc>
          <w:tcPr>
            <w:tcW w:w="3264" w:type="dxa"/>
          </w:tcPr>
          <w:p w14:paraId="603B0DB3"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stigma; shame; social rejection; moral labeling</w:t>
            </w:r>
          </w:p>
        </w:tc>
        <w:tc>
          <w:tcPr>
            <w:tcW w:w="3264" w:type="dxa"/>
          </w:tcPr>
          <w:p w14:paraId="5489741A" w14:textId="77777777" w:rsidR="0028419A" w:rsidRPr="00C3183D" w:rsidRDefault="00000000" w:rsidP="00FA2B35">
            <w:pPr>
              <w:rPr>
                <w:rFonts w:ascii="Times New Roman" w:hAnsi="Times New Roman" w:cs="Times New Roman"/>
                <w:sz w:val="24"/>
                <w:szCs w:val="24"/>
              </w:rPr>
            </w:pPr>
            <w:proofErr w:type="gramStart"/>
            <w:r w:rsidRPr="00C3183D">
              <w:rPr>
                <w:rFonts w:ascii="Times New Roman" w:hAnsi="Times New Roman" w:cs="Times New Roman"/>
                <w:sz w:val="24"/>
                <w:szCs w:val="24"/>
              </w:rPr>
              <w:t>Examines</w:t>
            </w:r>
            <w:proofErr w:type="gramEnd"/>
            <w:r w:rsidRPr="00C3183D">
              <w:rPr>
                <w:rFonts w:ascii="Times New Roman" w:hAnsi="Times New Roman" w:cs="Times New Roman"/>
                <w:sz w:val="24"/>
                <w:szCs w:val="24"/>
              </w:rPr>
              <w:t xml:space="preserve"> recognition and social legitimacy.</w:t>
            </w:r>
          </w:p>
        </w:tc>
      </w:tr>
      <w:tr w:rsidR="0028419A" w:rsidRPr="00C3183D" w14:paraId="5E27F3C0" w14:textId="77777777">
        <w:trPr>
          <w:jc w:val="center"/>
        </w:trPr>
        <w:tc>
          <w:tcPr>
            <w:tcW w:w="3264" w:type="dxa"/>
          </w:tcPr>
          <w:p w14:paraId="54CF0567"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Citizenship vulnerability</w:t>
            </w:r>
          </w:p>
        </w:tc>
        <w:tc>
          <w:tcPr>
            <w:tcW w:w="3264" w:type="dxa"/>
          </w:tcPr>
          <w:p w14:paraId="250F2F77"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insecure urban belonging; limited institutional access; weak participation/rights-claiming</w:t>
            </w:r>
          </w:p>
        </w:tc>
        <w:tc>
          <w:tcPr>
            <w:tcW w:w="3264" w:type="dxa"/>
          </w:tcPr>
          <w:p w14:paraId="529CA30C"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Operationalizes the article's interpretation of disconnected citizenship.</w:t>
            </w:r>
          </w:p>
        </w:tc>
      </w:tr>
      <w:tr w:rsidR="0028419A" w:rsidRPr="00C3183D" w14:paraId="5BDCA467" w14:textId="77777777">
        <w:trPr>
          <w:jc w:val="center"/>
        </w:trPr>
        <w:tc>
          <w:tcPr>
            <w:tcW w:w="3264" w:type="dxa"/>
          </w:tcPr>
          <w:p w14:paraId="3DBEF846"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Environmental vulnerability</w:t>
            </w:r>
          </w:p>
        </w:tc>
        <w:tc>
          <w:tcPr>
            <w:tcW w:w="3264" w:type="dxa"/>
          </w:tcPr>
          <w:p w14:paraId="62476201"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flooding; polluted surroundings; sanitation/water problems; dense or insecure housing</w:t>
            </w:r>
          </w:p>
        </w:tc>
        <w:tc>
          <w:tcPr>
            <w:tcW w:w="3264" w:type="dxa"/>
          </w:tcPr>
          <w:p w14:paraId="6787B2A0" w14:textId="77777777" w:rsidR="0028419A" w:rsidRPr="00C3183D" w:rsidRDefault="00000000" w:rsidP="00FA2B35">
            <w:pPr>
              <w:rPr>
                <w:rFonts w:ascii="Times New Roman" w:hAnsi="Times New Roman" w:cs="Times New Roman"/>
                <w:sz w:val="24"/>
                <w:szCs w:val="24"/>
              </w:rPr>
            </w:pPr>
            <w:r w:rsidRPr="00C3183D">
              <w:rPr>
                <w:rFonts w:ascii="Times New Roman" w:hAnsi="Times New Roman" w:cs="Times New Roman"/>
                <w:sz w:val="24"/>
                <w:szCs w:val="24"/>
              </w:rPr>
              <w:t>Examines socio-ecological exposure and its interaction with economic/labor precarity.</w:t>
            </w:r>
          </w:p>
        </w:tc>
      </w:tr>
    </w:tbl>
    <w:p w14:paraId="3A9BDC0F" w14:textId="77777777" w:rsidR="0028419A" w:rsidRPr="00C3183D" w:rsidRDefault="00000000" w:rsidP="00FA2B35">
      <w:pPr>
        <w:pStyle w:val="Heading1"/>
        <w:spacing w:before="0" w:line="240" w:lineRule="auto"/>
        <w:jc w:val="both"/>
        <w:rPr>
          <w:rFonts w:ascii="Times New Roman" w:hAnsi="Times New Roman" w:cs="Times New Roman"/>
          <w:color w:val="auto"/>
          <w:sz w:val="24"/>
          <w:szCs w:val="24"/>
        </w:rPr>
      </w:pPr>
      <w:r w:rsidRPr="00C3183D">
        <w:rPr>
          <w:rFonts w:ascii="Times New Roman" w:hAnsi="Times New Roman" w:cs="Times New Roman"/>
          <w:color w:val="auto"/>
          <w:sz w:val="24"/>
          <w:szCs w:val="24"/>
        </w:rPr>
        <w:t>S6. Analytic procedure</w:t>
      </w:r>
    </w:p>
    <w:p w14:paraId="085600B9" w14:textId="77777777" w:rsidR="0028419A" w:rsidRPr="00C3183D"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 xml:space="preserve">The reanalysis followed an iterative thematic procedure. Pseudonymized </w:t>
      </w:r>
      <w:proofErr w:type="gramStart"/>
      <w:r w:rsidRPr="00C3183D">
        <w:rPr>
          <w:rFonts w:ascii="Times New Roman" w:hAnsi="Times New Roman" w:cs="Times New Roman"/>
          <w:sz w:val="24"/>
          <w:szCs w:val="24"/>
        </w:rPr>
        <w:t>interview</w:t>
      </w:r>
      <w:proofErr w:type="gramEnd"/>
      <w:r w:rsidRPr="00C3183D">
        <w:rPr>
          <w:rFonts w:ascii="Times New Roman" w:hAnsi="Times New Roman" w:cs="Times New Roman"/>
          <w:sz w:val="24"/>
          <w:szCs w:val="24"/>
        </w:rPr>
        <w:t xml:space="preserve"> and contextual material </w:t>
      </w:r>
      <w:proofErr w:type="gramStart"/>
      <w:r w:rsidRPr="00C3183D">
        <w:rPr>
          <w:rFonts w:ascii="Times New Roman" w:hAnsi="Times New Roman" w:cs="Times New Roman"/>
          <w:sz w:val="24"/>
          <w:szCs w:val="24"/>
        </w:rPr>
        <w:t>was</w:t>
      </w:r>
      <w:proofErr w:type="gramEnd"/>
      <w:r w:rsidRPr="00C3183D">
        <w:rPr>
          <w:rFonts w:ascii="Times New Roman" w:hAnsi="Times New Roman" w:cs="Times New Roman"/>
          <w:sz w:val="24"/>
          <w:szCs w:val="24"/>
        </w:rPr>
        <w:t xml:space="preserve"> reread to identify recurrent experiences and institutional conditions. Descriptive codes were grouped into higher-order vulnerability dimensions and compared across worker and contextual-informant accounts. The six dimensions were then examined relationally. In the final interpretive stage, the empirical pattern was read through the Capability Approach, environmental justice, and right-to-the-city scholarship to refine the Ecovocation proposition. Code counts are used only to map the available </w:t>
      </w:r>
      <w:proofErr w:type="gramStart"/>
      <w:r w:rsidRPr="00C3183D">
        <w:rPr>
          <w:rFonts w:ascii="Times New Roman" w:hAnsi="Times New Roman" w:cs="Times New Roman"/>
          <w:sz w:val="24"/>
          <w:szCs w:val="24"/>
        </w:rPr>
        <w:t>corpus</w:t>
      </w:r>
      <w:proofErr w:type="gramEnd"/>
      <w:r w:rsidRPr="00C3183D">
        <w:rPr>
          <w:rFonts w:ascii="Times New Roman" w:hAnsi="Times New Roman" w:cs="Times New Roman"/>
          <w:sz w:val="24"/>
          <w:szCs w:val="24"/>
        </w:rPr>
        <w:t xml:space="preserve"> and are not interpreted as statistical prevalence.</w:t>
      </w:r>
    </w:p>
    <w:p w14:paraId="66666171" w14:textId="77777777" w:rsidR="0028419A" w:rsidRPr="00C3183D" w:rsidRDefault="00000000" w:rsidP="00FA2B35">
      <w:pPr>
        <w:pStyle w:val="Heading1"/>
        <w:spacing w:before="0" w:line="240" w:lineRule="auto"/>
        <w:jc w:val="both"/>
        <w:rPr>
          <w:rFonts w:ascii="Times New Roman" w:hAnsi="Times New Roman" w:cs="Times New Roman"/>
          <w:color w:val="auto"/>
          <w:sz w:val="24"/>
          <w:szCs w:val="24"/>
        </w:rPr>
      </w:pPr>
      <w:r w:rsidRPr="00C3183D">
        <w:rPr>
          <w:rFonts w:ascii="Times New Roman" w:hAnsi="Times New Roman" w:cs="Times New Roman"/>
          <w:color w:val="auto"/>
          <w:sz w:val="24"/>
          <w:szCs w:val="24"/>
        </w:rPr>
        <w:t>S7. Transformations and confidentiality protections</w:t>
      </w:r>
    </w:p>
    <w:p w14:paraId="00B51AA6" w14:textId="77777777" w:rsidR="0028419A" w:rsidRPr="00C3183D"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Participant identities are represented by pseudonymized codes. Potentially identifying contextual detail is removed or generalized where necessary. The manuscript and this supplementary file report only information needed to support the analysis. No quantitative transformations, statistical imputation, modelling, or formula-based processing were performed.</w:t>
      </w:r>
    </w:p>
    <w:p w14:paraId="3ECC09AD" w14:textId="77777777" w:rsidR="0028419A" w:rsidRPr="00C3183D" w:rsidRDefault="00000000" w:rsidP="00FA2B35">
      <w:pPr>
        <w:pStyle w:val="Heading1"/>
        <w:spacing w:before="0" w:line="240" w:lineRule="auto"/>
        <w:jc w:val="both"/>
        <w:rPr>
          <w:rFonts w:ascii="Times New Roman" w:hAnsi="Times New Roman" w:cs="Times New Roman"/>
          <w:color w:val="auto"/>
          <w:sz w:val="24"/>
          <w:szCs w:val="24"/>
        </w:rPr>
      </w:pPr>
      <w:r w:rsidRPr="00C3183D">
        <w:rPr>
          <w:rFonts w:ascii="Times New Roman" w:hAnsi="Times New Roman" w:cs="Times New Roman"/>
          <w:color w:val="auto"/>
          <w:sz w:val="24"/>
          <w:szCs w:val="24"/>
        </w:rPr>
        <w:t>S8. Access restrictions</w:t>
      </w:r>
    </w:p>
    <w:p w14:paraId="349C149B" w14:textId="77777777" w:rsidR="0028419A" w:rsidRPr="00C3183D" w:rsidRDefault="00000000" w:rsidP="00FA2B35">
      <w:pPr>
        <w:spacing w:after="0" w:line="240" w:lineRule="auto"/>
        <w:jc w:val="both"/>
        <w:rPr>
          <w:rFonts w:ascii="Times New Roman" w:hAnsi="Times New Roman" w:cs="Times New Roman"/>
          <w:sz w:val="24"/>
          <w:szCs w:val="24"/>
        </w:rPr>
      </w:pPr>
      <w:r w:rsidRPr="00C3183D">
        <w:rPr>
          <w:rFonts w:ascii="Times New Roman" w:hAnsi="Times New Roman" w:cs="Times New Roman"/>
          <w:sz w:val="24"/>
          <w:szCs w:val="24"/>
        </w:rPr>
        <w:t xml:space="preserve">The study concerns a small, socially vulnerable, and stigmatized population. Combinations of workplace, migration, family, legal, and residential details could permit deductive re-identification even after names are removed. For that reason, full raw transcripts, audio records, and identifiable recruitment/contact information are not appropriate for unrestricted public deposition. Available de-identified material may be provided to editors/referees through confidential review </w:t>
      </w:r>
      <w:proofErr w:type="gramStart"/>
      <w:r w:rsidRPr="00C3183D">
        <w:rPr>
          <w:rFonts w:ascii="Times New Roman" w:hAnsi="Times New Roman" w:cs="Times New Roman"/>
          <w:sz w:val="24"/>
          <w:szCs w:val="24"/>
        </w:rPr>
        <w:t>arrangements</w:t>
      </w:r>
      <w:proofErr w:type="gramEnd"/>
      <w:r w:rsidRPr="00C3183D">
        <w:rPr>
          <w:rFonts w:ascii="Times New Roman" w:hAnsi="Times New Roman" w:cs="Times New Roman"/>
          <w:sz w:val="24"/>
          <w:szCs w:val="24"/>
        </w:rPr>
        <w:t xml:space="preserve"> and any further access remains subject to participant consent, confidentiality, and institutional ethical requirements.</w:t>
      </w:r>
    </w:p>
    <w:sectPr w:rsidR="0028419A" w:rsidRPr="00C3183D"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4996033">
    <w:abstractNumId w:val="8"/>
  </w:num>
  <w:num w:numId="2" w16cid:durableId="4595837">
    <w:abstractNumId w:val="6"/>
  </w:num>
  <w:num w:numId="3" w16cid:durableId="971641881">
    <w:abstractNumId w:val="5"/>
  </w:num>
  <w:num w:numId="4" w16cid:durableId="603802666">
    <w:abstractNumId w:val="4"/>
  </w:num>
  <w:num w:numId="5" w16cid:durableId="738864526">
    <w:abstractNumId w:val="7"/>
  </w:num>
  <w:num w:numId="6" w16cid:durableId="520315621">
    <w:abstractNumId w:val="3"/>
  </w:num>
  <w:num w:numId="7" w16cid:durableId="327754065">
    <w:abstractNumId w:val="2"/>
  </w:num>
  <w:num w:numId="8" w16cid:durableId="579946390">
    <w:abstractNumId w:val="1"/>
  </w:num>
  <w:num w:numId="9" w16cid:durableId="309600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4D3"/>
    <w:rsid w:val="0015074B"/>
    <w:rsid w:val="0028419A"/>
    <w:rsid w:val="0029639D"/>
    <w:rsid w:val="00326F90"/>
    <w:rsid w:val="00AA1D8D"/>
    <w:rsid w:val="00B47730"/>
    <w:rsid w:val="00C3183D"/>
    <w:rsid w:val="00CB0664"/>
    <w:rsid w:val="00FA2B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C27B7F"/>
  <w14:defaultImageDpi w14:val="300"/>
  <w15:docId w15:val="{3CCBA155-13A6-47E5-A246-1BF0BF3B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Reviewer Tim</cp:lastModifiedBy>
  <cp:revision>3</cp:revision>
  <dcterms:created xsi:type="dcterms:W3CDTF">2013-12-23T23:15:00Z</dcterms:created>
  <dcterms:modified xsi:type="dcterms:W3CDTF">2026-10-06T03:37:00Z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009fcc5f5f05c75d32deed9544f51cefc2ef5f03fc6c29658d7b03ef4f9a6209</vt:lpwstr>
  </property>
</Properties>
</file>