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additional-file-1"/>
    <w:p>
      <w:pPr>
        <w:pStyle w:val="Heading1"/>
      </w:pPr>
      <w:r>
        <w:t xml:space="preserve">Additional file 1</w:t>
      </w:r>
    </w:p>
    <w:p>
      <w:pPr>
        <w:pStyle w:val="FirstParagraph"/>
        <w:spacing w:line="480" w:lineRule="auto"/>
      </w:pPr>
      <w:r>
        <w:t xml:space="preserve">Tables S1–S5 and Figs. S1–S3. Numbers are taken from</w:t>
      </w:r>
      <w:r>
        <w:t xml:space="preserve"> </w:t>
      </w:r>
      <w:r>
        <w:rPr>
          <w:rStyle w:val="VerbatimChar"/>
          <w:rFonts w:hint="eastAsia"/>
        </w:rPr>
        <w:t xml:space="preserve">03_结果表</w:t>
      </w:r>
      <w:r>
        <w:t xml:space="preserve"> </w:t>
      </w:r>
      <w:r>
        <w:t xml:space="preserve">and match the main manuscript.</w:t>
      </w:r>
    </w:p>
    <w:bookmarkStart w:id="9" w:name="supplementary-table-s1.-cohort-flow"/>
    <w:p>
      <w:pPr>
        <w:pStyle w:val="Heading2"/>
        <w:jc w:val="center"/>
      </w:pPr>
      <w:r>
        <w:t xml:space="preserve">Supplementary Table S1. Cohort flow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12" w:space="0" w:color="000000"/>
          <w:bottom w:val="single" w:sz="12" w:space="0" w:color="000000"/>
          <w:left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jc w:val="center"/>
      </w:tblPr>
      <w:tblGrid>
        <w:gridCol w:w="1697"/>
        <w:gridCol w:w="2262"/>
        <w:gridCol w:w="1697"/>
        <w:gridCol w:w="2262"/>
      </w:tblGrid>
      <w:tr>
        <w:trPr>
          <w:tblHeader w:val="on"/>
        </w:trPr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MIMIC-IV v3.1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n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eICU-CRD 2.0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n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ICU stays in the source file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94,458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ICU admissions in the source file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200,859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Hospitalizations with both HF and AF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37,517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Analytic cohort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2,588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ICU stays in those hospitalizations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13,790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In-hospital deaths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414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Age ≥18 years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13,790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First ICU stay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9,001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Stay ≥24 h (analytic cohort)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7,562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In-hospital deaths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1,222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Mortality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16.2%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Mortality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16.0%</w:t>
            </w:r>
          </w:p>
        </w:tc>
      </w:tr>
    </w:tbl>
    <w:p>
      <w:pPr>
        <w:pStyle w:val="BodyText"/>
        <w:spacing w:line="480" w:lineRule="auto"/>
      </w:pPr>
      <w:r>
        <w:t xml:space="preserve">The eICU-CRD export does not store the counts removed between the source file and the analytic cohort. MIMIC-IV diagnosis codes: HF, ICD-9 428.* or ICD-10 I50.</w:t>
      </w:r>
      <w:r>
        <w:rPr>
          <w:i/>
          <w:iCs/>
        </w:rPr>
        <w:t xml:space="preserve">; AF, ICD-9 427.31 or ICD-10 I48.</w:t>
      </w:r>
      <w:r>
        <w:t xml:space="preserve">.</w:t>
      </w:r>
    </w:p>
    <w:bookmarkEnd w:id="9"/>
    <w:bookmarkStart w:id="10" w:name="Xef2607194e2a97d3e4862d6b0a505074fe398b6"/>
    <w:p>
      <w:pPr>
        <w:pStyle w:val="Heading2"/>
        <w:jc w:val="center"/>
      </w:pPr>
      <w:r>
        <w:t xml:space="preserve">Supplementary Table S2. Per-1-SD associations of the three axes</w:t>
      </w:r>
    </w:p>
    <w:p>
      <w:pPr>
        <w:pStyle w:val="FirstParagraph"/>
        <w:spacing w:line="480" w:lineRule="auto"/>
      </w:pPr>
      <w:r>
        <w:t xml:space="preserve">Rubin-pooled across m = 10 imputations. Age- and sex-adjusted models are not unadjusted. Fully adjusted models add the axis to the 43-variable reference model.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12" w:space="0" w:color="000000"/>
          <w:bottom w:val="single" w:sz="12" w:space="0" w:color="000000"/>
          <w:left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jc w:val="center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Cohort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Model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Variable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OR per SD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95% CI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P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MIMIC-IV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Age and sex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PNI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0.785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0.712–0.865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&lt;0.001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MIMIC-IV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Age and sex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log NLR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1.296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1.159–1.451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&lt;0.001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MIMIC-IV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Age and sex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dLCR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0.821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0.773–0.872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&lt;0.001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MIMIC-IV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Fully adjusted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PNI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0.953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0.784–1.157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0.624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MIMIC-IV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Fully adjusted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log NLR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1.087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0.948–1.246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0.233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MIMIC-IV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Fully adjusted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dLCR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0.791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0.734–0.853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&lt;0.001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eICU-CRD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Age and sex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PNI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0.799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0.685–0.931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0.004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eICU-CRD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Age and sex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log NLR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1.227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1.067–1.413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0.004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eICU-CRD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Age and sex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dLCR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0.894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0.787–1.015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0.084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eICU-CRD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Fully adjusted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PNI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1.039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0.662–1.630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0.868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eICU-CRD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Fully adjusted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log NLR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1.119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0.848–1.477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0.428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eICU-CRD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Fully adjusted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dLCR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0.894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0.772–1.035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0.132</w:t>
            </w:r>
          </w:p>
        </w:tc>
      </w:tr>
    </w:tbl>
    <w:p>
      <w:pPr>
        <w:pStyle w:val="BodyText"/>
        <w:spacing w:line="480" w:lineRule="auto"/>
      </w:pPr>
      <w:r>
        <w:t xml:space="preserve">Source:</w:t>
      </w:r>
      <w:r>
        <w:t xml:space="preserve"> </w:t>
      </w:r>
      <w:r>
        <w:rPr>
          <w:rStyle w:val="VerbatimChar"/>
        </w:rPr>
        <w:t xml:space="preserve">axes_association.csv</w:t>
      </w:r>
      <w:r>
        <w:t xml:space="preserve">. Odds ratios are given to three decimals here and rounded to two decimals in the main text.</w:t>
      </w:r>
    </w:p>
    <w:bookmarkEnd w:id="10"/>
    <w:bookmarkStart w:id="11" w:name="X6fa15f24099a923bfb9fe43424d4f02044d1e2c"/>
    <w:p>
      <w:pPr>
        <w:pStyle w:val="Heading2"/>
        <w:jc w:val="center"/>
      </w:pPr>
      <w:r>
        <w:t xml:space="preserve">Supplementary Table S3. Reclassification on the MIMIC-IV test set</w:t>
      </w:r>
    </w:p>
    <w:p>
      <w:pPr>
        <w:pStyle w:val="FirstParagraph"/>
        <w:spacing w:line="480" w:lineRule="auto"/>
      </w:pPr>
      <w:r>
        <w:t xml:space="preserve">Comparison is the continuous three-axis specification (A5) versus the reference model, not the 0–3 score. Categorical net reclassification uses cuts at 10% and 20% predicted risk.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12" w:space="0" w:color="000000"/>
          <w:bottom w:val="single" w:sz="12" w:space="0" w:color="000000"/>
          <w:left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jc w:val="center"/>
      </w:tblPr>
      <w:tblGrid>
        <w:gridCol w:w="990"/>
        <w:gridCol w:w="1320"/>
        <w:gridCol w:w="990"/>
        <w:gridCol w:w="1320"/>
        <w:gridCol w:w="990"/>
        <w:gridCol w:w="1320"/>
        <w:gridCol w:w="990"/>
      </w:tblGrid>
      <w:tr>
        <w:trPr>
          <w:tblHeader w:val="on"/>
        </w:trPr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Algorithm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NRI categorical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95% CI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NRI continuous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95% CI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IDI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95% CI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Logistic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−0.0005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−0.031 to 0.031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0.014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−0.089 to 0.118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0.0094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0.0039 to 0.0157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Random forest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0.019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−0.015 to 0.050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0.0018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−0.107 to 0.109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0.0013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−0.0005 to 0.0032</w:t>
            </w:r>
          </w:p>
        </w:tc>
      </w:tr>
    </w:tbl>
    <w:p>
      <w:pPr>
        <w:pStyle w:val="BodyText"/>
        <w:spacing w:line="480" w:lineRule="auto"/>
      </w:pPr>
      <w:r>
        <w:t xml:space="preserve">Source:</w:t>
      </w:r>
      <w:r>
        <w:t xml:space="preserve"> </w:t>
      </w:r>
      <w:r>
        <w:rPr>
          <w:rStyle w:val="VerbatimChar"/>
        </w:rPr>
        <w:t xml:space="preserve">nri_idi.csv</w:t>
      </w:r>
      <w:r>
        <w:t xml:space="preserve">.</w:t>
      </w:r>
    </w:p>
    <w:bookmarkEnd w:id="11"/>
    <w:bookmarkStart w:id="12" w:name="X2b0b1b8536c5e543230ec4da519cec0cc43f7e3"/>
    <w:p>
      <w:pPr>
        <w:pStyle w:val="Heading2"/>
        <w:jc w:val="center"/>
      </w:pPr>
      <w:r>
        <w:t xml:space="preserve">Supplementary Table S4. Coverage inside the analysis window (−24 h to +48 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12" w:space="0" w:color="000000"/>
          <w:bottom w:val="single" w:sz="12" w:space="0" w:color="000000"/>
          <w:left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jc w:val="center"/>
      </w:tblPr>
      <w:tblGrid>
        <w:gridCol w:w="2160"/>
        <w:gridCol w:w="2880"/>
        <w:gridCol w:w="2880"/>
      </w:tblGrid>
      <w:tr>
        <w:trPr>
          <w:tblHeader w:val="on"/>
        </w:trPr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Variable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MIMIC-IV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eICU-CRD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PNI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28.8% (2,173 / 7,562)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61.3% (1,587 / 2,588)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Albumin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46.4%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73.3%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NLR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52.4%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76.4%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dLCR (two lactate values)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60.5% (4,559 / 7,562)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23.8% (617 / 2,588)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Lactate, at least one value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76.6%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44.6%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All three axes observed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20.9% (1,580 / 7,562)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17.3% (448 / 2,588)</w:t>
            </w:r>
          </w:p>
        </w:tc>
      </w:tr>
    </w:tbl>
    <w:p>
      <w:pPr>
        <w:pStyle w:val="BodyText"/>
        <w:spacing w:line="480" w:lineRule="auto"/>
      </w:pPr>
      <w:r>
        <w:t xml:space="preserve">Sources:</w:t>
      </w:r>
      <w:r>
        <w:t xml:space="preserve"> </w:t>
      </w:r>
      <w:r>
        <w:rPr>
          <w:rStyle w:val="VerbatimChar"/>
        </w:rPr>
        <w:t xml:space="preserve">missingness_mimic.csv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coverage_eicu.csv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score_card.csv</w:t>
      </w:r>
      <w:r>
        <w:t xml:space="preserve">.</w:t>
      </w:r>
    </w:p>
    <w:bookmarkEnd w:id="12"/>
    <w:bookmarkStart w:id="13" w:name="Xf540ede9a2e9d384f2a53480c639867c2ac0245"/>
    <w:p>
      <w:pPr>
        <w:pStyle w:val="Heading2"/>
        <w:jc w:val="center"/>
      </w:pPr>
      <w:r>
        <w:t xml:space="preserve">Supplementary Table S5. Largest coefficients in the A5 model, one imputation</w:t>
      </w:r>
    </w:p>
    <w:p>
      <w:pPr>
        <w:pStyle w:val="FirstParagraph"/>
        <w:spacing w:line="480" w:lineRule="auto"/>
      </w:pPr>
      <w:r>
        <w:t xml:space="preserve">Fit on the first imputed MIMIC-IV data set of the continuous three-axis model. These are not Rubin-pooled and are not the reference-model coefficients. Shown for description only.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12" w:space="0" w:color="000000"/>
          <w:bottom w:val="single" w:sz="12" w:space="0" w:color="000000"/>
          <w:left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jc w:val="center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Variable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Coefficient per SD</w:t>
            </w:r>
          </w:p>
        </w:tc>
        <w:tc>
          <w:tcPr>
            <w:vAlign w:val="center"/>
            <w:tcBorders>
              <w:top w:val="nil" w:sz="0" w:space="0" w:color="000000"/>
              <w:left w:val="nil" w:sz="0" w:space="0" w:color="000000"/>
              <w:right w:val="nil" w:sz="0" w:space="0" w:color="000000"/>
              <w:bottom w:val="single" w:sz="6" w:space="0" w:color="000000"/>
            </w:tcBorders>
          </w:tcPr>
          <w:p>
            <w:pPr>
              <w:pStyle w:val="Compact"/>
              <w:jc w:val="center"/>
              <w:spacing w:line="240" w:lineRule="auto"/>
            </w:pPr>
            <w:r>
              <w:t xml:space="preserve">OR per SD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Urine output, 24 h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−0.345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0.708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Age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0.310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1.363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Mechanical ventilation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0.304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1.355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Urea nitrogen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0.301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1.351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Chloride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−0.292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0.747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Red-cell distribution width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0.284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1.329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Glasgow Coma Scale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−0.255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0.775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Maximum heart rate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0.205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1.227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dLCR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−0.202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0.817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Albumin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−0.171</w:t>
            </w:r>
          </w:p>
        </w:tc>
        <w:tc>
          <w:tcPr>
            <w:vAlign w:val="center"/>
          </w:tcPr>
          <w:p>
            <w:pPr>
              <w:pStyle w:val="Compact"/>
              <w:jc w:val="center"/>
              <w:spacing w:line="240" w:lineRule="auto"/>
            </w:pPr>
            <w:r>
              <w:t xml:space="preserve">0.843</w:t>
            </w:r>
          </w:p>
        </w:tc>
      </w:tr>
    </w:tbl>
    <w:p>
      <w:pPr>
        <w:pStyle w:val="BodyText"/>
        <w:spacing w:line="480" w:lineRule="auto"/>
      </w:pPr>
      <w:r>
        <w:t xml:space="preserve">Source:</w:t>
      </w:r>
      <w:r>
        <w:t xml:space="preserve"> </w:t>
      </w:r>
      <w:r>
        <w:rPr>
          <w:rStyle w:val="VerbatimChar"/>
        </w:rPr>
        <w:t xml:space="preserve">coefficients_final.csv</w:t>
      </w:r>
      <w:r>
        <w:t xml:space="preserve">.</w:t>
      </w:r>
    </w:p>
    <w:bookmarkEnd w:id="13"/>
    <w:bookmarkStart w:id="23" w:name="figure-legends"/>
    <w:p>
      <w:pPr>
        <w:pStyle w:val="Heading2"/>
      </w:pPr>
      <w:r>
        <w:t xml:space="preserve">Figure legends</w:t>
      </w:r>
    </w:p>
    <w:p>
      <w:pPr>
        <w:pStyle w:val="FirstParagraph"/>
        <w:spacing w:line="480" w:lineRule="auto"/>
      </w:pPr>
      <w:r>
        <w:drawing>
          <wp:inline>
            <wp:extent cx="5669280" cy="2460057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/Users/cyibin/Documents/first-year/docx/8.19/心血管三区全包/02_图件/FigureS1_dca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4600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  <w:spacing w:line="480" w:lineRule="auto"/>
      </w:pPr>
      <w:r>
        <w:rPr>
          <w:b/>
          <w:bCs/>
        </w:rPr>
        <w:t xml:space="preserve">Fig. S1</w:t>
      </w:r>
      <w:r>
        <w:t xml:space="preserve"> </w:t>
      </w:r>
      <w:r>
        <w:t xml:space="preserve">Decision curve on the MIMIC-IV test set.</w:t>
      </w:r>
    </w:p>
    <w:p>
      <w:pPr>
        <w:pStyle w:val="BodyText"/>
        <w:spacing w:line="480" w:lineRule="auto"/>
      </w:pPr>
      <w:r>
        <w:t xml:space="preserve">Net benefit of the reference model and of the reference model plus the three continuous axes, against treat-all and treat-none. The vertical scale stops at −0.05 so the model curves remain readable; treat-all is more negative above a threshold of about 0.20.</w:t>
      </w:r>
    </w:p>
    <w:p>
      <w:pPr>
        <w:pStyle w:val="BodyText"/>
        <w:spacing w:line="480" w:lineRule="auto"/>
      </w:pPr>
      <w:r>
        <w:drawing>
          <wp:inline>
            <wp:extent cx="5669280" cy="3674149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/Users/cyibin/Documents/first-year/docx/8.19/心血管三区全包/02_图件/FigureS2_shap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674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  <w:spacing w:line="480" w:lineRule="auto"/>
      </w:pPr>
      <w:r>
        <w:rPr>
          <w:b/>
          <w:bCs/>
        </w:rPr>
        <w:t xml:space="preserve">Fig. S2</w:t>
      </w:r>
      <w:r>
        <w:t xml:space="preserve"> </w:t>
      </w:r>
      <w:r>
        <w:t xml:space="preserve">Mean absolute SHAP values in MIMIC-IV.</w:t>
      </w:r>
    </w:p>
    <w:p>
      <w:pPr>
        <w:pStyle w:val="BodyText"/>
        <w:spacing w:line="480" w:lineRule="auto"/>
      </w:pPr>
      <w:r>
        <w:t xml:space="preserve">The fifteen largest mean absolute values are shown. Hatched bars are axis components that fall inside this ranking (baseline lactate, repeat lactate, albumin, log NLR). Values come from a random forest of the A5 specification, fit on the first imputed data set and a subsample of 800 stays. They are not Rubin-pooled. Raw SHAP values for a beeswarm plot were not archived.</w:t>
      </w:r>
    </w:p>
    <w:p>
      <w:pPr>
        <w:pStyle w:val="BodyText"/>
        <w:spacing w:line="480" w:lineRule="auto"/>
      </w:pPr>
      <w:r>
        <w:drawing>
          <wp:inline>
            <wp:extent cx="5669280" cy="23656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Users/cyibin/Documents/first-year/docx/8.19/心血管三区全包/02_图件/FigureS3_complete_cas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365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  <w:spacing w:line="480" w:lineRule="auto"/>
      </w:pPr>
      <w:r>
        <w:rPr>
          <w:b/>
          <w:bCs/>
        </w:rPr>
        <w:t xml:space="preserve">Fig. S3</w:t>
      </w:r>
      <w:r>
        <w:t xml:space="preserve"> </w:t>
      </w:r>
      <w:r>
        <w:t xml:space="preserve">Held-out AUC when A5 covariates are complete.</w:t>
      </w:r>
    </w:p>
    <w:p>
      <w:pPr>
        <w:pStyle w:val="BodyText"/>
        <w:spacing w:line="480" w:lineRule="auto"/>
      </w:pPr>
      <w:r>
        <w:t xml:space="preserve">n = 1,456 stays, 363 deaths. This subset is not the 1,580 stays with the three axes observed. The vertical axis starts at 0.70.</w:t>
      </w:r>
    </w:p>
    <w:bookmarkEnd w:id="23"/>
    <w:bookmarkEnd w:id="24"/>
    <w:sectPr w:rsidR="00FC693F" w:rsidRPr="0006063C" w:rsidSect="00034616">
      <w:footerReference w:type="default" r:id="rId9"/>
      <w:pgSz w:h="16834" w:w="11909"/>
      <w:pgMar w:bottom="1440" w:footer="720" w:gutter="0" w:header="720" w:left="1440" w:right="1440" w:top="1440"/>
      <w:cols w:space="720"/>
      <w:docGrid w:linePitch="360"/>
      <w:lnNumType w:countBy="1" w:restart="newPage" w:distance="28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  <w:instrText xml:space="preserve"> PAGE 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spacing w:after="0" w:before="0" w:line="480" w:lineRule="auto"/>
    </w:pPr>
    <w:rPr>
      <w:rFonts w:ascii="Times New Roman" w:cs="Times New Roman" w:eastAsia="Times New Roman" w:hAnsi="Times New Roman"/>
      <w:i w:val="0"/>
      <w:color w:val="000000"/>
      <w:sz w:val="24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20" w:before="240" w:line="276" w:lineRule="auto"/>
      <w:outlineLvl w:val="0"/>
    </w:pPr>
    <w:rPr>
      <w:rFonts w:ascii="Times New Roman" w:asciiTheme="majorHAnsi" w:cs="Times New Roman" w:cstheme="majorBidi" w:eastAsia="Times New Roman" w:eastAsiaTheme="majorEastAsia" w:hAnsi="Times New Roman" w:hAnsiTheme="majorHAnsi"/>
      <w:b/>
      <w:bCs/>
      <w:i w:val="0"/>
      <w:color w:val="000000"/>
      <w:sz w:val="32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20" w:before="240" w:line="276" w:lineRule="auto"/>
      <w:outlineLvl w:val="1"/>
    </w:pPr>
    <w:rPr>
      <w:rFonts w:ascii="Times New Roman" w:asciiTheme="majorHAnsi" w:cs="Times New Roman" w:cstheme="majorBidi" w:eastAsia="Times New Roman" w:eastAsiaTheme="majorEastAsia" w:hAnsi="Times New Roman" w:hAnsiTheme="majorHAnsi"/>
      <w:b/>
      <w:bCs/>
      <w:i w:val="0"/>
      <w:color w:val="000000"/>
      <w:sz w:val="28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20" w:before="240" w:line="276" w:lineRule="auto"/>
      <w:outlineLvl w:val="2"/>
    </w:pPr>
    <w:rPr>
      <w:rFonts w:ascii="Times New Roman" w:asciiTheme="majorHAnsi" w:cs="Times New Roman" w:cstheme="majorBidi" w:eastAsia="Times New Roman" w:eastAsiaTheme="majorEastAsia" w:hAnsi="Times New Roman" w:hAnsiTheme="majorHAnsi"/>
      <w:b/>
      <w:bCs/>
      <w:i w:val="0"/>
      <w:color w:val="000000"/>
      <w:sz w:val="24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4" Type="http://schemas.openxmlformats.org/officeDocument/2006/relationships/image" Target="media/rId14.png"/><Relationship Id="rId17" Type="http://schemas.openxmlformats.org/officeDocument/2006/relationships/image" Target="media/rId17.png"/><Relationship Id="rId20" Type="http://schemas.openxmlformats.org/officeDocument/2006/relationships/image" Target="media/rId20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2026-09-22T06:11:35Z</dcterms:created>
  <dcterms:modified xsi:type="dcterms:W3CDTF">2026-09-22T06:11:35Z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