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A2154">
      <w:pPr>
        <w:tabs>
          <w:tab w:val="left" w:pos="3544"/>
        </w:tabs>
        <w:adjustRightInd w:val="0"/>
        <w:snapToGrid w:val="0"/>
        <w:spacing w:after="156" w:afterLines="50" w:line="36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Supplementary Information for</w:t>
      </w:r>
    </w:p>
    <w:p w14:paraId="7A4D6BDA">
      <w:pPr>
        <w:tabs>
          <w:tab w:val="left" w:pos="3544"/>
        </w:tabs>
        <w:adjustRightInd w:val="0"/>
        <w:snapToGrid w:val="0"/>
        <w:spacing w:after="156" w:afterLines="50" w:line="360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Serum Albumin Hydrogen Bond-Driven Fluorescence Switching of Gold Nanoclusters for Ultrasensitive and </w:t>
      </w:r>
      <w:r>
        <w:rPr>
          <w:rFonts w:hint="eastAsia" w:cs="Times New Roman"/>
          <w:b/>
          <w:bCs/>
          <w:sz w:val="28"/>
          <w:szCs w:val="28"/>
        </w:rPr>
        <w:t>R</w:t>
      </w:r>
      <w:r>
        <w:rPr>
          <w:rFonts w:cs="Times New Roman"/>
          <w:b/>
          <w:bCs/>
          <w:sz w:val="28"/>
          <w:szCs w:val="28"/>
        </w:rPr>
        <w:t>eal-</w:t>
      </w:r>
      <w:r>
        <w:rPr>
          <w:rFonts w:hint="eastAsia" w:cs="Times New Roman"/>
          <w:b/>
          <w:bCs/>
          <w:sz w:val="28"/>
          <w:szCs w:val="28"/>
        </w:rPr>
        <w:t>T</w:t>
      </w:r>
      <w:r>
        <w:rPr>
          <w:rFonts w:cs="Times New Roman"/>
          <w:b/>
          <w:bCs/>
          <w:sz w:val="28"/>
          <w:szCs w:val="28"/>
        </w:rPr>
        <w:t>ime Visual Detection of Meat Freshness</w:t>
      </w:r>
    </w:p>
    <w:p w14:paraId="072F9052">
      <w:pPr>
        <w:tabs>
          <w:tab w:val="left" w:pos="3544"/>
        </w:tabs>
        <w:adjustRightInd w:val="0"/>
        <w:snapToGrid w:val="0"/>
        <w:spacing w:after="156" w:afterLines="50" w:line="360" w:lineRule="auto"/>
        <w:rPr>
          <w:rFonts w:cs="Times New Roman"/>
          <w:sz w:val="24"/>
          <w:szCs w:val="24"/>
          <w:vertAlign w:val="superscript"/>
        </w:rPr>
      </w:pPr>
      <w:r>
        <w:rPr>
          <w:rFonts w:cs="Times New Roman"/>
          <w:sz w:val="24"/>
          <w:szCs w:val="24"/>
        </w:rPr>
        <w:t xml:space="preserve">Yiran Wang </w:t>
      </w:r>
      <w:r>
        <w:rPr>
          <w:rFonts w:cs="Times New Roman"/>
          <w:sz w:val="24"/>
          <w:szCs w:val="24"/>
          <w:vertAlign w:val="superscript"/>
        </w:rPr>
        <w:t>1</w:t>
      </w:r>
      <w:r>
        <w:rPr>
          <w:rFonts w:cs="Times New Roman"/>
          <w:sz w:val="24"/>
          <w:szCs w:val="24"/>
        </w:rPr>
        <w:t xml:space="preserve">, Xiaochun Zhu </w:t>
      </w:r>
      <w:r>
        <w:rPr>
          <w:rFonts w:cs="Times New Roman"/>
          <w:sz w:val="24"/>
          <w:szCs w:val="24"/>
          <w:vertAlign w:val="superscript"/>
        </w:rPr>
        <w:t>1</w:t>
      </w:r>
      <w:r>
        <w:rPr>
          <w:rFonts w:cs="Times New Roman"/>
          <w:sz w:val="24"/>
          <w:szCs w:val="24"/>
        </w:rPr>
        <w:t xml:space="preserve">, Furong Ran </w:t>
      </w:r>
      <w:r>
        <w:rPr>
          <w:rFonts w:cs="Times New Roman"/>
          <w:sz w:val="24"/>
          <w:szCs w:val="24"/>
          <w:vertAlign w:val="superscript"/>
        </w:rPr>
        <w:t>1</w:t>
      </w:r>
      <w:r>
        <w:rPr>
          <w:rFonts w:cs="Times New Roman"/>
          <w:sz w:val="24"/>
          <w:szCs w:val="24"/>
        </w:rPr>
        <w:t xml:space="preserve">, </w:t>
      </w:r>
      <w:r>
        <w:rPr>
          <w:rFonts w:hint="eastAsia" w:eastAsia="宋体" w:cs="Times New Roman"/>
          <w:sz w:val="24"/>
          <w:szCs w:val="24"/>
          <w:vertAlign w:val="baseline"/>
        </w:rPr>
        <w:t>Panar Entemak</w:t>
      </w:r>
      <w:r>
        <w:rPr>
          <w:rFonts w:hint="eastAsia" w:eastAsia="宋体" w:cs="Times New Roman"/>
          <w:sz w:val="24"/>
          <w:szCs w:val="24"/>
          <w:vertAlign w:val="baseline"/>
          <w:lang w:val="en-US" w:eastAsia="zh-CN"/>
        </w:rPr>
        <w:t xml:space="preserve"> </w:t>
      </w:r>
      <w:r>
        <w:rPr>
          <w:rFonts w:hint="eastAsia" w:eastAsia="宋体" w:cs="Times New Roman"/>
          <w:sz w:val="24"/>
          <w:szCs w:val="24"/>
          <w:vertAlign w:val="superscript"/>
          <w:lang w:val="en-US" w:eastAsia="zh-CN"/>
        </w:rPr>
        <w:t>1,2</w:t>
      </w:r>
      <w:r>
        <w:rPr>
          <w:rFonts w:hint="eastAsia" w:eastAsia="宋体" w:cs="Times New Roman"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cs="Times New Roman"/>
          <w:sz w:val="24"/>
          <w:szCs w:val="24"/>
        </w:rPr>
        <w:t xml:space="preserve">Liang Ma </w:t>
      </w:r>
      <w:r>
        <w:rPr>
          <w:rFonts w:cs="Times New Roman"/>
          <w:sz w:val="24"/>
          <w:szCs w:val="24"/>
          <w:vertAlign w:val="superscript"/>
        </w:rPr>
        <w:t>1,2</w:t>
      </w:r>
      <w:r>
        <w:rPr>
          <w:rFonts w:cs="Times New Roman"/>
          <w:sz w:val="24"/>
          <w:szCs w:val="24"/>
        </w:rPr>
        <w:t xml:space="preserve">, Yaqin Chai </w:t>
      </w:r>
      <w:r>
        <w:rPr>
          <w:rFonts w:cs="Times New Roman"/>
          <w:sz w:val="24"/>
          <w:szCs w:val="24"/>
          <w:vertAlign w:val="superscript"/>
        </w:rPr>
        <w:t>1*</w:t>
      </w:r>
      <w:r>
        <w:rPr>
          <w:rFonts w:cs="Times New Roman"/>
          <w:sz w:val="24"/>
          <w:szCs w:val="24"/>
        </w:rPr>
        <w:t xml:space="preserve">, Ying Zhou </w:t>
      </w:r>
      <w:r>
        <w:rPr>
          <w:rFonts w:cs="Times New Roman"/>
          <w:sz w:val="24"/>
          <w:szCs w:val="24"/>
          <w:vertAlign w:val="superscript"/>
        </w:rPr>
        <w:t>1,2*</w:t>
      </w:r>
      <w:r>
        <w:rPr>
          <w:rFonts w:cs="Times New Roman"/>
          <w:sz w:val="24"/>
          <w:szCs w:val="24"/>
        </w:rPr>
        <w:t xml:space="preserve">, Ruo Yuan </w:t>
      </w:r>
      <w:r>
        <w:rPr>
          <w:rFonts w:cs="Times New Roman"/>
          <w:sz w:val="24"/>
          <w:szCs w:val="24"/>
          <w:vertAlign w:val="superscript"/>
        </w:rPr>
        <w:t>1*</w:t>
      </w:r>
      <w:bookmarkStart w:id="1" w:name="_GoBack"/>
      <w:bookmarkEnd w:id="1"/>
    </w:p>
    <w:p w14:paraId="46C052A9">
      <w:pPr>
        <w:adjustRightInd w:val="0"/>
        <w:snapToGrid w:val="0"/>
        <w:spacing w:before="156" w:beforeLines="50" w:after="156" w:afterLines="50"/>
        <w:rPr>
          <w:rFonts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vertAlign w:val="superscript"/>
        </w:rPr>
        <w:t>1</w:t>
      </w:r>
      <w:r>
        <w:rPr>
          <w:rFonts w:cs="Times New Roman"/>
          <w:sz w:val="24"/>
          <w:szCs w:val="24"/>
        </w:rPr>
        <w:t xml:space="preserve"> Key Laboratory of Luminescence Analysis and Molecular Sensing (Southwest University), Ministry of Education, College of Chemistry and Chemical Engineering, Southwest University, Chongqing 400715, PR China.</w:t>
      </w:r>
    </w:p>
    <w:p w14:paraId="5B2FF210">
      <w:pPr>
        <w:adjustRightInd w:val="0"/>
        <w:snapToGrid w:val="0"/>
        <w:spacing w:before="156" w:beforeLines="50" w:after="156" w:afterLines="50"/>
        <w:rPr>
          <w:rFonts w:cs="Times New Roman"/>
          <w:sz w:val="24"/>
          <w:szCs w:val="24"/>
        </w:rPr>
      </w:pPr>
      <w:r>
        <w:rPr>
          <w:rFonts w:hint="eastAsia" w:cs="Times New Roman"/>
          <w:sz w:val="24"/>
          <w:szCs w:val="24"/>
          <w:vertAlign w:val="superscript"/>
        </w:rPr>
        <w:t>2</w:t>
      </w:r>
      <w:r>
        <w:rPr>
          <w:rFonts w:cs="Times New Roman"/>
          <w:sz w:val="24"/>
          <w:szCs w:val="24"/>
        </w:rPr>
        <w:t xml:space="preserve"> College of Food Science, Southwest University, Chongqing Key Laboratory of Speciality Food Co-Built by Sichuan and Chongqing, Chongqing 400715, PR China.</w:t>
      </w:r>
    </w:p>
    <w:p w14:paraId="59663364">
      <w:pPr>
        <w:autoSpaceDE w:val="0"/>
        <w:autoSpaceDN w:val="0"/>
        <w:adjustRightInd w:val="0"/>
        <w:snapToGrid w:val="0"/>
        <w:spacing w:before="312" w:beforeLines="100" w:line="240" w:lineRule="auto"/>
        <w:jc w:val="center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*Correspondence to: </w:t>
      </w:r>
      <w:r>
        <w:fldChar w:fldCharType="begin"/>
      </w:r>
      <w:r>
        <w:instrText xml:space="preserve"> HYPERLINK "mailto:yqchai@swu.edu.cn" </w:instrText>
      </w:r>
      <w:r>
        <w:fldChar w:fldCharType="separate"/>
      </w:r>
      <w:r>
        <w:rPr>
          <w:rStyle w:val="5"/>
          <w:rFonts w:eastAsia="Times New Roman" w:cs="Times New Roman"/>
          <w:sz w:val="24"/>
          <w:szCs w:val="24"/>
        </w:rPr>
        <w:t>yqchai@swu.edu.cn</w:t>
      </w:r>
      <w:r>
        <w:rPr>
          <w:rStyle w:val="5"/>
          <w:rFonts w:eastAsia="Times New Roman" w:cs="Times New Roman"/>
          <w:sz w:val="24"/>
          <w:szCs w:val="24"/>
        </w:rPr>
        <w:fldChar w:fldCharType="end"/>
      </w:r>
      <w:r>
        <w:rPr>
          <w:rFonts w:cs="Times New Roman"/>
          <w:sz w:val="24"/>
          <w:szCs w:val="24"/>
        </w:rPr>
        <w:t xml:space="preserve">; </w:t>
      </w:r>
      <w:r>
        <w:fldChar w:fldCharType="begin"/>
      </w:r>
      <w:r>
        <w:instrText xml:space="preserve"> HYPERLINK "mailto:yingzhou@swu.edu.cn" </w:instrText>
      </w:r>
      <w:r>
        <w:fldChar w:fldCharType="separate"/>
      </w:r>
      <w:r>
        <w:rPr>
          <w:rStyle w:val="5"/>
          <w:rFonts w:cs="Times New Roman"/>
          <w:sz w:val="24"/>
          <w:szCs w:val="24"/>
        </w:rPr>
        <w:t>yingzhou@swu.edu.cn</w:t>
      </w:r>
      <w:r>
        <w:rPr>
          <w:rStyle w:val="5"/>
          <w:rFonts w:cs="Times New Roman"/>
          <w:sz w:val="24"/>
          <w:szCs w:val="24"/>
        </w:rPr>
        <w:fldChar w:fldCharType="end"/>
      </w:r>
      <w:r>
        <w:rPr>
          <w:rFonts w:hint="eastAsia" w:cs="Times New Roman"/>
          <w:sz w:val="24"/>
          <w:szCs w:val="24"/>
        </w:rPr>
        <w:t xml:space="preserve">; </w:t>
      </w:r>
      <w:r>
        <w:fldChar w:fldCharType="begin"/>
      </w:r>
      <w:r>
        <w:instrText xml:space="preserve"> HYPERLINK "mailto:yuanruo@swu.edu.cn;" </w:instrText>
      </w:r>
      <w:r>
        <w:fldChar w:fldCharType="separate"/>
      </w:r>
      <w:r>
        <w:rPr>
          <w:rStyle w:val="5"/>
          <w:rFonts w:eastAsia="Times New Roman" w:cs="Times New Roman"/>
          <w:sz w:val="24"/>
          <w:szCs w:val="24"/>
        </w:rPr>
        <w:t>yuanruo@swu.edu.cn</w:t>
      </w:r>
      <w:r>
        <w:rPr>
          <w:rStyle w:val="5"/>
          <w:rFonts w:eastAsia="Times New Roman" w:cs="Times New Roman"/>
          <w:sz w:val="24"/>
          <w:szCs w:val="24"/>
        </w:rPr>
        <w:fldChar w:fldCharType="end"/>
      </w:r>
    </w:p>
    <w:p w14:paraId="40CE6C87">
      <w:pPr>
        <w:widowControl/>
        <w:spacing w:line="240" w:lineRule="auto"/>
        <w:jc w:val="left"/>
        <w:rPr>
          <w:rFonts w:cs="Times New Roman"/>
          <w:szCs w:val="21"/>
        </w:rPr>
      </w:pPr>
      <w:r>
        <w:rPr>
          <w:rFonts w:cs="Times New Roman"/>
          <w:szCs w:val="21"/>
        </w:rPr>
        <w:br w:type="page"/>
      </w:r>
    </w:p>
    <w:p w14:paraId="4A2651C8">
      <w:pPr>
        <w:adjustRightInd w:val="0"/>
        <w:snapToGrid w:val="0"/>
        <w:spacing w:after="156" w:afterLines="50" w:line="360" w:lineRule="auto"/>
      </w:pPr>
      <w:r>
        <w:rPr>
          <w:b/>
          <w:bCs/>
        </w:rPr>
        <w:t>Supplementary Section S</w:t>
      </w:r>
      <w:r>
        <w:rPr>
          <w:rFonts w:hint="eastAsia"/>
          <w:b/>
          <w:bCs/>
        </w:rPr>
        <w:t>1</w:t>
      </w:r>
      <w:r>
        <w:t xml:space="preserve"> </w:t>
      </w:r>
      <w:r>
        <w:rPr>
          <w:rFonts w:hint="eastAsia"/>
        </w:rPr>
        <w:t>M</w:t>
      </w:r>
      <w:r>
        <w:t>orphology and bonding characterization</w:t>
      </w:r>
      <w:r>
        <w:rPr>
          <w:rFonts w:hint="eastAsia"/>
        </w:rPr>
        <w:t xml:space="preserve"> of materials</w:t>
      </w:r>
    </w:p>
    <w:p w14:paraId="3B1C3E39">
      <w:pPr>
        <w:adjustRightInd w:val="0"/>
        <w:snapToGrid w:val="0"/>
        <w:spacing w:line="360" w:lineRule="auto"/>
        <w:ind w:firstLine="210" w:firstLineChars="100"/>
      </w:pPr>
      <w:r>
        <w:t>Transmission electron microscopy (TEM) analysis confirmed that ATT-Au NCs (</w:t>
      </w:r>
      <w:bookmarkStart w:id="0" w:name="OLE_LINK10"/>
      <w:r>
        <w:rPr>
          <w:rFonts w:hint="eastAsia"/>
        </w:rPr>
        <w:t>S</w:t>
      </w:r>
      <w:r>
        <w:t>upplementary Fig. 1A</w:t>
      </w:r>
      <w:bookmarkEnd w:id="0"/>
      <w:r>
        <w:t>) and BSA-Au NCs (</w:t>
      </w:r>
      <w:r>
        <w:rPr>
          <w:rFonts w:hint="eastAsia"/>
        </w:rPr>
        <w:t>S</w:t>
      </w:r>
      <w:r>
        <w:t>upplementary Fig. 1B) exhibited spherical morphology with an average diameter of 2.2 nm (</w:t>
      </w:r>
      <w:r>
        <w:rPr>
          <w:rFonts w:hint="eastAsia"/>
        </w:rPr>
        <w:t>S</w:t>
      </w:r>
      <w:r>
        <w:t>upplementary Fig. 1A</w:t>
      </w:r>
      <w:r>
        <w:rPr>
          <w:rFonts w:hint="eastAsia"/>
        </w:rPr>
        <w:t>, insert</w:t>
      </w:r>
      <w:r>
        <w:t>) and 2.0 nm (</w:t>
      </w:r>
      <w:r>
        <w:rPr>
          <w:rFonts w:hint="eastAsia"/>
        </w:rPr>
        <w:t>S</w:t>
      </w:r>
      <w:r>
        <w:t>upplementary Fig. 1</w:t>
      </w:r>
      <w:r>
        <w:rPr>
          <w:rFonts w:hint="eastAsia"/>
        </w:rPr>
        <w:t>B, insert</w:t>
      </w:r>
      <w:r>
        <w:t>). Meanwhile, the crystal lattice distances of the prepared Au NCs were about 0.202 nm and 0.212 nm, as shown in the high-resolution TEM (HRTEM) images (inse</w:t>
      </w:r>
      <w:r>
        <w:rPr>
          <w:rFonts w:hint="eastAsia"/>
        </w:rPr>
        <w:t>r</w:t>
      </w:r>
      <w:r>
        <w:t xml:space="preserve">t of </w:t>
      </w:r>
      <w:r>
        <w:rPr>
          <w:rFonts w:hint="eastAsia"/>
        </w:rPr>
        <w:t>S</w:t>
      </w:r>
      <w:r>
        <w:t>upplementary Fig. 1A</w:t>
      </w:r>
      <w:r>
        <w:rPr>
          <w:rFonts w:hint="eastAsia"/>
        </w:rPr>
        <w:t xml:space="preserve"> </w:t>
      </w:r>
      <w:r>
        <w:t>and 1B), in accordance with the lattice spacing of the (111) plane in face-centered-cubic (fcc) Au NCs. Furthermore, the SEM image (Fig. S1C) shown the thin-layer and porous microstructure of the PVA hydrogel film. Upon incorporation of the dual-color Au NCs, Au NCs appeared as dark spots dispersed within the porous PVA hydrogel, as further confirmed by the TEM image (</w:t>
      </w:r>
      <w:r>
        <w:rPr>
          <w:rFonts w:hint="eastAsia"/>
        </w:rPr>
        <w:t>S</w:t>
      </w:r>
      <w:r>
        <w:t>upplementary Fig. 1C). Moreover, Fourier transform infrared (FT-IR) spectroscopy (</w:t>
      </w:r>
      <w:r>
        <w:rPr>
          <w:rFonts w:hint="eastAsia"/>
        </w:rPr>
        <w:t>S</w:t>
      </w:r>
      <w:r>
        <w:t>upplementary Fig. 1</w:t>
      </w:r>
      <w:r>
        <w:rPr>
          <w:rFonts w:hint="eastAsia"/>
        </w:rPr>
        <w:t>D,</w:t>
      </w:r>
      <w:r>
        <w:t xml:space="preserve"> blue curve) of the biochromatic hydrogel film (Au NCs/PVA hydrogel) has a reduced hydroxyl peak at 3261 cm-1 and a new carbonyl band at 1714 cm-1 compared to pure PVA (green curve), indicating stable covalent bonds formed between PVA and the Au NCs. More importantly, in the 2500–3400 cm</w:t>
      </w:r>
      <w:r>
        <w:rPr>
          <w:vertAlign w:val="superscript"/>
        </w:rPr>
        <w:t>-1</w:t>
      </w:r>
      <w:r>
        <w:t xml:space="preserve"> region, –OH band appeared broader and lower while –NH2 band was sharper and higher. Thus, these abundant –OH and –NH2 can serve as hydrogen bonding sites in biochromatic hydrogel.</w:t>
      </w:r>
    </w:p>
    <w:p w14:paraId="458BDF02">
      <w:pPr>
        <w:adjustRightInd w:val="0"/>
        <w:snapToGrid w:val="0"/>
        <w:spacing w:line="264" w:lineRule="auto"/>
        <w:jc w:val="center"/>
      </w:pPr>
    </w:p>
    <w:p w14:paraId="21F72273">
      <w:pPr>
        <w:adjustRightInd w:val="0"/>
        <w:snapToGrid w:val="0"/>
        <w:spacing w:line="264" w:lineRule="auto"/>
        <w:jc w:val="center"/>
      </w:pPr>
      <w:r>
        <w:drawing>
          <wp:inline distT="0" distB="0" distL="0" distR="0">
            <wp:extent cx="3884295" cy="3165475"/>
            <wp:effectExtent l="0" t="0" r="1905" b="9525"/>
            <wp:docPr id="103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9" b="799"/>
                    <a:stretch>
                      <a:fillRect/>
                    </a:stretch>
                  </pic:blipFill>
                  <pic:spPr>
                    <a:xfrm>
                      <a:off x="0" y="0"/>
                      <a:ext cx="3884544" cy="316604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15DA3">
      <w:pPr>
        <w:adjustRightInd w:val="0"/>
        <w:snapToGrid w:val="0"/>
        <w:spacing w:line="264" w:lineRule="auto"/>
      </w:pPr>
      <w:r>
        <w:rPr>
          <w:b/>
          <w:bCs/>
        </w:rPr>
        <w:t>Supplementary Fig. 1</w:t>
      </w:r>
      <w:r>
        <w:rPr>
          <w:rFonts w:hint="eastAsia"/>
          <w:b/>
          <w:bCs/>
        </w:rPr>
        <w:t xml:space="preserve"> </w:t>
      </w:r>
      <w:r>
        <w:t xml:space="preserve">(A) </w:t>
      </w:r>
      <w:r>
        <w:rPr>
          <w:rFonts w:hint="eastAsia"/>
        </w:rPr>
        <w:t>TEM image of BSA-Au NCs; insert: HRTEM image and t</w:t>
      </w:r>
      <w:r>
        <w:t>he size distribution of</w:t>
      </w:r>
      <w:r>
        <w:rPr>
          <w:rFonts w:hint="eastAsia"/>
        </w:rPr>
        <w:t xml:space="preserve"> BSA</w:t>
      </w:r>
      <w:r>
        <w:t>-Au</w:t>
      </w:r>
      <w:r>
        <w:rPr>
          <w:rFonts w:hint="eastAsia"/>
        </w:rPr>
        <w:t xml:space="preserve"> </w:t>
      </w:r>
      <w:r>
        <w:t>NCs</w:t>
      </w:r>
      <w:r>
        <w:rPr>
          <w:rFonts w:hint="eastAsia"/>
        </w:rPr>
        <w:t>, (B</w:t>
      </w:r>
      <w:r>
        <w:t>)</w:t>
      </w:r>
      <w:r>
        <w:rPr>
          <w:rFonts w:hint="eastAsia"/>
        </w:rPr>
        <w:t xml:space="preserve"> TEM image of BSA-Au NCs; insert: insert: HRTEM image and t</w:t>
      </w:r>
      <w:r>
        <w:t>he size distribution of</w:t>
      </w:r>
      <w:r>
        <w:rPr>
          <w:rFonts w:hint="eastAsia"/>
        </w:rPr>
        <w:t xml:space="preserve"> ATT-Au NCs. (C) SEM </w:t>
      </w:r>
      <w:r>
        <w:t>image of</w:t>
      </w:r>
      <w:r>
        <w:rPr>
          <w:rFonts w:hint="eastAsia"/>
        </w:rPr>
        <w:t xml:space="preserve"> Au NCs within PVA hydrogel. (D)</w:t>
      </w:r>
      <w:r>
        <w:t xml:space="preserve"> FT-IR spectra of Au NCs/PVA hydrogel (blue curve) and PVA hydrogel (green curve).</w:t>
      </w:r>
    </w:p>
    <w:p w14:paraId="66A1F11B"/>
    <w:p w14:paraId="6DAB902B">
      <w:pPr>
        <w:spacing w:after="156" w:afterLines="50"/>
      </w:pPr>
      <w:r>
        <w:rPr>
          <w:b/>
          <w:bCs/>
        </w:rPr>
        <w:t>Supplementary Section S</w:t>
      </w:r>
      <w:r>
        <w:rPr>
          <w:rFonts w:hint="eastAsia"/>
          <w:b/>
          <w:bCs/>
        </w:rPr>
        <w:t xml:space="preserve">2 </w:t>
      </w:r>
      <w:r>
        <w:t>Mechanistic Investigation of the FL switch on/off</w:t>
      </w:r>
    </w:p>
    <w:p w14:paraId="69C6A905">
      <w:pPr>
        <w:spacing w:line="360" w:lineRule="auto"/>
        <w:ind w:firstLine="210" w:firstLineChars="100"/>
      </w:pPr>
      <w:r>
        <w:t>Förster resonance energy transfer (FRET) w</w:t>
      </w:r>
      <w:r>
        <w:rPr>
          <w:rFonts w:hint="eastAsia"/>
        </w:rPr>
        <w:t>as</w:t>
      </w:r>
      <w:r>
        <w:t xml:space="preserve"> first considered as a possible mechanism</w:t>
      </w:r>
      <w:r>
        <w:rPr>
          <w:rFonts w:hint="eastAsia"/>
        </w:rPr>
        <w:t xml:space="preserve"> of </w:t>
      </w:r>
      <w:r>
        <w:t>FL switch</w:t>
      </w:r>
      <w:r>
        <w:rPr>
          <w:rFonts w:hint="eastAsia"/>
        </w:rPr>
        <w:t xml:space="preserve"> on/off</w:t>
      </w:r>
      <w:r>
        <w:t>, but the absence of spectral overlap between the emission band of BSA-Au NCs and the excitation band of ATT-Au NCs precluded FRET as the enhancement mechanism (Supplementary Fig. 2</w:t>
      </w:r>
      <w:r>
        <w:rPr>
          <w:rFonts w:hint="eastAsia"/>
        </w:rPr>
        <w:t>A and B</w:t>
      </w:r>
      <w:r>
        <w:t>). Furthermore, the Au (4f</w:t>
      </w:r>
      <w:r>
        <w:rPr>
          <w:vertAlign w:val="subscript"/>
        </w:rPr>
        <w:t>5/2</w:t>
      </w:r>
      <w:r>
        <w:t>) electron (88.1 eV) and Au (4f</w:t>
      </w:r>
      <w:r>
        <w:rPr>
          <w:vertAlign w:val="subscript"/>
        </w:rPr>
        <w:t>7/2</w:t>
      </w:r>
      <w:r>
        <w:t>) electron (84.5 eV) of the ATT-Au NCs and BSA-Au NCs + ATT-Au NCs (Supplementary Fig. 2E) appeared at the same position in the high-definition X-ray photoelectron spectroscopy (XPS) spectra, indicating no change of electronic structure around the Au core. Having excluded both FRET and core-level electronic effects, we next investigated the role of the ligand environment. Given that BSA is a macromolecular protein, changes in electrostatic interactions may represent a reasonable explanation. Under different concentrations of NaCl (0-600 mM), the FL responses of BSA + ATT-Au NCs (curves a and b) and BSA +ATT-Au NCs+ SPE (curve c) were recorded to verify whether electrostatic attraction dominated the FL on-off switch. As shown in Supplementary Fig. 2F, the FL turn-on and turn-off of ATT-Au NCs remained unchanged even under high ionic strength conditions, which effectively shielded electrostatic interactions, confirming that electrostatic attraction was not the driving force.</w:t>
      </w:r>
    </w:p>
    <w:p w14:paraId="054F1823">
      <w:pPr>
        <w:spacing w:line="240" w:lineRule="atLeast"/>
        <w:jc w:val="center"/>
      </w:pPr>
      <w:r>
        <w:rPr>
          <w:rFonts w:hint="eastAsia"/>
        </w:rPr>
        <w:drawing>
          <wp:inline distT="0" distB="0" distL="0" distR="0">
            <wp:extent cx="3768725" cy="4571365"/>
            <wp:effectExtent l="0" t="0" r="3175" b="635"/>
            <wp:docPr id="1032" name="图片 2" descr="D:/aaa桌面/支撑材料2.png支撑材料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2" descr="D:/aaa桌面/支撑材料2.png支撑材料2"/>
                    <pic:cNvPicPr/>
                  </pic:nvPicPr>
                  <pic:blipFill>
                    <a:blip r:embed="rId8"/>
                    <a:srcRect t="682" b="682"/>
                    <a:stretch>
                      <a:fillRect/>
                    </a:stretch>
                  </pic:blipFill>
                  <pic:spPr>
                    <a:xfrm>
                      <a:off x="0" y="0"/>
                      <a:ext cx="3768725" cy="457167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465D98BB">
      <w:pPr>
        <w:adjustRightInd w:val="0"/>
        <w:snapToGrid w:val="0"/>
        <w:spacing w:line="264" w:lineRule="auto"/>
      </w:pPr>
      <w:r>
        <w:rPr>
          <w:b/>
          <w:bCs/>
        </w:rPr>
        <w:t xml:space="preserve">Supplementary Fig. </w:t>
      </w:r>
      <w:r>
        <w:rPr>
          <w:rFonts w:hint="eastAsia"/>
          <w:b/>
          <w:bCs/>
        </w:rPr>
        <w:t>2</w:t>
      </w:r>
      <w:r>
        <w:t xml:space="preserve"> FL excitation and emission spectra of (</w:t>
      </w:r>
      <w:r>
        <w:rPr>
          <w:rFonts w:hint="eastAsia"/>
        </w:rPr>
        <w:t>A</w:t>
      </w:r>
      <w:r>
        <w:t>) BSA-Au NCs and (</w:t>
      </w:r>
      <w:r>
        <w:rPr>
          <w:rFonts w:hint="eastAsia"/>
        </w:rPr>
        <w:t>B</w:t>
      </w:r>
      <w:r>
        <w:t>) ATT-Au NCs.</w:t>
      </w:r>
      <w:r>
        <w:rPr>
          <w:rFonts w:hint="eastAsia"/>
        </w:rPr>
        <w:t xml:space="preserve"> (C) </w:t>
      </w:r>
      <w:r>
        <w:t xml:space="preserve">FL emission spectra of BSA + ATT-Au NCs and ATT-Au NCs. </w:t>
      </w:r>
      <w:r>
        <w:rPr>
          <w:rFonts w:hint="eastAsia"/>
        </w:rPr>
        <w:t>(D)</w:t>
      </w:r>
      <w:r>
        <w:t xml:space="preserve"> </w:t>
      </w:r>
      <w:r>
        <w:rPr>
          <w:rFonts w:hint="eastAsia"/>
        </w:rPr>
        <w:t>FL</w:t>
      </w:r>
      <w:r>
        <w:t xml:space="preserve"> intensity of ATT-Au NCs at 530 nm in the presence of various serum proteins</w:t>
      </w:r>
      <w:r>
        <w:rPr>
          <w:rFonts w:hint="eastAsia"/>
        </w:rPr>
        <w:t xml:space="preserve">: </w:t>
      </w:r>
      <w:r>
        <w:t>AFP</w:t>
      </w:r>
      <w:r>
        <w:rPr>
          <w:rFonts w:hint="eastAsia"/>
        </w:rPr>
        <w:t xml:space="preserve"> (yellow bar)</w:t>
      </w:r>
      <w:r>
        <w:t>, BSA</w:t>
      </w:r>
      <w:r>
        <w:rPr>
          <w:rFonts w:hint="eastAsia"/>
        </w:rPr>
        <w:t xml:space="preserve"> (blue bar)</w:t>
      </w:r>
      <w:r>
        <w:t>,</w:t>
      </w:r>
      <w:r>
        <w:rPr>
          <w:rFonts w:hint="eastAsia"/>
        </w:rPr>
        <w:t xml:space="preserve"> </w:t>
      </w:r>
      <w:r>
        <w:t>HSA</w:t>
      </w:r>
      <w:r>
        <w:rPr>
          <w:rFonts w:hint="eastAsia"/>
        </w:rPr>
        <w:t xml:space="preserve"> (green bar)</w:t>
      </w:r>
      <w:r>
        <w:t>, MSA</w:t>
      </w:r>
      <w:r>
        <w:rPr>
          <w:rFonts w:hint="eastAsia"/>
        </w:rPr>
        <w:t xml:space="preserve"> (pink bar)</w:t>
      </w:r>
      <w:r>
        <w:t xml:space="preserve">, and AFM </w:t>
      </w:r>
      <w:r>
        <w:rPr>
          <w:rFonts w:hint="eastAsia"/>
        </w:rPr>
        <w:t xml:space="preserve">(purple bar) </w:t>
      </w:r>
      <w:r>
        <w:t xml:space="preserve">before and after (gray bars) the addition of SPE. The </w:t>
      </w:r>
      <w:r>
        <w:rPr>
          <w:rFonts w:hint="eastAsia"/>
        </w:rPr>
        <w:t>FL</w:t>
      </w:r>
      <w:r>
        <w:t xml:space="preserve"> of ATT-Au NCs was significantly quenched upon the addition of</w:t>
      </w:r>
      <w:r>
        <w:rPr>
          <w:rFonts w:hint="eastAsia"/>
        </w:rPr>
        <w:t xml:space="preserve"> SPE. (E) </w:t>
      </w:r>
      <w:r>
        <w:t>High-resolution XPS spectra of Au (4f) of ATT-Au NCs and BSA-Au NCs+ ATT-Au NCs. (F) FL emission spectra of (a) BSA + ATT-Au NCs, (b) BSA + ATT-Au NCs in the presence of increasing concentration of NaCl (0-600 mM), and (c) BSA + ATT-Au NCs + SPE in the presence of increasing concentration of NaCl (0-600 mM).</w:t>
      </w:r>
    </w:p>
    <w:p w14:paraId="0FB9299C">
      <w:pPr>
        <w:jc w:val="center"/>
      </w:pPr>
      <w:r>
        <w:rPr>
          <w:rFonts w:hint="eastAsia"/>
        </w:rPr>
        <w:drawing>
          <wp:inline distT="0" distB="0" distL="0" distR="0">
            <wp:extent cx="4806315" cy="1701800"/>
            <wp:effectExtent l="0" t="0" r="6985" b="0"/>
            <wp:docPr id="1" name="图片 3" descr="D:/aaa桌面/支撑材料2.png支撑材料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D:/aaa桌面/支撑材料2.png支撑材料2"/>
                    <pic:cNvPicPr/>
                  </pic:nvPicPr>
                  <pic:blipFill>
                    <a:blip r:embed="rId9"/>
                    <a:srcRect l="1169" t="4612" r="2582" b="4012"/>
                    <a:stretch>
                      <a:fillRect/>
                    </a:stretch>
                  </pic:blipFill>
                  <pic:spPr>
                    <a:xfrm>
                      <a:off x="0" y="0"/>
                      <a:ext cx="4806315" cy="1701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DF9D2">
      <w:pPr>
        <w:adjustRightInd w:val="0"/>
        <w:snapToGrid w:val="0"/>
        <w:spacing w:line="264" w:lineRule="auto"/>
        <w:jc w:val="center"/>
      </w:pPr>
    </w:p>
    <w:p w14:paraId="74E5D74F">
      <w:pPr>
        <w:adjustRightInd w:val="0"/>
        <w:snapToGrid w:val="0"/>
        <w:spacing w:line="264" w:lineRule="auto"/>
      </w:pPr>
      <w:r>
        <w:rPr>
          <w:b/>
          <w:bCs/>
        </w:rPr>
        <w:t xml:space="preserve">Supplementary Fig. </w:t>
      </w:r>
      <w:r>
        <w:rPr>
          <w:rFonts w:hint="eastAsia"/>
          <w:b/>
          <w:bCs/>
        </w:rPr>
        <w:t>3</w:t>
      </w:r>
      <w:r>
        <w:t xml:space="preserve"> Root Mean Square Deviation</w:t>
      </w:r>
      <w:r>
        <w:rPr>
          <w:rFonts w:hint="eastAsia"/>
        </w:rPr>
        <w:t xml:space="preserve"> of (A) BSA-ATT complex, (B) BSA-SPE complex.</w:t>
      </w:r>
    </w:p>
    <w:p w14:paraId="3081F2BA">
      <w:pPr>
        <w:jc w:val="left"/>
      </w:pPr>
    </w:p>
    <w:p w14:paraId="04499B52">
      <w:pPr>
        <w:adjustRightInd w:val="0"/>
        <w:snapToGrid w:val="0"/>
        <w:spacing w:after="156" w:afterLines="50" w:line="264" w:lineRule="auto"/>
        <w:jc w:val="left"/>
      </w:pPr>
      <w:r>
        <w:rPr>
          <w:b/>
          <w:bCs/>
        </w:rPr>
        <w:t>Supplementary Section S</w:t>
      </w:r>
      <w:r>
        <w:rPr>
          <w:rFonts w:hint="eastAsia"/>
          <w:b/>
          <w:bCs/>
        </w:rPr>
        <w:t>4</w:t>
      </w:r>
      <w:r>
        <w:t xml:space="preserve"> Determination of Binding Constants (</w:t>
      </w:r>
      <w:r>
        <w:rPr>
          <w:i/>
          <w:iCs/>
        </w:rPr>
        <w:t>K</w:t>
      </w:r>
      <w:r>
        <w:rPr>
          <w:vertAlign w:val="subscript"/>
        </w:rPr>
        <w:t>a</w:t>
      </w:r>
      <w:r>
        <w:t>) and Stoichiometry (</w:t>
      </w:r>
      <w:r>
        <w:rPr>
          <w:i/>
          <w:iCs/>
        </w:rPr>
        <w:t>n</w:t>
      </w:r>
      <w:r>
        <w:t xml:space="preserve">) for ATT-Au NCs/BSA-Au NCs and SPE/BSA-Au NCs Systems via </w:t>
      </w:r>
      <w:r>
        <w:rPr>
          <w:rFonts w:hint="eastAsia"/>
        </w:rPr>
        <w:t>FL</w:t>
      </w:r>
      <w:r>
        <w:t xml:space="preserve"> Titration</w:t>
      </w:r>
    </w:p>
    <w:p w14:paraId="16D852C9">
      <w:pPr>
        <w:adjustRightInd w:val="0"/>
        <w:snapToGrid w:val="0"/>
        <w:spacing w:line="360" w:lineRule="auto"/>
        <w:ind w:firstLine="210" w:firstLineChars="100"/>
      </w:pPr>
      <w:r>
        <w:t>The binding constant (</w:t>
      </w:r>
      <w:r>
        <w:rPr>
          <w:rFonts w:hint="eastAsia"/>
          <w:i/>
        </w:rPr>
        <w:t>K</w:t>
      </w:r>
      <w:r>
        <w:rPr>
          <w:rFonts w:hint="eastAsia"/>
          <w:vertAlign w:val="subscript"/>
        </w:rPr>
        <w:t>a</w:t>
      </w:r>
      <w:r>
        <w:t>) and stoichiometry (</w:t>
      </w:r>
      <w:r>
        <w:rPr>
          <w:i/>
          <w:iCs/>
        </w:rPr>
        <w:t>n</w:t>
      </w:r>
      <w:r>
        <w:t xml:space="preserve">) for the interaction between ATT-Au NCs and BSA-Au NCs were determined by monitoring the </w:t>
      </w:r>
      <w:r>
        <w:rPr>
          <w:rFonts w:hint="eastAsia"/>
        </w:rPr>
        <w:t>FL</w:t>
      </w:r>
      <w:r>
        <w:t xml:space="preserve"> enhancement of ATT-Au NCs upon incremental addition of BSA-Au NCs. Given the hydrogen-bonding-induced </w:t>
      </w:r>
      <w:r>
        <w:rPr>
          <w:rFonts w:hint="eastAsia"/>
        </w:rPr>
        <w:t xml:space="preserve">FL </w:t>
      </w:r>
      <w:r>
        <w:t>enhancement, the titration data were fitted to the Benesi–Hildebrand equation (</w:t>
      </w:r>
      <w:r>
        <w:rPr>
          <w:i/>
        </w:rPr>
        <w:t>R</w:t>
      </w:r>
      <w:r>
        <w:t>&gt;0.98):</w:t>
      </w:r>
    </w:p>
    <w:p w14:paraId="03ECB321">
      <w:pPr>
        <w:adjustRightInd w:val="0"/>
        <w:snapToGrid w:val="0"/>
        <w:spacing w:line="360" w:lineRule="auto"/>
        <w:jc w:val="center"/>
      </w:pPr>
      <w:r>
        <w:drawing>
          <wp:inline distT="0" distB="0" distL="0" distR="0">
            <wp:extent cx="1682750" cy="447040"/>
            <wp:effectExtent l="0" t="0" r="6350" b="10160"/>
            <wp:docPr id="1034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1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44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09EC1">
      <w:pPr>
        <w:adjustRightInd w:val="0"/>
        <w:snapToGrid w:val="0"/>
        <w:spacing w:line="360" w:lineRule="auto"/>
        <w:ind w:firstLine="210" w:firstLineChars="100"/>
      </w:pPr>
      <w:r>
        <w:t>F</w:t>
      </w:r>
      <w:r>
        <w:rPr>
          <w:rFonts w:hint="eastAsia"/>
          <w:vertAlign w:val="subscript"/>
        </w:rPr>
        <w:t>0</w:t>
      </w:r>
      <w:r>
        <w:t xml:space="preserve"> </w:t>
      </w:r>
      <w:r>
        <w:rPr>
          <w:rFonts w:hint="eastAsia"/>
        </w:rPr>
        <w:t xml:space="preserve">and F </w:t>
      </w:r>
      <w:r>
        <w:t xml:space="preserve">are the </w:t>
      </w:r>
      <w:r>
        <w:rPr>
          <w:rFonts w:hint="eastAsia"/>
        </w:rPr>
        <w:t>FL</w:t>
      </w:r>
      <w:r>
        <w:t xml:space="preserve"> intensities of ATT-Au NCs in the absence and presence of BSA-Au NCs, respectively, and</w:t>
      </w:r>
      <w:r>
        <w:rPr>
          <w:rFonts w:hint="eastAsia"/>
        </w:rPr>
        <w:t xml:space="preserve"> </w:t>
      </w:r>
      <w:r>
        <w:t>[</w:t>
      </w:r>
      <w:r>
        <w:rPr>
          <w:i/>
          <w:iCs/>
        </w:rPr>
        <w:t>Q</w:t>
      </w:r>
      <w:r>
        <w:t xml:space="preserve">] is the concentration of BSA-Au NCs. The value of </w:t>
      </w:r>
      <w:r>
        <w:rPr>
          <w:i/>
        </w:rPr>
        <w:t>K</w:t>
      </w:r>
      <w:r>
        <w:rPr>
          <w:vertAlign w:val="subscript"/>
        </w:rPr>
        <w:t>a</w:t>
      </w:r>
      <w:r>
        <w:rPr>
          <w:rFonts w:hint="eastAsia"/>
        </w:rPr>
        <w:t xml:space="preserve"> </w:t>
      </w:r>
      <w:r>
        <w:t>was calculated as 3.35×10</w:t>
      </w:r>
      <w:r>
        <w:rPr>
          <w:vertAlign w:val="superscript"/>
        </w:rPr>
        <w:t>2</w:t>
      </w:r>
      <w:r>
        <w:rPr>
          <w:rFonts w:hint="eastAsia"/>
        </w:rPr>
        <w:t xml:space="preserve"> </w:t>
      </w:r>
      <w:r>
        <w:t>from the ratio of the intercept to the slope of the linear plot. The stoichiometry (</w:t>
      </w:r>
      <w:r>
        <w:rPr>
          <w:rFonts w:hint="eastAsia"/>
          <w:i/>
          <w:iCs/>
        </w:rPr>
        <w:t>n</w:t>
      </w:r>
      <w:r>
        <w:t xml:space="preserve">) was determined to be approximately 1.5 from the molar ratio of BSA-Au NCs to ATT-Au NCs at which the </w:t>
      </w:r>
      <w:r>
        <w:rPr>
          <w:rFonts w:hint="eastAsia"/>
        </w:rPr>
        <w:t>FL</w:t>
      </w:r>
      <w:r>
        <w:t xml:space="preserve"> enhancement reached a plateau (Supplementary Fig. S</w:t>
      </w:r>
      <w:r>
        <w:rPr>
          <w:rFonts w:hint="eastAsia"/>
        </w:rPr>
        <w:t>4</w:t>
      </w:r>
      <w:r>
        <w:t>).</w:t>
      </w:r>
    </w:p>
    <w:p w14:paraId="6EF71A91">
      <w:pPr>
        <w:adjustRightInd w:val="0"/>
        <w:snapToGrid w:val="0"/>
        <w:spacing w:line="360" w:lineRule="auto"/>
        <w:ind w:firstLine="210" w:firstLineChars="100"/>
      </w:pPr>
      <w:r>
        <w:t xml:space="preserve">In contrast, the binding parameters for the interaction between SPE and BSA-Au NCs were determined by monitoring the </w:t>
      </w:r>
      <w:r>
        <w:rPr>
          <w:rFonts w:hint="eastAsia"/>
        </w:rPr>
        <w:t>FL</w:t>
      </w:r>
      <w:r>
        <w:t xml:space="preserve"> decrease of the biochromatic system upon SPE addition The data were initially fitted to the Stern–Volmer equation and subsequently analyzed using the double-logarithmic equation (</w:t>
      </w:r>
      <w:r>
        <w:rPr>
          <w:i/>
          <w:iCs/>
        </w:rPr>
        <w:t>R</w:t>
      </w:r>
      <w:r>
        <w:t>&gt;0.97):</w:t>
      </w:r>
    </w:p>
    <w:p w14:paraId="18C31F52">
      <w:pPr>
        <w:adjustRightInd w:val="0"/>
        <w:snapToGrid w:val="0"/>
        <w:spacing w:line="360" w:lineRule="auto"/>
        <w:jc w:val="center"/>
        <w:rPr>
          <w:rFonts w:hint="eastAsia"/>
        </w:rPr>
      </w:pPr>
      <w:r>
        <w:drawing>
          <wp:inline distT="0" distB="0" distL="114300" distR="114300">
            <wp:extent cx="1894840" cy="518795"/>
            <wp:effectExtent l="0" t="0" r="10160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4840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53CF9">
      <w:pPr>
        <w:adjustRightInd w:val="0"/>
        <w:snapToGrid w:val="0"/>
        <w:spacing w:after="156" w:afterLines="50" w:line="360" w:lineRule="auto"/>
        <w:ind w:firstLine="210" w:firstLineChars="100"/>
      </w:pPr>
      <w:r>
        <w:rPr>
          <w:i/>
        </w:rPr>
        <w:t>F</w:t>
      </w:r>
      <w:r>
        <w:rPr>
          <w:rFonts w:hint="eastAsia"/>
          <w:vertAlign w:val="subscript"/>
        </w:rPr>
        <w:t>0</w:t>
      </w:r>
      <w:r>
        <w:t xml:space="preserve"> </w:t>
      </w:r>
      <w:r>
        <w:rPr>
          <w:rFonts w:hint="eastAsia"/>
        </w:rPr>
        <w:t xml:space="preserve">and F </w:t>
      </w:r>
      <w:r>
        <w:t xml:space="preserve">are the </w:t>
      </w:r>
      <w:r>
        <w:rPr>
          <w:rFonts w:hint="eastAsia"/>
        </w:rPr>
        <w:t>FL</w:t>
      </w:r>
      <w:r>
        <w:t xml:space="preserve"> intensities of biochromatic</w:t>
      </w:r>
      <w:r>
        <w:rPr>
          <w:rFonts w:hint="eastAsia"/>
        </w:rPr>
        <w:t xml:space="preserve"> </w:t>
      </w:r>
      <w:r>
        <w:t xml:space="preserve">Au NCs in the absence and presence of </w:t>
      </w:r>
      <w:r>
        <w:rPr>
          <w:rFonts w:hint="eastAsia"/>
        </w:rPr>
        <w:t>SPE</w:t>
      </w:r>
      <w:r>
        <w:t>, respectively, and</w:t>
      </w:r>
      <w:r>
        <w:rPr>
          <w:rFonts w:hint="eastAsia"/>
        </w:rPr>
        <w:t xml:space="preserve"> </w:t>
      </w:r>
      <w:r>
        <w:t>[</w:t>
      </w:r>
      <w:r>
        <w:rPr>
          <w:i/>
          <w:iCs/>
        </w:rPr>
        <w:t>Q</w:t>
      </w:r>
      <w:r>
        <w:t xml:space="preserve">] is the concentration of </w:t>
      </w:r>
      <w:r>
        <w:rPr>
          <w:rFonts w:hint="eastAsia"/>
        </w:rPr>
        <w:t>SPE</w:t>
      </w:r>
      <w:r>
        <w:t xml:space="preserve">. The value of </w:t>
      </w:r>
      <w:r>
        <w:rPr>
          <w:i/>
        </w:rPr>
        <w:t>K</w:t>
      </w:r>
      <w:r>
        <w:rPr>
          <w:vertAlign w:val="subscript"/>
        </w:rPr>
        <w:t>a</w:t>
      </w:r>
      <w:r>
        <w:t xml:space="preserve"> was calculated as </w:t>
      </w:r>
      <w:r>
        <w:rPr>
          <w:rFonts w:hint="eastAsia"/>
        </w:rPr>
        <w:t>5.01</w:t>
      </w:r>
      <w:r>
        <w:t>×10</w:t>
      </w:r>
      <w:r>
        <w:rPr>
          <w:rFonts w:hint="eastAsia"/>
          <w:vertAlign w:val="superscript"/>
        </w:rPr>
        <w:t>2</w:t>
      </w:r>
      <w:r>
        <w:t xml:space="preserve"> from the ratio of the intercept to the slope of the linear plot. The stoichiometry (</w:t>
      </w:r>
      <w:r>
        <w:rPr>
          <w:i/>
          <w:iCs/>
        </w:rPr>
        <w:t>n</w:t>
      </w:r>
      <w:r>
        <w:t xml:space="preserve">) was calculated to be approximately </w:t>
      </w:r>
      <w:r>
        <w:rPr>
          <w:rFonts w:hint="eastAsia"/>
        </w:rPr>
        <w:t>1 from the slop.</w:t>
      </w:r>
    </w:p>
    <w:p w14:paraId="4850C811">
      <w:pPr>
        <w:adjustRightInd w:val="0"/>
        <w:snapToGrid w:val="0"/>
        <w:spacing w:line="264" w:lineRule="auto"/>
      </w:pPr>
      <w:r>
        <w:t xml:space="preserve">The </w:t>
      </w:r>
      <w:r>
        <w:rPr>
          <w:rFonts w:hint="eastAsia"/>
        </w:rPr>
        <w:t>FL</w:t>
      </w:r>
      <w:r>
        <w:t xml:space="preserve"> intensity of ATT-Au NCs gradually increased upon incremental addition of BSA-Au NCs, reached a maximum at a BSA-Au NCs: ATT-Au NCs molar ratio of </w:t>
      </w:r>
      <w:r>
        <w:rPr>
          <w:rFonts w:hint="eastAsia"/>
        </w:rPr>
        <w:t>3: 2</w:t>
      </w:r>
      <w:r>
        <w:t>, and decreased with further addition, corresponding to a binding stoichiometry (</w:t>
      </w:r>
      <w:r>
        <w:rPr>
          <w:i/>
          <w:iCs/>
        </w:rPr>
        <w:t>n</w:t>
      </w:r>
      <w:r>
        <w:t xml:space="preserve">) of approximately 1.5 (ATT-Au NCs </w:t>
      </w:r>
      <w:r>
        <w:rPr>
          <w:rFonts w:hint="eastAsia"/>
        </w:rPr>
        <w:t xml:space="preserve">to </w:t>
      </w:r>
      <w:r>
        <w:t>BSA-Au NCs).</w:t>
      </w:r>
    </w:p>
    <w:p w14:paraId="5E180313">
      <w:pPr>
        <w:adjustRightInd w:val="0"/>
        <w:snapToGrid w:val="0"/>
        <w:spacing w:line="264" w:lineRule="auto"/>
        <w:jc w:val="center"/>
        <w:rPr>
          <w:b/>
          <w:bCs/>
        </w:rPr>
      </w:pPr>
      <w:r>
        <w:drawing>
          <wp:inline distT="0" distB="0" distL="0" distR="0">
            <wp:extent cx="2413000" cy="2019300"/>
            <wp:effectExtent l="0" t="0" r="0" b="0"/>
            <wp:docPr id="103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386" cy="2019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AD401">
      <w:pPr>
        <w:adjustRightInd w:val="0"/>
        <w:snapToGrid w:val="0"/>
        <w:spacing w:line="264" w:lineRule="auto"/>
      </w:pPr>
      <w:r>
        <w:rPr>
          <w:b/>
          <w:bCs/>
        </w:rPr>
        <w:t xml:space="preserve">Supplementary Fig. </w:t>
      </w:r>
      <w:r>
        <w:rPr>
          <w:rFonts w:hint="eastAsia"/>
          <w:b/>
          <w:bCs/>
        </w:rPr>
        <w:t>4</w:t>
      </w:r>
      <w:r>
        <w:t xml:space="preserve"> </w:t>
      </w:r>
      <w:r>
        <w:rPr>
          <w:rFonts w:hint="eastAsia"/>
        </w:rPr>
        <w:t>FL</w:t>
      </w:r>
      <w:r>
        <w:t xml:space="preserve"> intensity changes of ATT-Au NCs at 530 nm upon incremental addition of BSA, plotted as a function of the volume ratio </w:t>
      </w:r>
      <w:r>
        <w:rPr>
          <w:i/>
        </w:rPr>
        <w:t>V</w:t>
      </w:r>
      <w:r>
        <w:rPr>
          <w:vertAlign w:val="subscript"/>
        </w:rPr>
        <w:t>BSA</w:t>
      </w:r>
      <w:r>
        <w:t>:</w:t>
      </w:r>
      <w:r>
        <w:rPr>
          <w:rFonts w:hint="eastAsia"/>
        </w:rPr>
        <w:t xml:space="preserve"> </w:t>
      </w:r>
      <w:r>
        <w:rPr>
          <w:i/>
        </w:rPr>
        <w:t>V</w:t>
      </w:r>
      <w:r>
        <w:rPr>
          <w:vertAlign w:val="subscript"/>
        </w:rPr>
        <w:t>ATT-Au NCs</w:t>
      </w:r>
      <w:r>
        <w:rPr>
          <w:rFonts w:hint="eastAsia"/>
        </w:rPr>
        <w:t xml:space="preserve"> </w:t>
      </w:r>
      <w:r>
        <w:t xml:space="preserve">ranging from 0 to 12. The </w:t>
      </w:r>
      <w:r>
        <w:rPr>
          <w:rFonts w:hint="eastAsia"/>
        </w:rPr>
        <w:t>FL</w:t>
      </w:r>
      <w:r>
        <w:t xml:space="preserve"> intensity gradually increased with increasing BSA and reached a plateau at a volume ratio of approximately 3:2 </w:t>
      </w:r>
      <w:r>
        <w:rPr>
          <w:rFonts w:hint="eastAsia"/>
        </w:rPr>
        <w:t>(</w:t>
      </w:r>
      <w:r>
        <w:rPr>
          <w:i/>
        </w:rPr>
        <w:t>V</w:t>
      </w:r>
      <w:r>
        <w:rPr>
          <w:vertAlign w:val="subscript"/>
        </w:rPr>
        <w:t>BSA</w:t>
      </w:r>
      <w:r>
        <w:t>:</w:t>
      </w:r>
      <w:r>
        <w:rPr>
          <w:rFonts w:hint="eastAsia"/>
        </w:rPr>
        <w:t xml:space="preserve"> </w:t>
      </w:r>
      <w:r>
        <w:rPr>
          <w:i/>
        </w:rPr>
        <w:t>V</w:t>
      </w:r>
      <w:r>
        <w:rPr>
          <w:vertAlign w:val="subscript"/>
        </w:rPr>
        <w:t>ATT-Au NCs</w:t>
      </w:r>
      <w:r>
        <w:rPr>
          <w:rFonts w:hint="eastAsia"/>
        </w:rPr>
        <w:t>).</w:t>
      </w:r>
    </w:p>
    <w:p w14:paraId="1DE41DFB">
      <w:pPr>
        <w:adjustRightInd w:val="0"/>
        <w:snapToGrid w:val="0"/>
        <w:spacing w:line="264" w:lineRule="auto"/>
        <w:jc w:val="center"/>
      </w:pPr>
      <w:r>
        <w:rPr>
          <w:rFonts w:hint="eastAsia"/>
        </w:rPr>
        <w:drawing>
          <wp:inline distT="0" distB="0" distL="0" distR="0">
            <wp:extent cx="2438400" cy="1809750"/>
            <wp:effectExtent l="0" t="0" r="0" b="6350"/>
            <wp:docPr id="1037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262" cy="181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EE413">
      <w:pPr>
        <w:adjustRightInd w:val="0"/>
        <w:snapToGrid w:val="0"/>
        <w:spacing w:line="264" w:lineRule="auto"/>
      </w:pPr>
      <w:r>
        <w:rPr>
          <w:b/>
          <w:bCs/>
        </w:rPr>
        <w:t>Supplementary Fig.</w:t>
      </w:r>
      <w:r>
        <w:rPr>
          <w:rFonts w:hint="eastAsia"/>
          <w:b/>
          <w:bCs/>
        </w:rPr>
        <w:t>5</w:t>
      </w:r>
      <w:r>
        <w:t xml:space="preserve"> FL response of the biochromatic Au NCs to cadaverine and NH</w:t>
      </w:r>
      <w:r>
        <w:rPr>
          <w:vertAlign w:val="subscript"/>
        </w:rPr>
        <w:t>3</w:t>
      </w:r>
      <w:r>
        <w:t xml:space="preserve"> (0-10000 ppm).</w:t>
      </w:r>
    </w:p>
    <w:p w14:paraId="7A608816">
      <w:pPr>
        <w:pStyle w:val="6"/>
        <w:adjustRightInd w:val="0"/>
        <w:snapToGrid w:val="0"/>
        <w:spacing w:line="264" w:lineRule="auto"/>
        <w:ind w:left="300" w:hanging="300" w:hangingChars="150"/>
        <w:jc w:val="center"/>
      </w:pPr>
    </w:p>
    <w:p w14:paraId="3D07AB25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罗马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6A35F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8" w:lineRule="auto"/>
      </w:pPr>
      <w:r>
        <w:separator/>
      </w:r>
    </w:p>
  </w:footnote>
  <w:footnote w:type="continuationSeparator" w:id="1">
    <w:p>
      <w:pPr>
        <w:spacing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065EA"/>
    <w:rsid w:val="104A25C4"/>
    <w:rsid w:val="5FA0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8" w:lineRule="auto"/>
      <w:jc w:val="both"/>
    </w:pPr>
    <w:rPr>
      <w:rFonts w:ascii="Times New Roman" w:hAnsi="Times New Roman" w:eastAsia="新罗马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EndNote Bibliography"/>
    <w:basedOn w:val="1"/>
    <w:qFormat/>
    <w:uiPriority w:val="0"/>
    <w:pPr>
      <w:spacing w:line="240" w:lineRule="auto"/>
    </w:pPr>
    <w:rPr>
      <w:rFonts w:cs="Times New Roman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1116</Words>
  <Characters>5971</Characters>
  <Lines>0</Lines>
  <Paragraphs>0</Paragraphs>
  <TotalTime>0</TotalTime>
  <ScaleCrop>false</ScaleCrop>
  <LinksUpToDate>false</LinksUpToDate>
  <CharactersWithSpaces>7067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2026-09-27T12:49:00Z</dcterms:created>
  <dc:creator>樱花开了吗</dc:creator>
  <cp:lastModifiedBy>樱花开了吗</cp:lastModifiedBy>
  <dcterms:modified xsi:type="dcterms:W3CDTF">2026-09-28T03:25:02Z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E2ECE9206762448DAA947E2AE5E399A5_11</vt:lpwstr>
  </property>
  <property fmtid="{D5CDD505-2E9C-101B-9397-08002B2CF9AE}" pid="4" name="KSOTemplateDocerSaveRecord">
    <vt:lpwstr>eyJoZGlkIjoiYTc2ZGZiNzZiNDVlOGViOWVmM2JhOTY0NGJkNjUyYzgiLCJ1c2VySWQiOiIxMTMxMzAxODQ5In0=</vt:lpwstr>
  </property>
</Properties>
</file>