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D9F16" w14:textId="77777777" w:rsidR="00944C36" w:rsidRPr="00155409" w:rsidRDefault="00636F11" w:rsidP="005171E1">
      <w:pPr>
        <w:spacing w:before="480" w:after="480" w:line="288" w:lineRule="auto"/>
        <w:rPr>
          <w:rFonts w:ascii="Times New Roman" w:eastAsia="等线" w:hAnsi="Times New Roman" w:cs="Times New Roman"/>
          <w:b/>
          <w:i/>
          <w:sz w:val="24"/>
          <w:szCs w:val="24"/>
        </w:rPr>
      </w:pPr>
      <w:bookmarkStart w:id="0" w:name="_GoBack"/>
      <w:r w:rsidRPr="00155409">
        <w:rPr>
          <w:rFonts w:ascii="Times New Roman" w:eastAsia="等线" w:hAnsi="Times New Roman" w:cs="Times New Roman"/>
          <w:b/>
          <w:i/>
          <w:sz w:val="24"/>
          <w:szCs w:val="24"/>
        </w:rPr>
        <w:t>Supporting Information</w:t>
      </w:r>
      <w:r w:rsidR="00944C36" w:rsidRPr="00155409">
        <w:rPr>
          <w:rFonts w:ascii="Times New Roman" w:eastAsia="等线" w:hAnsi="Times New Roman" w:cs="Times New Roman"/>
          <w:b/>
          <w:i/>
          <w:sz w:val="24"/>
          <w:szCs w:val="24"/>
        </w:rPr>
        <w:t xml:space="preserve"> </w:t>
      </w:r>
      <w:r w:rsidR="00944C36" w:rsidRPr="00155409">
        <w:rPr>
          <w:rFonts w:ascii="Times New Roman" w:eastAsia="等线" w:hAnsi="Times New Roman" w:cs="Times New Roman" w:hint="eastAsia"/>
          <w:b/>
          <w:i/>
          <w:sz w:val="24"/>
          <w:szCs w:val="24"/>
        </w:rPr>
        <w:t>for</w:t>
      </w:r>
    </w:p>
    <w:p w14:paraId="535BD9FC" w14:textId="77777777" w:rsidR="00155409" w:rsidRPr="00921CF3" w:rsidRDefault="00155409" w:rsidP="00155409">
      <w:pPr>
        <w:spacing w:after="120" w:line="480" w:lineRule="auto"/>
        <w:rPr>
          <w:rFonts w:ascii="Times New Roman" w:hAnsi="Times New Roman" w:cs="Times New Roman"/>
          <w:b/>
          <w:sz w:val="24"/>
          <w:szCs w:val="24"/>
        </w:rPr>
      </w:pPr>
      <w:bookmarkStart w:id="1" w:name="heading_0"/>
      <w:bookmarkEnd w:id="0"/>
      <w:r w:rsidRPr="00921CF3">
        <w:rPr>
          <w:rStyle w:val="a7"/>
          <w:rFonts w:ascii="Times New Roman" w:hAnsi="Times New Roman" w:cs="Times New Roman"/>
          <w:color w:val="0F1115"/>
          <w:sz w:val="24"/>
          <w:szCs w:val="24"/>
          <w:shd w:val="clear" w:color="auto" w:fill="FFFFFF"/>
        </w:rPr>
        <w:t xml:space="preserve">Ultrasound-Activated </w:t>
      </w:r>
      <w:proofErr w:type="spellStart"/>
      <w:r w:rsidRPr="00921CF3">
        <w:rPr>
          <w:rStyle w:val="a7"/>
          <w:rFonts w:ascii="Times New Roman" w:hAnsi="Times New Roman" w:cs="Times New Roman"/>
          <w:color w:val="0F1115"/>
          <w:sz w:val="24"/>
          <w:szCs w:val="24"/>
          <w:shd w:val="clear" w:color="auto" w:fill="FFFFFF"/>
        </w:rPr>
        <w:t>Piezocatalytic</w:t>
      </w:r>
      <w:proofErr w:type="spellEnd"/>
      <w:r w:rsidRPr="00921CF3">
        <w:rPr>
          <w:rStyle w:val="a7"/>
          <w:rFonts w:ascii="Times New Roman" w:hAnsi="Times New Roman" w:cs="Times New Roman"/>
          <w:color w:val="0F1115"/>
          <w:sz w:val="24"/>
          <w:szCs w:val="24"/>
          <w:shd w:val="clear" w:color="auto" w:fill="FFFFFF"/>
        </w:rPr>
        <w:t xml:space="preserve"> Microneedles Rescue Calcitonin Gene</w:t>
      </w:r>
      <w:r w:rsidRPr="00921CF3">
        <w:rPr>
          <w:rStyle w:val="a7"/>
          <w:rFonts w:ascii="Times New Roman" w:hAnsi="Times New Roman" w:cs="Times New Roman"/>
          <w:color w:val="0F1115"/>
          <w:sz w:val="24"/>
          <w:szCs w:val="24"/>
          <w:shd w:val="clear" w:color="auto" w:fill="FFFFFF"/>
        </w:rPr>
        <w:noBreakHyphen/>
        <w:t>Related Peptide-Dependent Neuroimmune Homeostasis to Promote Regeneration of Infected Diabetic Wounds</w:t>
      </w:r>
    </w:p>
    <w:p w14:paraId="17D67555" w14:textId="332CA8FE" w:rsidR="00F81A50" w:rsidRPr="00155409" w:rsidRDefault="00F81A50" w:rsidP="005171E1">
      <w:pPr>
        <w:spacing w:before="380" w:after="140" w:line="288" w:lineRule="auto"/>
        <w:outlineLvl w:val="0"/>
        <w:rPr>
          <w:rStyle w:val="a7"/>
          <w:rFonts w:ascii="Times New Roman" w:hAnsi="Times New Roman" w:cs="Times New Roman"/>
          <w:color w:val="0F1115"/>
          <w:sz w:val="24"/>
          <w:shd w:val="clear" w:color="auto" w:fill="FFFFFF"/>
        </w:rPr>
      </w:pPr>
    </w:p>
    <w:p w14:paraId="0328968C" w14:textId="5326F01D" w:rsidR="00DD081C" w:rsidRPr="00944C36" w:rsidRDefault="00636F11" w:rsidP="005171E1">
      <w:pPr>
        <w:spacing w:before="380" w:after="140" w:line="288" w:lineRule="auto"/>
        <w:outlineLvl w:val="0"/>
        <w:rPr>
          <w:rFonts w:ascii="Times New Roman" w:hAnsi="Times New Roman" w:cs="Times New Roman"/>
          <w:sz w:val="24"/>
          <w:szCs w:val="24"/>
        </w:rPr>
      </w:pPr>
      <w:r w:rsidRPr="00944C36">
        <w:rPr>
          <w:rFonts w:ascii="Times New Roman" w:eastAsia="等线" w:hAnsi="Times New Roman" w:cs="Times New Roman"/>
          <w:b/>
          <w:sz w:val="24"/>
          <w:szCs w:val="24"/>
        </w:rPr>
        <w:t>Experimental Methods</w:t>
      </w:r>
      <w:bookmarkEnd w:id="1"/>
    </w:p>
    <w:p w14:paraId="3A4F3913" w14:textId="6A80AFA8" w:rsidR="00DD081C" w:rsidRPr="00944C36" w:rsidRDefault="00636F11" w:rsidP="005171E1">
      <w:pPr>
        <w:spacing w:before="320" w:after="120" w:line="288" w:lineRule="auto"/>
        <w:outlineLvl w:val="1"/>
        <w:rPr>
          <w:rFonts w:ascii="Times New Roman" w:hAnsi="Times New Roman" w:cs="Times New Roman"/>
          <w:sz w:val="24"/>
          <w:szCs w:val="24"/>
        </w:rPr>
      </w:pPr>
      <w:bookmarkStart w:id="2" w:name="heading_1"/>
      <w:r w:rsidRPr="00944C36">
        <w:rPr>
          <w:rFonts w:ascii="Times New Roman" w:eastAsia="等线" w:hAnsi="Times New Roman" w:cs="Times New Roman"/>
          <w:b/>
          <w:sz w:val="24"/>
          <w:szCs w:val="24"/>
        </w:rPr>
        <w:t>Materials and Reagents</w:t>
      </w:r>
      <w:bookmarkEnd w:id="2"/>
    </w:p>
    <w:p w14:paraId="19113E33" w14:textId="77777777" w:rsidR="00DD081C" w:rsidRPr="00944C36" w:rsidRDefault="00636F11" w:rsidP="005171E1">
      <w:pPr>
        <w:spacing w:before="120" w:after="120" w:line="288" w:lineRule="auto"/>
        <w:rPr>
          <w:rFonts w:ascii="Times New Roman" w:hAnsi="Times New Roman" w:cs="Times New Roman"/>
          <w:sz w:val="24"/>
          <w:szCs w:val="24"/>
        </w:rPr>
      </w:pPr>
      <w:proofErr w:type="gramStart"/>
      <w:r w:rsidRPr="00944C36">
        <w:rPr>
          <w:rFonts w:ascii="Times New Roman" w:eastAsia="等线" w:hAnsi="Times New Roman" w:cs="Times New Roman"/>
          <w:sz w:val="24"/>
          <w:szCs w:val="24"/>
        </w:rPr>
        <w:t>Bismuth(</w:t>
      </w:r>
      <w:proofErr w:type="gramEnd"/>
      <w:r w:rsidRPr="00944C36">
        <w:rPr>
          <w:rFonts w:ascii="Times New Roman" w:eastAsia="等线" w:hAnsi="Times New Roman" w:cs="Times New Roman"/>
          <w:sz w:val="24"/>
          <w:szCs w:val="24"/>
        </w:rPr>
        <w:t>III) chloride (</w:t>
      </w:r>
      <w:proofErr w:type="spellStart"/>
      <w:r w:rsidRPr="00944C36">
        <w:rPr>
          <w:rFonts w:ascii="Times New Roman" w:eastAsia="等线" w:hAnsi="Times New Roman" w:cs="Times New Roman"/>
          <w:sz w:val="24"/>
          <w:szCs w:val="24"/>
        </w:rPr>
        <w:t>BiCl</w:t>
      </w:r>
      <w:proofErr w:type="spellEnd"/>
      <w:r w:rsidRPr="00944C36">
        <w:rPr>
          <w:rFonts w:ascii="Times New Roman" w:eastAsia="等线" w:hAnsi="Times New Roman" w:cs="Times New Roman"/>
          <w:sz w:val="24"/>
          <w:szCs w:val="24"/>
        </w:rPr>
        <w:t>₃), sodium sulfide nonahydrate (Na₂S·9H₂O), chloroauric acid (</w:t>
      </w:r>
      <w:proofErr w:type="spellStart"/>
      <w:r w:rsidRPr="00944C36">
        <w:rPr>
          <w:rFonts w:ascii="Times New Roman" w:eastAsia="等线" w:hAnsi="Times New Roman" w:cs="Times New Roman"/>
          <w:sz w:val="24"/>
          <w:szCs w:val="24"/>
        </w:rPr>
        <w:t>HAuCl</w:t>
      </w:r>
      <w:proofErr w:type="spellEnd"/>
      <w:r w:rsidRPr="00944C36">
        <w:rPr>
          <w:rFonts w:ascii="Times New Roman" w:eastAsia="等线" w:hAnsi="Times New Roman" w:cs="Times New Roman"/>
          <w:sz w:val="24"/>
          <w:szCs w:val="24"/>
        </w:rPr>
        <w:t xml:space="preserve">₄·4H₂O), polyvinylpyrrolidone (PVP, K30), collagenase, hydrogen peroxide (H₂O₂, 30%), glucose, and phosphate-buffered saline (PBS, pH 7.4) were purchased from Shanghai Aladdin Biochemical Technology Co., Ltd. Calcitonin gene-related peptide (CGRP, human) was obtained from Sigma-Aldrich. L929 fibroblasts, PC12 neuronal-like cells, and human umbilical vein endothelial cells (HUVECs) were purchased from the Cell Bank of the Chinese Academy of Sciences. </w:t>
      </w:r>
      <w:r w:rsidRPr="00944C36">
        <w:rPr>
          <w:rFonts w:ascii="Times New Roman" w:eastAsia="等线" w:hAnsi="Times New Roman" w:cs="Times New Roman"/>
          <w:i/>
          <w:sz w:val="24"/>
          <w:szCs w:val="24"/>
        </w:rPr>
        <w:t>Staphylococcus aureus</w:t>
      </w:r>
      <w:r w:rsidRPr="00944C36">
        <w:rPr>
          <w:rFonts w:ascii="Times New Roman" w:eastAsia="等线" w:hAnsi="Times New Roman" w:cs="Times New Roman"/>
          <w:sz w:val="24"/>
          <w:szCs w:val="24"/>
        </w:rPr>
        <w:t xml:space="preserve"> (ATCC 25923) was used for all bacterial infection experiments. All cell culture media, fetal bovine serum (FBS), penicillin–streptomycin solution, and trypsin were supplied by Gibco. Primary antibodies against TRPV1, CGRP, β-tubulin, NEFM, GAP43, and β-actin, as well as corresponding secondary antibodies, were purchased from Abcam. Fluorescent staining kits (</w:t>
      </w:r>
      <w:proofErr w:type="spellStart"/>
      <w:r w:rsidRPr="00944C36">
        <w:rPr>
          <w:rFonts w:ascii="Times New Roman" w:eastAsia="等线" w:hAnsi="Times New Roman" w:cs="Times New Roman"/>
          <w:sz w:val="24"/>
          <w:szCs w:val="24"/>
        </w:rPr>
        <w:t>EdU</w:t>
      </w:r>
      <w:proofErr w:type="spellEnd"/>
      <w:r w:rsidRPr="00944C36">
        <w:rPr>
          <w:rFonts w:ascii="Times New Roman" w:eastAsia="等线" w:hAnsi="Times New Roman" w:cs="Times New Roman"/>
          <w:sz w:val="24"/>
          <w:szCs w:val="24"/>
        </w:rPr>
        <w:t xml:space="preserve">, JC-1, </w:t>
      </w:r>
      <w:proofErr w:type="spellStart"/>
      <w:r w:rsidRPr="00944C36">
        <w:rPr>
          <w:rFonts w:ascii="Times New Roman" w:eastAsia="等线" w:hAnsi="Times New Roman" w:cs="Times New Roman"/>
          <w:sz w:val="24"/>
          <w:szCs w:val="24"/>
        </w:rPr>
        <w:t>MitoSOX</w:t>
      </w:r>
      <w:proofErr w:type="spellEnd"/>
      <w:r w:rsidRPr="00944C36">
        <w:rPr>
          <w:rFonts w:ascii="Times New Roman" w:eastAsia="等线" w:hAnsi="Times New Roman" w:cs="Times New Roman"/>
          <w:sz w:val="24"/>
          <w:szCs w:val="24"/>
        </w:rPr>
        <w:t>, Annexin V-FITC/PI) were obtained from Thermo Fisher Scientific. All reagents were of analytical grade and used without further purification.</w:t>
      </w:r>
    </w:p>
    <w:p w14:paraId="6729BAD4" w14:textId="22C2D2CD" w:rsidR="00DD081C" w:rsidRPr="00944C36" w:rsidRDefault="00636F11" w:rsidP="005171E1">
      <w:pPr>
        <w:spacing w:before="320" w:after="120" w:line="288" w:lineRule="auto"/>
        <w:outlineLvl w:val="1"/>
        <w:rPr>
          <w:rFonts w:ascii="Times New Roman" w:hAnsi="Times New Roman" w:cs="Times New Roman"/>
          <w:sz w:val="24"/>
          <w:szCs w:val="24"/>
        </w:rPr>
      </w:pPr>
      <w:bookmarkStart w:id="3" w:name="heading_2"/>
      <w:r w:rsidRPr="00944C36">
        <w:rPr>
          <w:rFonts w:ascii="Times New Roman" w:eastAsia="等线" w:hAnsi="Times New Roman" w:cs="Times New Roman"/>
          <w:b/>
          <w:sz w:val="24"/>
          <w:szCs w:val="24"/>
        </w:rPr>
        <w:t xml:space="preserve">Synthesis of </w:t>
      </w:r>
      <w:proofErr w:type="spellStart"/>
      <w:r w:rsidRPr="00944C36">
        <w:rPr>
          <w:rFonts w:ascii="Times New Roman" w:eastAsia="等线" w:hAnsi="Times New Roman" w:cs="Times New Roman"/>
          <w:b/>
          <w:sz w:val="24"/>
          <w:szCs w:val="24"/>
        </w:rPr>
        <w:t>Bi₂S</w:t>
      </w:r>
      <w:proofErr w:type="spellEnd"/>
      <w:r w:rsidRPr="00944C36">
        <w:rPr>
          <w:rFonts w:ascii="Times New Roman" w:eastAsia="等线" w:hAnsi="Times New Roman" w:cs="Times New Roman"/>
          <w:b/>
          <w:sz w:val="24"/>
          <w:szCs w:val="24"/>
        </w:rPr>
        <w:t>₃ Nanorods</w:t>
      </w:r>
      <w:bookmarkEnd w:id="3"/>
    </w:p>
    <w:p w14:paraId="48C82641"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 xml:space="preserve">Uniform </w:t>
      </w:r>
      <w:proofErr w:type="spellStart"/>
      <w:r w:rsidRPr="00944C36">
        <w:rPr>
          <w:rFonts w:ascii="Times New Roman" w:eastAsia="等线" w:hAnsi="Times New Roman" w:cs="Times New Roman"/>
          <w:sz w:val="24"/>
          <w:szCs w:val="24"/>
        </w:rPr>
        <w:t>Bi₂S</w:t>
      </w:r>
      <w:proofErr w:type="spellEnd"/>
      <w:r w:rsidRPr="00944C36">
        <w:rPr>
          <w:rFonts w:ascii="Times New Roman" w:eastAsia="等线" w:hAnsi="Times New Roman" w:cs="Times New Roman"/>
          <w:sz w:val="24"/>
          <w:szCs w:val="24"/>
        </w:rPr>
        <w:t xml:space="preserve">₃ nanorods were synthesized via a facile hydrothermal method. Typically, 0.5 mmol of </w:t>
      </w:r>
      <w:proofErr w:type="spellStart"/>
      <w:r w:rsidRPr="00944C36">
        <w:rPr>
          <w:rFonts w:ascii="Times New Roman" w:eastAsia="等线" w:hAnsi="Times New Roman" w:cs="Times New Roman"/>
          <w:sz w:val="24"/>
          <w:szCs w:val="24"/>
        </w:rPr>
        <w:t>BiCl</w:t>
      </w:r>
      <w:proofErr w:type="spellEnd"/>
      <w:r w:rsidRPr="00944C36">
        <w:rPr>
          <w:rFonts w:ascii="Times New Roman" w:eastAsia="等线" w:hAnsi="Times New Roman" w:cs="Times New Roman"/>
          <w:sz w:val="24"/>
          <w:szCs w:val="24"/>
        </w:rPr>
        <w:t xml:space="preserve">₃ and 1.0 g of PVP were dissolved in 30 mL of deionized water under continuous magnetic stirring for 30 min to form a homogeneous transparent solution. Subsequently, 1.5 mmol of Na₂S·9H₂O was added to the solution, and the mixture was stirred vigorously for 1 h at room temperature. The resulting suspension was transferred into a 50 mL Teflon-lined stainless-steel autoclave, heated to 180 °C, and maintained for 12 h. After cooling naturally to room temperature, the black precipitate was centrifuged at 8000 rpm for 10 min, washed three times with deionized water and ethanol alternately, and dried at 60 °C for 12 h to obtain pure </w:t>
      </w:r>
      <w:proofErr w:type="spellStart"/>
      <w:r w:rsidRPr="00944C36">
        <w:rPr>
          <w:rFonts w:ascii="Times New Roman" w:eastAsia="等线" w:hAnsi="Times New Roman" w:cs="Times New Roman"/>
          <w:sz w:val="24"/>
          <w:szCs w:val="24"/>
        </w:rPr>
        <w:lastRenderedPageBreak/>
        <w:t>Bi₂S</w:t>
      </w:r>
      <w:proofErr w:type="spellEnd"/>
      <w:r w:rsidRPr="00944C36">
        <w:rPr>
          <w:rFonts w:ascii="Times New Roman" w:eastAsia="等线" w:hAnsi="Times New Roman" w:cs="Times New Roman"/>
          <w:sz w:val="24"/>
          <w:szCs w:val="24"/>
        </w:rPr>
        <w:t>₃ nanorods.</w:t>
      </w:r>
    </w:p>
    <w:p w14:paraId="700F12AD" w14:textId="271DDA84" w:rsidR="00DD081C" w:rsidRPr="00944C36" w:rsidRDefault="00636F11" w:rsidP="005171E1">
      <w:pPr>
        <w:spacing w:before="320" w:after="120" w:line="288" w:lineRule="auto"/>
        <w:outlineLvl w:val="1"/>
        <w:rPr>
          <w:rFonts w:ascii="Times New Roman" w:hAnsi="Times New Roman" w:cs="Times New Roman"/>
          <w:sz w:val="24"/>
          <w:szCs w:val="24"/>
        </w:rPr>
      </w:pPr>
      <w:bookmarkStart w:id="4" w:name="heading_3"/>
      <w:r w:rsidRPr="00944C36">
        <w:rPr>
          <w:rFonts w:ascii="Times New Roman" w:eastAsia="等线" w:hAnsi="Times New Roman" w:cs="Times New Roman"/>
          <w:b/>
          <w:sz w:val="24"/>
          <w:szCs w:val="24"/>
        </w:rPr>
        <w:t xml:space="preserve">Fabrication of Au-Decorated </w:t>
      </w:r>
      <w:proofErr w:type="spellStart"/>
      <w:r w:rsidRPr="00944C36">
        <w:rPr>
          <w:rFonts w:ascii="Times New Roman" w:eastAsia="等线" w:hAnsi="Times New Roman" w:cs="Times New Roman"/>
          <w:b/>
          <w:sz w:val="24"/>
          <w:szCs w:val="24"/>
        </w:rPr>
        <w:t>Bi₂S</w:t>
      </w:r>
      <w:proofErr w:type="spellEnd"/>
      <w:r w:rsidRPr="00944C36">
        <w:rPr>
          <w:rFonts w:ascii="Times New Roman" w:eastAsia="等线" w:hAnsi="Times New Roman" w:cs="Times New Roman"/>
          <w:b/>
          <w:sz w:val="24"/>
          <w:szCs w:val="24"/>
        </w:rPr>
        <w:t>₃ (</w:t>
      </w:r>
      <w:proofErr w:type="spellStart"/>
      <w:r w:rsidRPr="00944C36">
        <w:rPr>
          <w:rFonts w:ascii="Times New Roman" w:eastAsia="等线" w:hAnsi="Times New Roman" w:cs="Times New Roman"/>
          <w:b/>
          <w:sz w:val="24"/>
          <w:szCs w:val="24"/>
        </w:rPr>
        <w:t>Au-Bi₂S</w:t>
      </w:r>
      <w:proofErr w:type="spellEnd"/>
      <w:r w:rsidRPr="00944C36">
        <w:rPr>
          <w:rFonts w:ascii="Times New Roman" w:eastAsia="等线" w:hAnsi="Times New Roman" w:cs="Times New Roman"/>
          <w:b/>
          <w:sz w:val="24"/>
          <w:szCs w:val="24"/>
        </w:rPr>
        <w:t>₃) Heterostructures</w:t>
      </w:r>
      <w:bookmarkEnd w:id="4"/>
    </w:p>
    <w:p w14:paraId="5E42FFFB"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 xml:space="preserve">Au nanoparticles were in-situ deposited on the surface of </w:t>
      </w:r>
      <w:proofErr w:type="spellStart"/>
      <w:r w:rsidRPr="00944C36">
        <w:rPr>
          <w:rFonts w:ascii="Times New Roman" w:eastAsia="等线" w:hAnsi="Times New Roman" w:cs="Times New Roman"/>
          <w:sz w:val="24"/>
          <w:szCs w:val="24"/>
        </w:rPr>
        <w:t>Bi₂S</w:t>
      </w:r>
      <w:proofErr w:type="spellEnd"/>
      <w:r w:rsidRPr="00944C36">
        <w:rPr>
          <w:rFonts w:ascii="Times New Roman" w:eastAsia="等线" w:hAnsi="Times New Roman" w:cs="Times New Roman"/>
          <w:sz w:val="24"/>
          <w:szCs w:val="24"/>
        </w:rPr>
        <w:t xml:space="preserve">₃ nanorods via chemical reduction of </w:t>
      </w:r>
      <w:proofErr w:type="spellStart"/>
      <w:r w:rsidRPr="00944C36">
        <w:rPr>
          <w:rFonts w:ascii="Times New Roman" w:eastAsia="等线" w:hAnsi="Times New Roman" w:cs="Times New Roman"/>
          <w:sz w:val="24"/>
          <w:szCs w:val="24"/>
        </w:rPr>
        <w:t>HAuCl</w:t>
      </w:r>
      <w:proofErr w:type="spellEnd"/>
      <w:r w:rsidRPr="00944C36">
        <w:rPr>
          <w:rFonts w:ascii="Times New Roman" w:eastAsia="等线" w:hAnsi="Times New Roman" w:cs="Times New Roman"/>
          <w:sz w:val="24"/>
          <w:szCs w:val="24"/>
        </w:rPr>
        <w:t xml:space="preserve">₄. First, 100 mg of </w:t>
      </w:r>
      <w:proofErr w:type="spellStart"/>
      <w:r w:rsidRPr="00944C36">
        <w:rPr>
          <w:rFonts w:ascii="Times New Roman" w:eastAsia="等线" w:hAnsi="Times New Roman" w:cs="Times New Roman"/>
          <w:sz w:val="24"/>
          <w:szCs w:val="24"/>
        </w:rPr>
        <w:t>Bi₂S</w:t>
      </w:r>
      <w:proofErr w:type="spellEnd"/>
      <w:r w:rsidRPr="00944C36">
        <w:rPr>
          <w:rFonts w:ascii="Times New Roman" w:eastAsia="等线" w:hAnsi="Times New Roman" w:cs="Times New Roman"/>
          <w:sz w:val="24"/>
          <w:szCs w:val="24"/>
        </w:rPr>
        <w:t xml:space="preserve">₃ nanorods was dispersed in 50 mL of deionized water by ultrasonic treatment for 30 min. Then, 2 mL of 10 mM </w:t>
      </w:r>
      <w:proofErr w:type="spellStart"/>
      <w:r w:rsidRPr="00944C36">
        <w:rPr>
          <w:rFonts w:ascii="Times New Roman" w:eastAsia="等线" w:hAnsi="Times New Roman" w:cs="Times New Roman"/>
          <w:sz w:val="24"/>
          <w:szCs w:val="24"/>
        </w:rPr>
        <w:t>HAuCl</w:t>
      </w:r>
      <w:proofErr w:type="spellEnd"/>
      <w:r w:rsidRPr="00944C36">
        <w:rPr>
          <w:rFonts w:ascii="Times New Roman" w:eastAsia="等线" w:hAnsi="Times New Roman" w:cs="Times New Roman"/>
          <w:sz w:val="24"/>
          <w:szCs w:val="24"/>
        </w:rPr>
        <w:t xml:space="preserve">₄ aqueous solution was slowly dropped into the dispersion under continuous stirring. The mixture was stirred at room temperature for 4 h to complete the reduction reaction. The obtained </w:t>
      </w:r>
      <w:proofErr w:type="spellStart"/>
      <w:r w:rsidRPr="00944C36">
        <w:rPr>
          <w:rFonts w:ascii="Times New Roman" w:eastAsia="等线" w:hAnsi="Times New Roman" w:cs="Times New Roman"/>
          <w:sz w:val="24"/>
          <w:szCs w:val="24"/>
        </w:rPr>
        <w:t>Au-Bi₂S</w:t>
      </w:r>
      <w:proofErr w:type="spellEnd"/>
      <w:r w:rsidRPr="00944C36">
        <w:rPr>
          <w:rFonts w:ascii="Times New Roman" w:eastAsia="等线" w:hAnsi="Times New Roman" w:cs="Times New Roman"/>
          <w:sz w:val="24"/>
          <w:szCs w:val="24"/>
        </w:rPr>
        <w:t>₃ composite was centrifuged, washed with deionized water and ethanol repeatedly, and dried overnight at 60 °C for subsequent use.</w:t>
      </w:r>
    </w:p>
    <w:p w14:paraId="1AF9EB0E" w14:textId="3F54BDD7" w:rsidR="00DD081C" w:rsidRPr="00944C36" w:rsidRDefault="00636F11" w:rsidP="005171E1">
      <w:pPr>
        <w:spacing w:before="320" w:after="120" w:line="288" w:lineRule="auto"/>
        <w:outlineLvl w:val="1"/>
        <w:rPr>
          <w:rFonts w:ascii="Times New Roman" w:hAnsi="Times New Roman" w:cs="Times New Roman"/>
          <w:sz w:val="24"/>
          <w:szCs w:val="24"/>
        </w:rPr>
      </w:pPr>
      <w:bookmarkStart w:id="5" w:name="heading_4"/>
      <w:r w:rsidRPr="00944C36">
        <w:rPr>
          <w:rFonts w:ascii="Times New Roman" w:eastAsia="等线" w:hAnsi="Times New Roman" w:cs="Times New Roman"/>
          <w:b/>
          <w:sz w:val="24"/>
          <w:szCs w:val="24"/>
        </w:rPr>
        <w:t>Preparation of Protease-Responsive ABC/BC/C Microneedles</w:t>
      </w:r>
      <w:bookmarkEnd w:id="5"/>
    </w:p>
    <w:p w14:paraId="5CB87EB2"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Three types of hydrogel microneedles were fabricated using a PVP-based hydrogel matrix with protease-responsive degradation properties:</w:t>
      </w:r>
    </w:p>
    <w:p w14:paraId="3F8CA04E"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b/>
          <w:sz w:val="24"/>
          <w:szCs w:val="24"/>
        </w:rPr>
        <w:t>ABC microneedles</w:t>
      </w:r>
      <w:r w:rsidRPr="00944C36">
        <w:rPr>
          <w:rFonts w:ascii="Times New Roman" w:eastAsia="等线" w:hAnsi="Times New Roman" w:cs="Times New Roman"/>
          <w:sz w:val="24"/>
          <w:szCs w:val="24"/>
        </w:rPr>
        <w:t xml:space="preserve">: 0.8 g PVP was fully dissolved in 2 mL deionized water, followed by the addition of 20 mg </w:t>
      </w:r>
      <w:proofErr w:type="spellStart"/>
      <w:r w:rsidRPr="00944C36">
        <w:rPr>
          <w:rFonts w:ascii="Times New Roman" w:eastAsia="等线" w:hAnsi="Times New Roman" w:cs="Times New Roman"/>
          <w:sz w:val="24"/>
          <w:szCs w:val="24"/>
        </w:rPr>
        <w:t>Au-Bi₂S</w:t>
      </w:r>
      <w:proofErr w:type="spellEnd"/>
      <w:r w:rsidRPr="00944C36">
        <w:rPr>
          <w:rFonts w:ascii="Times New Roman" w:eastAsia="等线" w:hAnsi="Times New Roman" w:cs="Times New Roman"/>
          <w:sz w:val="24"/>
          <w:szCs w:val="24"/>
        </w:rPr>
        <w:t xml:space="preserve">₃ heterostructures and 100 </w:t>
      </w:r>
      <w:proofErr w:type="spellStart"/>
      <w:r w:rsidRPr="00944C36">
        <w:rPr>
          <w:rFonts w:ascii="Times New Roman" w:eastAsia="等线" w:hAnsi="Times New Roman" w:cs="Times New Roman"/>
          <w:sz w:val="24"/>
          <w:szCs w:val="24"/>
        </w:rPr>
        <w:t>μg</w:t>
      </w:r>
      <w:proofErr w:type="spellEnd"/>
      <w:r w:rsidRPr="00944C36">
        <w:rPr>
          <w:rFonts w:ascii="Times New Roman" w:eastAsia="等线" w:hAnsi="Times New Roman" w:cs="Times New Roman"/>
          <w:sz w:val="24"/>
          <w:szCs w:val="24"/>
        </w:rPr>
        <w:t xml:space="preserve"> CGRP peptide. The mixture was ultrasonically dispersed uniformly for 20 min to obtain a homogeneous casting solution. The solution was injected into a standard microneedle mold (10 × 10 needle array, needle height 600 </w:t>
      </w:r>
      <w:proofErr w:type="spellStart"/>
      <w:r w:rsidRPr="00944C36">
        <w:rPr>
          <w:rFonts w:ascii="Times New Roman" w:eastAsia="等线" w:hAnsi="Times New Roman" w:cs="Times New Roman"/>
          <w:sz w:val="24"/>
          <w:szCs w:val="24"/>
        </w:rPr>
        <w:t>μm</w:t>
      </w:r>
      <w:proofErr w:type="spellEnd"/>
      <w:r w:rsidRPr="00944C36">
        <w:rPr>
          <w:rFonts w:ascii="Times New Roman" w:eastAsia="等线" w:hAnsi="Times New Roman" w:cs="Times New Roman"/>
          <w:sz w:val="24"/>
          <w:szCs w:val="24"/>
        </w:rPr>
        <w:t xml:space="preserve">, tip diameter 20 </w:t>
      </w:r>
      <w:proofErr w:type="spellStart"/>
      <w:r w:rsidRPr="00944C36">
        <w:rPr>
          <w:rFonts w:ascii="Times New Roman" w:eastAsia="等线" w:hAnsi="Times New Roman" w:cs="Times New Roman"/>
          <w:sz w:val="24"/>
          <w:szCs w:val="24"/>
        </w:rPr>
        <w:t>μm</w:t>
      </w:r>
      <w:proofErr w:type="spellEnd"/>
      <w:r w:rsidRPr="00944C36">
        <w:rPr>
          <w:rFonts w:ascii="Times New Roman" w:eastAsia="等线" w:hAnsi="Times New Roman" w:cs="Times New Roman"/>
          <w:sz w:val="24"/>
          <w:szCs w:val="24"/>
        </w:rPr>
        <w:t>), centrifuged at 3000 rpm for 5 min to remove bubbles and fill the mold cavity completely, and dried at 37 °C for 24 h. Finally, the microneedle patch was gently demolded for use.</w:t>
      </w:r>
    </w:p>
    <w:p w14:paraId="1263A735"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b/>
          <w:sz w:val="24"/>
          <w:szCs w:val="24"/>
        </w:rPr>
        <w:t>BC microneedles</w:t>
      </w:r>
      <w:r w:rsidRPr="00944C36">
        <w:rPr>
          <w:rFonts w:ascii="Times New Roman" w:eastAsia="等线" w:hAnsi="Times New Roman" w:cs="Times New Roman"/>
          <w:sz w:val="24"/>
          <w:szCs w:val="24"/>
        </w:rPr>
        <w:t xml:space="preserve">: Prepared by the same procedure as ABC microneedles, with pure </w:t>
      </w:r>
      <w:proofErr w:type="spellStart"/>
      <w:r w:rsidRPr="00944C36">
        <w:rPr>
          <w:rFonts w:ascii="Times New Roman" w:eastAsia="等线" w:hAnsi="Times New Roman" w:cs="Times New Roman"/>
          <w:sz w:val="24"/>
          <w:szCs w:val="24"/>
        </w:rPr>
        <w:t>Bi₂S</w:t>
      </w:r>
      <w:proofErr w:type="spellEnd"/>
      <w:r w:rsidRPr="00944C36">
        <w:rPr>
          <w:rFonts w:ascii="Times New Roman" w:eastAsia="等线" w:hAnsi="Times New Roman" w:cs="Times New Roman"/>
          <w:sz w:val="24"/>
          <w:szCs w:val="24"/>
        </w:rPr>
        <w:t xml:space="preserve">₃ nanorods replacing </w:t>
      </w:r>
      <w:proofErr w:type="spellStart"/>
      <w:r w:rsidRPr="00944C36">
        <w:rPr>
          <w:rFonts w:ascii="Times New Roman" w:eastAsia="等线" w:hAnsi="Times New Roman" w:cs="Times New Roman"/>
          <w:sz w:val="24"/>
          <w:szCs w:val="24"/>
        </w:rPr>
        <w:t>Au-Bi₂S</w:t>
      </w:r>
      <w:proofErr w:type="spellEnd"/>
      <w:r w:rsidRPr="00944C36">
        <w:rPr>
          <w:rFonts w:ascii="Times New Roman" w:eastAsia="等线" w:hAnsi="Times New Roman" w:cs="Times New Roman"/>
          <w:sz w:val="24"/>
          <w:szCs w:val="24"/>
        </w:rPr>
        <w:t>₃ composites, while retaining the same CGRP loading amount.</w:t>
      </w:r>
    </w:p>
    <w:p w14:paraId="5B9D80E7"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b/>
          <w:sz w:val="24"/>
          <w:szCs w:val="24"/>
        </w:rPr>
        <w:t>C microneedles</w:t>
      </w:r>
      <w:r w:rsidRPr="00944C36">
        <w:rPr>
          <w:rFonts w:ascii="Times New Roman" w:eastAsia="等线" w:hAnsi="Times New Roman" w:cs="Times New Roman"/>
          <w:sz w:val="24"/>
          <w:szCs w:val="24"/>
        </w:rPr>
        <w:t xml:space="preserve">: Pure CGRP-loaded microneedles without </w:t>
      </w:r>
      <w:proofErr w:type="spellStart"/>
      <w:r w:rsidRPr="00944C36">
        <w:rPr>
          <w:rFonts w:ascii="Times New Roman" w:eastAsia="等线" w:hAnsi="Times New Roman" w:cs="Times New Roman"/>
          <w:sz w:val="24"/>
          <w:szCs w:val="24"/>
        </w:rPr>
        <w:t>piezocatalytic</w:t>
      </w:r>
      <w:proofErr w:type="spellEnd"/>
      <w:r w:rsidRPr="00944C36">
        <w:rPr>
          <w:rFonts w:ascii="Times New Roman" w:eastAsia="等线" w:hAnsi="Times New Roman" w:cs="Times New Roman"/>
          <w:sz w:val="24"/>
          <w:szCs w:val="24"/>
        </w:rPr>
        <w:t xml:space="preserve"> nanomaterials, only PVP hydrogel matrix and equivalent CGRP peptide were used for fabrication.</w:t>
      </w:r>
    </w:p>
    <w:p w14:paraId="08303CE9" w14:textId="3103AA50" w:rsidR="00DD081C" w:rsidRPr="00944C36" w:rsidRDefault="00636F11" w:rsidP="005171E1">
      <w:pPr>
        <w:spacing w:before="320" w:after="120" w:line="288" w:lineRule="auto"/>
        <w:outlineLvl w:val="1"/>
        <w:rPr>
          <w:rFonts w:ascii="Times New Roman" w:hAnsi="Times New Roman" w:cs="Times New Roman"/>
          <w:sz w:val="24"/>
          <w:szCs w:val="24"/>
        </w:rPr>
      </w:pPr>
      <w:bookmarkStart w:id="6" w:name="heading_5"/>
      <w:r w:rsidRPr="00944C36">
        <w:rPr>
          <w:rFonts w:ascii="Times New Roman" w:eastAsia="等线" w:hAnsi="Times New Roman" w:cs="Times New Roman"/>
          <w:b/>
          <w:sz w:val="24"/>
          <w:szCs w:val="24"/>
        </w:rPr>
        <w:t>Physicochemical Characterization of Materials and Microneedles</w:t>
      </w:r>
      <w:bookmarkEnd w:id="6"/>
    </w:p>
    <w:p w14:paraId="7BCB5871"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 xml:space="preserve">The morphology and microstructure of </w:t>
      </w:r>
      <w:proofErr w:type="spellStart"/>
      <w:r w:rsidRPr="00944C36">
        <w:rPr>
          <w:rFonts w:ascii="Times New Roman" w:eastAsia="等线" w:hAnsi="Times New Roman" w:cs="Times New Roman"/>
          <w:sz w:val="24"/>
          <w:szCs w:val="24"/>
        </w:rPr>
        <w:t>Bi₂S</w:t>
      </w:r>
      <w:proofErr w:type="spellEnd"/>
      <w:r w:rsidRPr="00944C36">
        <w:rPr>
          <w:rFonts w:ascii="Times New Roman" w:eastAsia="等线" w:hAnsi="Times New Roman" w:cs="Times New Roman"/>
          <w:sz w:val="24"/>
          <w:szCs w:val="24"/>
        </w:rPr>
        <w:t xml:space="preserve">₃ and </w:t>
      </w:r>
      <w:proofErr w:type="spellStart"/>
      <w:r w:rsidRPr="00944C36">
        <w:rPr>
          <w:rFonts w:ascii="Times New Roman" w:eastAsia="等线" w:hAnsi="Times New Roman" w:cs="Times New Roman"/>
          <w:sz w:val="24"/>
          <w:szCs w:val="24"/>
        </w:rPr>
        <w:t>Au-Bi₂S</w:t>
      </w:r>
      <w:proofErr w:type="spellEnd"/>
      <w:r w:rsidRPr="00944C36">
        <w:rPr>
          <w:rFonts w:ascii="Times New Roman" w:eastAsia="等线" w:hAnsi="Times New Roman" w:cs="Times New Roman"/>
          <w:sz w:val="24"/>
          <w:szCs w:val="24"/>
        </w:rPr>
        <w:t xml:space="preserve">₃ were observed by transmission electron microscopy (TEM, JEM-2100F) and scanning electron microscopy (SEM, SU8010). Elemental distribution was analyzed by energy-dispersive X-ray spectroscopy (EDS) equipped on SEM/TEM. Particle size distribution and zeta potential were measured by dynamic light scattering (DLS, Malvern </w:t>
      </w:r>
      <w:proofErr w:type="spellStart"/>
      <w:r w:rsidRPr="00944C36">
        <w:rPr>
          <w:rFonts w:ascii="Times New Roman" w:eastAsia="等线" w:hAnsi="Times New Roman" w:cs="Times New Roman"/>
          <w:sz w:val="24"/>
          <w:szCs w:val="24"/>
        </w:rPr>
        <w:t>Zetasizer</w:t>
      </w:r>
      <w:proofErr w:type="spellEnd"/>
      <w:r w:rsidRPr="00944C36">
        <w:rPr>
          <w:rFonts w:ascii="Times New Roman" w:eastAsia="等线" w:hAnsi="Times New Roman" w:cs="Times New Roman"/>
          <w:sz w:val="24"/>
          <w:szCs w:val="24"/>
        </w:rPr>
        <w:t xml:space="preserve"> Nano ZS). X-ray diffraction (XRD, Bruker D8 Advance) was used to characterize the crystal structure of nanomaterials with a scanning range of 10°–80°. X-ray photoelectron spectroscopy (XPS, Thermo ESCALAB 250Xi) was performed to analyze the surface chemical composition and valence state of elements. </w:t>
      </w:r>
      <w:proofErr w:type="spellStart"/>
      <w:r w:rsidRPr="00944C36">
        <w:rPr>
          <w:rFonts w:ascii="Times New Roman" w:eastAsia="等线" w:hAnsi="Times New Roman" w:cs="Times New Roman"/>
          <w:sz w:val="24"/>
          <w:szCs w:val="24"/>
        </w:rPr>
        <w:t>Piezoresponse</w:t>
      </w:r>
      <w:proofErr w:type="spellEnd"/>
      <w:r w:rsidRPr="00944C36">
        <w:rPr>
          <w:rFonts w:ascii="Times New Roman" w:eastAsia="等线" w:hAnsi="Times New Roman" w:cs="Times New Roman"/>
          <w:sz w:val="24"/>
          <w:szCs w:val="24"/>
        </w:rPr>
        <w:t xml:space="preserve"> force microscopy (PFM, Asylum Research MFP-3D) was used to test the piezoelectric response of nanomaterials under applied voltage. The distribution of </w:t>
      </w:r>
      <w:r w:rsidRPr="00944C36">
        <w:rPr>
          <w:rFonts w:ascii="Times New Roman" w:eastAsia="等线" w:hAnsi="Times New Roman" w:cs="Times New Roman"/>
          <w:sz w:val="24"/>
          <w:szCs w:val="24"/>
        </w:rPr>
        <w:lastRenderedPageBreak/>
        <w:t>FITC-labeled CGRP in microneedles was observed by fluorescence microscopy (Olympus BX53).</w:t>
      </w:r>
    </w:p>
    <w:p w14:paraId="0EC34520" w14:textId="74A9844B" w:rsidR="00DD081C" w:rsidRPr="00944C36" w:rsidRDefault="00636F11" w:rsidP="005171E1">
      <w:pPr>
        <w:spacing w:before="320" w:after="120" w:line="288" w:lineRule="auto"/>
        <w:outlineLvl w:val="1"/>
        <w:rPr>
          <w:rFonts w:ascii="Times New Roman" w:hAnsi="Times New Roman" w:cs="Times New Roman"/>
          <w:sz w:val="24"/>
          <w:szCs w:val="24"/>
        </w:rPr>
      </w:pPr>
      <w:bookmarkStart w:id="7" w:name="heading_6"/>
      <w:r w:rsidRPr="00944C36">
        <w:rPr>
          <w:rFonts w:ascii="Times New Roman" w:eastAsia="等线" w:hAnsi="Times New Roman" w:cs="Times New Roman"/>
          <w:b/>
          <w:sz w:val="24"/>
          <w:szCs w:val="24"/>
        </w:rPr>
        <w:t xml:space="preserve">Ultrasound-Triggered </w:t>
      </w:r>
      <w:proofErr w:type="spellStart"/>
      <w:r w:rsidRPr="00944C36">
        <w:rPr>
          <w:rFonts w:ascii="Times New Roman" w:eastAsia="等线" w:hAnsi="Times New Roman" w:cs="Times New Roman"/>
          <w:b/>
          <w:sz w:val="24"/>
          <w:szCs w:val="24"/>
        </w:rPr>
        <w:t>Piezocatalytic</w:t>
      </w:r>
      <w:proofErr w:type="spellEnd"/>
      <w:r w:rsidRPr="00944C36">
        <w:rPr>
          <w:rFonts w:ascii="Times New Roman" w:eastAsia="等线" w:hAnsi="Times New Roman" w:cs="Times New Roman"/>
          <w:b/>
          <w:sz w:val="24"/>
          <w:szCs w:val="24"/>
        </w:rPr>
        <w:t xml:space="preserve"> Performance Tests</w:t>
      </w:r>
      <w:bookmarkEnd w:id="7"/>
    </w:p>
    <w:p w14:paraId="2C043F48"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 xml:space="preserve">A clinical ultrasonic therapeutic instrument (frequency 1 MHz, power intensity 1.0 W cm⁻²) was used for all ultrasound (US) stimulation experiments. The </w:t>
      </w:r>
      <w:proofErr w:type="spellStart"/>
      <w:r w:rsidRPr="00944C36">
        <w:rPr>
          <w:rFonts w:ascii="Times New Roman" w:eastAsia="等线" w:hAnsi="Times New Roman" w:cs="Times New Roman"/>
          <w:sz w:val="24"/>
          <w:szCs w:val="24"/>
        </w:rPr>
        <w:t>piezocatalytic</w:t>
      </w:r>
      <w:proofErr w:type="spellEnd"/>
      <w:r w:rsidRPr="00944C36">
        <w:rPr>
          <w:rFonts w:ascii="Times New Roman" w:eastAsia="等线" w:hAnsi="Times New Roman" w:cs="Times New Roman"/>
          <w:sz w:val="24"/>
          <w:szCs w:val="24"/>
        </w:rPr>
        <w:t xml:space="preserve"> performances of materials and microneedles were evaluated by detecting H₂O₂ scavenging, oxygen (O₂) release, hydrogen (H₂) production, and glucose oxidation capacity.</w:t>
      </w:r>
    </w:p>
    <w:p w14:paraId="39CD35C1"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 xml:space="preserve">For H₂O₂ scavenging experiments: 1 mg mL⁻¹ of </w:t>
      </w:r>
      <w:proofErr w:type="spellStart"/>
      <w:r w:rsidRPr="00944C36">
        <w:rPr>
          <w:rFonts w:ascii="Times New Roman" w:eastAsia="等线" w:hAnsi="Times New Roman" w:cs="Times New Roman"/>
          <w:sz w:val="24"/>
          <w:szCs w:val="24"/>
        </w:rPr>
        <w:t>Bi₂S</w:t>
      </w:r>
      <w:proofErr w:type="spellEnd"/>
      <w:r w:rsidRPr="00944C36">
        <w:rPr>
          <w:rFonts w:ascii="Times New Roman" w:eastAsia="等线" w:hAnsi="Times New Roman" w:cs="Times New Roman"/>
          <w:sz w:val="24"/>
          <w:szCs w:val="24"/>
        </w:rPr>
        <w:t xml:space="preserve">₃ or </w:t>
      </w:r>
      <w:proofErr w:type="spellStart"/>
      <w:r w:rsidRPr="00944C36">
        <w:rPr>
          <w:rFonts w:ascii="Times New Roman" w:eastAsia="等线" w:hAnsi="Times New Roman" w:cs="Times New Roman"/>
          <w:sz w:val="24"/>
          <w:szCs w:val="24"/>
        </w:rPr>
        <w:t>Au-Bi₂S</w:t>
      </w:r>
      <w:proofErr w:type="spellEnd"/>
      <w:r w:rsidRPr="00944C36">
        <w:rPr>
          <w:rFonts w:ascii="Times New Roman" w:eastAsia="等线" w:hAnsi="Times New Roman" w:cs="Times New Roman"/>
          <w:sz w:val="24"/>
          <w:szCs w:val="24"/>
        </w:rPr>
        <w:t xml:space="preserve">₃ dispersion (or equivalent microneedle samples) was mixed with 100 </w:t>
      </w:r>
      <w:proofErr w:type="spellStart"/>
      <w:r w:rsidRPr="00944C36">
        <w:rPr>
          <w:rFonts w:ascii="Times New Roman" w:eastAsia="等线" w:hAnsi="Times New Roman" w:cs="Times New Roman"/>
          <w:sz w:val="24"/>
          <w:szCs w:val="24"/>
        </w:rPr>
        <w:t>μM</w:t>
      </w:r>
      <w:proofErr w:type="spellEnd"/>
      <w:r w:rsidRPr="00944C36">
        <w:rPr>
          <w:rFonts w:ascii="Times New Roman" w:eastAsia="等线" w:hAnsi="Times New Roman" w:cs="Times New Roman"/>
          <w:sz w:val="24"/>
          <w:szCs w:val="24"/>
        </w:rPr>
        <w:t xml:space="preserve"> H₂O₂ solution, treated with US for different durations, and the residual H₂O₂ content was detected via titanium sulfate colorimetric method. For dissolved O₂ and H₂ detection: real-time changes of dissolved gas in the solution under US stimulation were recorded by a portable dissolved oxygen meter and hydrogen detector. For glucose oxidation detection: high-performance liquid chromatography (HPLC) was used to detect the production of glucose oxidation products after US treatment of glucose-containing wound-mimicking solution.</w:t>
      </w:r>
    </w:p>
    <w:p w14:paraId="0FCAFA5F" w14:textId="29C4CE9F" w:rsidR="00DD081C" w:rsidRPr="00944C36" w:rsidRDefault="00636F11" w:rsidP="005171E1">
      <w:pPr>
        <w:spacing w:before="320" w:after="120" w:line="288" w:lineRule="auto"/>
        <w:outlineLvl w:val="1"/>
        <w:rPr>
          <w:rFonts w:ascii="Times New Roman" w:hAnsi="Times New Roman" w:cs="Times New Roman"/>
          <w:sz w:val="24"/>
          <w:szCs w:val="24"/>
        </w:rPr>
      </w:pPr>
      <w:bookmarkStart w:id="8" w:name="heading_7"/>
      <w:r w:rsidRPr="00944C36">
        <w:rPr>
          <w:rFonts w:ascii="Times New Roman" w:eastAsia="等线" w:hAnsi="Times New Roman" w:cs="Times New Roman"/>
          <w:b/>
          <w:sz w:val="24"/>
          <w:szCs w:val="24"/>
        </w:rPr>
        <w:t>In Vitro Microneedle Degradation and CGRP Release Assay</w:t>
      </w:r>
      <w:bookmarkEnd w:id="8"/>
    </w:p>
    <w:p w14:paraId="6BE627E2"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To verify the protease-responsive degradation property, ABC microneedles were incubated in pure PBS and PBS containing 100 U mL⁻¹ collagenase at 37 °C for 96 min. The residual mass of microneedles at different time points was weighed and recorded to calculate the degradation rate.</w:t>
      </w:r>
    </w:p>
    <w:p w14:paraId="7C108C47"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For CGRP release detection: FITC-labeled CGRP-loaded ABC microneedles were immersed in PBS with/without collagenase. The supernatant was collected at preset time intervals, and the fluorescence intensity was measured by a microplate reader to calculate the cumulative release rate of CGRP peptide.</w:t>
      </w:r>
    </w:p>
    <w:p w14:paraId="60EF9838" w14:textId="7E378159" w:rsidR="00DD081C" w:rsidRPr="00944C36" w:rsidRDefault="00636F11" w:rsidP="005171E1">
      <w:pPr>
        <w:spacing w:before="320" w:after="120" w:line="288" w:lineRule="auto"/>
        <w:outlineLvl w:val="1"/>
        <w:rPr>
          <w:rFonts w:ascii="Times New Roman" w:hAnsi="Times New Roman" w:cs="Times New Roman"/>
          <w:sz w:val="24"/>
          <w:szCs w:val="24"/>
        </w:rPr>
      </w:pPr>
      <w:bookmarkStart w:id="9" w:name="heading_8"/>
      <w:r w:rsidRPr="00944C36">
        <w:rPr>
          <w:rFonts w:ascii="Times New Roman" w:eastAsia="等线" w:hAnsi="Times New Roman" w:cs="Times New Roman"/>
          <w:b/>
          <w:sz w:val="24"/>
          <w:szCs w:val="24"/>
        </w:rPr>
        <w:t>Bacterial Culture and Biofilm Eradication Experiments</w:t>
      </w:r>
      <w:bookmarkEnd w:id="9"/>
    </w:p>
    <w:p w14:paraId="664DAF77"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i/>
          <w:sz w:val="24"/>
          <w:szCs w:val="24"/>
        </w:rPr>
        <w:t>Staphylococcus aureus</w:t>
      </w:r>
      <w:r w:rsidRPr="00944C36">
        <w:rPr>
          <w:rFonts w:ascii="Times New Roman" w:eastAsia="等线" w:hAnsi="Times New Roman" w:cs="Times New Roman"/>
          <w:sz w:val="24"/>
          <w:szCs w:val="24"/>
        </w:rPr>
        <w:t xml:space="preserve"> was cultured in Luria-Bertani (LB) liquid medium at 37 °C with constant shaking (180 rpm) to logarithmic growth phase. The bacterial suspension was diluted to 1 × 10⁸ CFU mL⁻¹ for subsequent experiments.</w:t>
      </w:r>
    </w:p>
    <w:p w14:paraId="4EE4FCEC"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For antibacterial activity detection: Bacterial suspensions were co-cultured with different microneedle samples with/without US stimulation for 4 h. After treatment, the bacterial solution was diluted and spread on LB agar plates, and the colony number was counted after 24 h incubation to calculate bacterial viability.</w:t>
      </w:r>
    </w:p>
    <w:p w14:paraId="2CEE1443"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 xml:space="preserve">For biofilm elimination experiments: </w:t>
      </w:r>
      <w:r w:rsidRPr="00944C36">
        <w:rPr>
          <w:rFonts w:ascii="Times New Roman" w:eastAsia="等线" w:hAnsi="Times New Roman" w:cs="Times New Roman"/>
          <w:i/>
          <w:sz w:val="24"/>
          <w:szCs w:val="24"/>
        </w:rPr>
        <w:t>S. aureus</w:t>
      </w:r>
      <w:r w:rsidRPr="00944C36">
        <w:rPr>
          <w:rFonts w:ascii="Times New Roman" w:eastAsia="等线" w:hAnsi="Times New Roman" w:cs="Times New Roman"/>
          <w:sz w:val="24"/>
          <w:szCs w:val="24"/>
        </w:rPr>
        <w:t xml:space="preserve"> was cultured in 24-well plates for 48 h to form mature biofilms. After different treatments, biofilm biomass was quantified </w:t>
      </w:r>
      <w:r w:rsidRPr="00944C36">
        <w:rPr>
          <w:rFonts w:ascii="Times New Roman" w:eastAsia="等线" w:hAnsi="Times New Roman" w:cs="Times New Roman"/>
          <w:sz w:val="24"/>
          <w:szCs w:val="24"/>
        </w:rPr>
        <w:lastRenderedPageBreak/>
        <w:t>by crystal violet staining. The biofilm morphology and bacterial activity were observed by SEM, TEM, and confocal laser scanning microscopy (CLSM) with live/dead bacterial staining kits.</w:t>
      </w:r>
    </w:p>
    <w:p w14:paraId="0D6BC046" w14:textId="6E49C147" w:rsidR="00DD081C" w:rsidRPr="00944C36" w:rsidRDefault="00636F11" w:rsidP="005171E1">
      <w:pPr>
        <w:spacing w:before="320" w:after="120" w:line="288" w:lineRule="auto"/>
        <w:outlineLvl w:val="1"/>
        <w:rPr>
          <w:rFonts w:ascii="Times New Roman" w:hAnsi="Times New Roman" w:cs="Times New Roman"/>
          <w:sz w:val="24"/>
          <w:szCs w:val="24"/>
        </w:rPr>
      </w:pPr>
      <w:bookmarkStart w:id="10" w:name="heading_9"/>
      <w:r w:rsidRPr="00944C36">
        <w:rPr>
          <w:rFonts w:ascii="Times New Roman" w:eastAsia="等线" w:hAnsi="Times New Roman" w:cs="Times New Roman"/>
          <w:b/>
          <w:sz w:val="24"/>
          <w:szCs w:val="24"/>
        </w:rPr>
        <w:t>Cell Culture and In Vitro Functional Experiments</w:t>
      </w:r>
      <w:bookmarkEnd w:id="10"/>
    </w:p>
    <w:p w14:paraId="15B0064E"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L929 fibroblasts, PC12 cells, and HUVECs were cultured in high-glucose DMEM medium supplemented with 10% FBS and 1% penicillin–streptomycin at 37 °C in a 5% CO₂ humidified incubator.</w:t>
      </w:r>
    </w:p>
    <w:p w14:paraId="7F90D435"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b/>
          <w:sz w:val="24"/>
          <w:szCs w:val="24"/>
        </w:rPr>
        <w:t>Bacteria-cell co-culture model</w:t>
      </w:r>
      <w:r w:rsidRPr="00944C36">
        <w:rPr>
          <w:rFonts w:ascii="Times New Roman" w:eastAsia="等线" w:hAnsi="Times New Roman" w:cs="Times New Roman"/>
          <w:sz w:val="24"/>
          <w:szCs w:val="24"/>
        </w:rPr>
        <w:t xml:space="preserve">: For fibroblast and neuronal cell injury models, 1 × 10⁵ cells per well were seeded in 6-well plates and cultured for 24 h, then co-cultured with </w:t>
      </w:r>
      <w:r w:rsidRPr="00944C36">
        <w:rPr>
          <w:rFonts w:ascii="Times New Roman" w:eastAsia="等线" w:hAnsi="Times New Roman" w:cs="Times New Roman"/>
          <w:i/>
          <w:sz w:val="24"/>
          <w:szCs w:val="24"/>
        </w:rPr>
        <w:t>S. aureus</w:t>
      </w:r>
      <w:r w:rsidRPr="00944C36">
        <w:rPr>
          <w:rFonts w:ascii="Times New Roman" w:eastAsia="等线" w:hAnsi="Times New Roman" w:cs="Times New Roman"/>
          <w:sz w:val="24"/>
          <w:szCs w:val="24"/>
        </w:rPr>
        <w:t xml:space="preserve"> (MOI = 10) for 6 h, followed by different microneedle + US treatments.</w:t>
      </w:r>
    </w:p>
    <w:p w14:paraId="7F8AC249"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b/>
          <w:sz w:val="24"/>
          <w:szCs w:val="24"/>
        </w:rPr>
        <w:t>Cell proliferation and viability detection</w:t>
      </w:r>
      <w:r w:rsidRPr="00944C36">
        <w:rPr>
          <w:rFonts w:ascii="Times New Roman" w:eastAsia="等线" w:hAnsi="Times New Roman" w:cs="Times New Roman"/>
          <w:sz w:val="24"/>
          <w:szCs w:val="24"/>
        </w:rPr>
        <w:t xml:space="preserve">: </w:t>
      </w:r>
      <w:proofErr w:type="spellStart"/>
      <w:r w:rsidRPr="00944C36">
        <w:rPr>
          <w:rFonts w:ascii="Times New Roman" w:eastAsia="等线" w:hAnsi="Times New Roman" w:cs="Times New Roman"/>
          <w:sz w:val="24"/>
          <w:szCs w:val="24"/>
        </w:rPr>
        <w:t>EdU</w:t>
      </w:r>
      <w:proofErr w:type="spellEnd"/>
      <w:r w:rsidRPr="00944C36">
        <w:rPr>
          <w:rFonts w:ascii="Times New Roman" w:eastAsia="等线" w:hAnsi="Times New Roman" w:cs="Times New Roman"/>
          <w:sz w:val="24"/>
          <w:szCs w:val="24"/>
        </w:rPr>
        <w:t xml:space="preserve"> staining was used to detect cell proliferation activity, and live/dead fluorescence staining was performed to evaluate cell viability.</w:t>
      </w:r>
    </w:p>
    <w:p w14:paraId="439EBB65"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b/>
          <w:sz w:val="24"/>
          <w:szCs w:val="24"/>
        </w:rPr>
        <w:t>Neuronal function detection</w:t>
      </w:r>
      <w:r w:rsidRPr="00944C36">
        <w:rPr>
          <w:rFonts w:ascii="Times New Roman" w:eastAsia="等线" w:hAnsi="Times New Roman" w:cs="Times New Roman"/>
          <w:sz w:val="24"/>
          <w:szCs w:val="24"/>
        </w:rPr>
        <w:t xml:space="preserve">: PC12 cell neurite outgrowth was observed by β-tubulin immunofluorescence staining; CGRP expression level was detected by fluorescence intensity quantification. Mitochondrial function was evaluated by JC-1 mitochondrial membrane potential staining and </w:t>
      </w:r>
      <w:proofErr w:type="spellStart"/>
      <w:r w:rsidRPr="00944C36">
        <w:rPr>
          <w:rFonts w:ascii="Times New Roman" w:eastAsia="等线" w:hAnsi="Times New Roman" w:cs="Times New Roman"/>
          <w:sz w:val="24"/>
          <w:szCs w:val="24"/>
        </w:rPr>
        <w:t>MitoSOX</w:t>
      </w:r>
      <w:proofErr w:type="spellEnd"/>
      <w:r w:rsidRPr="00944C36">
        <w:rPr>
          <w:rFonts w:ascii="Times New Roman" w:eastAsia="等线" w:hAnsi="Times New Roman" w:cs="Times New Roman"/>
          <w:sz w:val="24"/>
          <w:szCs w:val="24"/>
        </w:rPr>
        <w:t xml:space="preserve"> mitochondrial superoxide staining. Cell apoptosis was detected by Annexin V-FITC/PI flow cytometry.</w:t>
      </w:r>
    </w:p>
    <w:p w14:paraId="7763AEFA"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b/>
          <w:sz w:val="24"/>
          <w:szCs w:val="24"/>
        </w:rPr>
        <w:t>Paracrine effect experiment</w:t>
      </w:r>
      <w:r w:rsidRPr="00944C36">
        <w:rPr>
          <w:rFonts w:ascii="Times New Roman" w:eastAsia="等线" w:hAnsi="Times New Roman" w:cs="Times New Roman"/>
          <w:sz w:val="24"/>
          <w:szCs w:val="24"/>
        </w:rPr>
        <w:t>: The culture supernatant of PC12 cells after different treatments was collected as conditioned medium, which was transferred to HUVECs, neutrophils, and macrophages. HUVEC migration (scratch assay) and tube formation were detected to evaluate angiogenic capacity. The inflammatory phenotype of neutrophils and macrophages was analyzed by flow cytometry and RT-qPCR.</w:t>
      </w:r>
    </w:p>
    <w:p w14:paraId="231B62B8" w14:textId="1E88C3C5" w:rsidR="00DD081C" w:rsidRPr="00944C36" w:rsidRDefault="00636F11" w:rsidP="005171E1">
      <w:pPr>
        <w:spacing w:before="320" w:after="120" w:line="288" w:lineRule="auto"/>
        <w:outlineLvl w:val="1"/>
        <w:rPr>
          <w:rFonts w:ascii="Times New Roman" w:hAnsi="Times New Roman" w:cs="Times New Roman"/>
          <w:sz w:val="24"/>
          <w:szCs w:val="24"/>
        </w:rPr>
      </w:pPr>
      <w:bookmarkStart w:id="11" w:name="heading_10"/>
      <w:r w:rsidRPr="00944C36">
        <w:rPr>
          <w:rFonts w:ascii="Times New Roman" w:eastAsia="等线" w:hAnsi="Times New Roman" w:cs="Times New Roman"/>
          <w:b/>
          <w:sz w:val="24"/>
          <w:szCs w:val="24"/>
        </w:rPr>
        <w:t>RNA Sequencing and Bioinformatic Analysis</w:t>
      </w:r>
      <w:bookmarkEnd w:id="11"/>
    </w:p>
    <w:p w14:paraId="34E8ACF7"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 xml:space="preserve">Total RNA of PC12 cells and wound tissue samples was extracted using </w:t>
      </w:r>
      <w:proofErr w:type="spellStart"/>
      <w:r w:rsidRPr="00944C36">
        <w:rPr>
          <w:rFonts w:ascii="Times New Roman" w:eastAsia="等线" w:hAnsi="Times New Roman" w:cs="Times New Roman"/>
          <w:sz w:val="24"/>
          <w:szCs w:val="24"/>
        </w:rPr>
        <w:t>Trizol</w:t>
      </w:r>
      <w:proofErr w:type="spellEnd"/>
      <w:r w:rsidRPr="00944C36">
        <w:rPr>
          <w:rFonts w:ascii="Times New Roman" w:eastAsia="等线" w:hAnsi="Times New Roman" w:cs="Times New Roman"/>
          <w:sz w:val="24"/>
          <w:szCs w:val="24"/>
        </w:rPr>
        <w:t xml:space="preserve"> reagent. RNA purity and integrity were detected by Nanodrop and agarose gel electrophoresis. Qualified RNA samples were used for library construction and high-throughput transcriptome sequencing (Illumina </w:t>
      </w:r>
      <w:proofErr w:type="spellStart"/>
      <w:r w:rsidRPr="00944C36">
        <w:rPr>
          <w:rFonts w:ascii="Times New Roman" w:eastAsia="等线" w:hAnsi="Times New Roman" w:cs="Times New Roman"/>
          <w:sz w:val="24"/>
          <w:szCs w:val="24"/>
        </w:rPr>
        <w:t>NovaSeq</w:t>
      </w:r>
      <w:proofErr w:type="spellEnd"/>
      <w:r w:rsidRPr="00944C36">
        <w:rPr>
          <w:rFonts w:ascii="Times New Roman" w:eastAsia="等线" w:hAnsi="Times New Roman" w:cs="Times New Roman"/>
          <w:sz w:val="24"/>
          <w:szCs w:val="24"/>
        </w:rPr>
        <w:t xml:space="preserve"> platform). Differential expressed genes (DEGs) were screened with |log2FC| &gt; 1 and P &lt; 0.05. Gene Set Enrichment Analysis (GSEA), Kyoto Encyclopedia of Genes and Genomes (KEGG) pathway enrichment analysis, heatmap, volcano plot, chord diagram, and Sankey diagram analysis were performed using R software and online bioinformatics tools. Human diabetic foot ulcer single-cell RNA-seq data were downloaded from public GEO databases for neuroimmune signaling difference analysis.</w:t>
      </w:r>
    </w:p>
    <w:p w14:paraId="1567A9F0" w14:textId="7FCB2385" w:rsidR="00DD081C" w:rsidRPr="00944C36" w:rsidRDefault="00636F11" w:rsidP="005171E1">
      <w:pPr>
        <w:spacing w:before="320" w:after="120" w:line="288" w:lineRule="auto"/>
        <w:outlineLvl w:val="1"/>
        <w:rPr>
          <w:rFonts w:ascii="Times New Roman" w:hAnsi="Times New Roman" w:cs="Times New Roman"/>
          <w:sz w:val="24"/>
          <w:szCs w:val="24"/>
        </w:rPr>
      </w:pPr>
      <w:bookmarkStart w:id="12" w:name="heading_11"/>
      <w:r w:rsidRPr="00944C36">
        <w:rPr>
          <w:rFonts w:ascii="Times New Roman" w:eastAsia="等线" w:hAnsi="Times New Roman" w:cs="Times New Roman"/>
          <w:b/>
          <w:sz w:val="24"/>
          <w:szCs w:val="24"/>
        </w:rPr>
        <w:t>Quantitative Real-Time PCR (RT-qPCR) and Western Blotting</w:t>
      </w:r>
      <w:bookmarkEnd w:id="12"/>
    </w:p>
    <w:p w14:paraId="03D00831" w14:textId="5C6232EB"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 xml:space="preserve">Total cellular and tissue RNA was reverse-transcribed into cDNA using a reverse </w:t>
      </w:r>
      <w:r w:rsidRPr="00944C36">
        <w:rPr>
          <w:rFonts w:ascii="Times New Roman" w:eastAsia="等线" w:hAnsi="Times New Roman" w:cs="Times New Roman"/>
          <w:sz w:val="24"/>
          <w:szCs w:val="24"/>
        </w:rPr>
        <w:lastRenderedPageBreak/>
        <w:t xml:space="preserve">transcription kit. RT-qPCR was performed with SYBR Green qPCR Master Mix on a real-time PCR system. The relative gene expression level was calculated by the 2⁻ΔΔCt method with β-actin as the internal reference. </w:t>
      </w:r>
    </w:p>
    <w:p w14:paraId="39EE3461"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For western blotting: Total protein was extracted from PC12 cells using RIPA lysis buffer containing protease inhibitors. Protein concentration was quantified by BCA method. Equal amounts of protein samples were separated by SDS-PAGE electrophoresis, transferred to PVDF membranes, blocked with 5% skim milk, incubated with primary and secondary antibodies successively, and finally visualized by ECL chemiluminescence reagent.</w:t>
      </w:r>
    </w:p>
    <w:p w14:paraId="6AF26D9F" w14:textId="2F1EA60B" w:rsidR="00DD081C" w:rsidRPr="00944C36" w:rsidRDefault="00636F11" w:rsidP="005171E1">
      <w:pPr>
        <w:spacing w:before="320" w:after="120" w:line="288" w:lineRule="auto"/>
        <w:outlineLvl w:val="1"/>
        <w:rPr>
          <w:rFonts w:ascii="Times New Roman" w:hAnsi="Times New Roman" w:cs="Times New Roman"/>
          <w:sz w:val="24"/>
          <w:szCs w:val="24"/>
        </w:rPr>
      </w:pPr>
      <w:bookmarkStart w:id="13" w:name="heading_12"/>
      <w:r w:rsidRPr="00944C36">
        <w:rPr>
          <w:rFonts w:ascii="Times New Roman" w:eastAsia="等线" w:hAnsi="Times New Roman" w:cs="Times New Roman"/>
          <w:b/>
          <w:sz w:val="24"/>
          <w:szCs w:val="24"/>
        </w:rPr>
        <w:t>In Vivo Diabetic Infected Wound Model and Therapeutic Treatment</w:t>
      </w:r>
      <w:bookmarkEnd w:id="13"/>
    </w:p>
    <w:p w14:paraId="496618E0"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All animal experiments were approved by the Animal Ethics Committee of the institution and performed in accordance with the National Guidelines for Animal Care and Use. Male C57BL/6 mice (6–8 weeks old) were used to establish the diabetic wound model. Diabetes was induced by intraperitoneal injection of streptozotocin (STZ, 50 mg kg⁻¹) for 5 consecutive days. Mice with blood glucose levels consistently higher than 16.7 mmol L⁻¹ were selected for subsequent experiments.</w:t>
      </w:r>
    </w:p>
    <w:p w14:paraId="1156EEF7"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 xml:space="preserve">After anesthesia, a full-thickness circular wound (diameter 6 mm) was made on the dorsal skin of diabetic mice. 10 </w:t>
      </w:r>
      <w:proofErr w:type="spellStart"/>
      <w:r w:rsidRPr="00944C36">
        <w:rPr>
          <w:rFonts w:ascii="Times New Roman" w:eastAsia="等线" w:hAnsi="Times New Roman" w:cs="Times New Roman"/>
          <w:sz w:val="24"/>
          <w:szCs w:val="24"/>
        </w:rPr>
        <w:t>μL</w:t>
      </w:r>
      <w:proofErr w:type="spellEnd"/>
      <w:r w:rsidRPr="00944C36">
        <w:rPr>
          <w:rFonts w:ascii="Times New Roman" w:eastAsia="等线" w:hAnsi="Times New Roman" w:cs="Times New Roman"/>
          <w:sz w:val="24"/>
          <w:szCs w:val="24"/>
        </w:rPr>
        <w:t xml:space="preserve"> of </w:t>
      </w:r>
      <w:r w:rsidRPr="00944C36">
        <w:rPr>
          <w:rFonts w:ascii="Times New Roman" w:eastAsia="等线" w:hAnsi="Times New Roman" w:cs="Times New Roman"/>
          <w:i/>
          <w:sz w:val="24"/>
          <w:szCs w:val="24"/>
        </w:rPr>
        <w:t>S. aureus</w:t>
      </w:r>
      <w:r w:rsidRPr="00944C36">
        <w:rPr>
          <w:rFonts w:ascii="Times New Roman" w:eastAsia="等线" w:hAnsi="Times New Roman" w:cs="Times New Roman"/>
          <w:sz w:val="24"/>
          <w:szCs w:val="24"/>
        </w:rPr>
        <w:t xml:space="preserve"> suspension (1 × 10⁹ CFU mL⁻¹) was dropped on the wound surface to construct an infected diabetic wound model. Mice were randomly divided into 5 groups: Control group, US alone group, BC needle + US group, ABC needle alone group, ABC needle + US group. The treatment was performed once every 2 days for 14 days. The wound area was photographed and recorded regularly, and the wound healing rate was calculated.</w:t>
      </w:r>
    </w:p>
    <w:p w14:paraId="0D4C72B3" w14:textId="45D4D03C" w:rsidR="00DD081C" w:rsidRPr="00944C36" w:rsidRDefault="00636F11" w:rsidP="005171E1">
      <w:pPr>
        <w:spacing w:before="320" w:after="120" w:line="288" w:lineRule="auto"/>
        <w:outlineLvl w:val="1"/>
        <w:rPr>
          <w:rFonts w:ascii="Times New Roman" w:hAnsi="Times New Roman" w:cs="Times New Roman"/>
          <w:sz w:val="24"/>
          <w:szCs w:val="24"/>
        </w:rPr>
      </w:pPr>
      <w:bookmarkStart w:id="14" w:name="heading_13"/>
      <w:r w:rsidRPr="00944C36">
        <w:rPr>
          <w:rFonts w:ascii="Times New Roman" w:eastAsia="等线" w:hAnsi="Times New Roman" w:cs="Times New Roman"/>
          <w:b/>
          <w:sz w:val="24"/>
          <w:szCs w:val="24"/>
        </w:rPr>
        <w:t>In Vivo Histological and Immunofluorescence Staining</w:t>
      </w:r>
      <w:bookmarkEnd w:id="14"/>
    </w:p>
    <w:p w14:paraId="0E176B73"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On day 3 and day 10 after treatment, wound tissue samples were collected, fixed with 4% paraformaldehyde, dehydrated, embedded in paraffin, and sliced continuously. Hematoxylin-eosin (H&amp;E) staining was used to observe tissue inflammation and re-epithelialization; Masson’s trichrome staining was performed to detect collagen deposition; Giemsa staining was used to observe residual bacterial distribution in wound tissue.</w:t>
      </w:r>
    </w:p>
    <w:p w14:paraId="23C49E9F"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sz w:val="24"/>
          <w:szCs w:val="24"/>
        </w:rPr>
        <w:t>For immunofluorescence staining: Tissue sections were deparaffinized, antigen-repaired, blocked, and incubated with primary antibodies against TRPV1 and CGRP overnight at 4 °C, followed by fluorescent secondary antibody incubation. Nuclei were stained with DAPI. The fluorescence intensity was observed and quantified by laser confocal microscopy. Wound blood flow perfusion was detected by color Doppler ultrasound imaging.</w:t>
      </w:r>
    </w:p>
    <w:p w14:paraId="705F5748" w14:textId="10455847" w:rsidR="00DD081C" w:rsidRPr="00944C36" w:rsidRDefault="00636F11" w:rsidP="005171E1">
      <w:pPr>
        <w:spacing w:before="320" w:after="120" w:line="288" w:lineRule="auto"/>
        <w:outlineLvl w:val="1"/>
        <w:rPr>
          <w:rFonts w:ascii="Times New Roman" w:hAnsi="Times New Roman" w:cs="Times New Roman"/>
          <w:sz w:val="24"/>
          <w:szCs w:val="24"/>
        </w:rPr>
      </w:pPr>
      <w:bookmarkStart w:id="15" w:name="heading_14"/>
      <w:r w:rsidRPr="00944C36">
        <w:rPr>
          <w:rFonts w:ascii="Times New Roman" w:eastAsia="等线" w:hAnsi="Times New Roman" w:cs="Times New Roman"/>
          <w:b/>
          <w:sz w:val="24"/>
          <w:szCs w:val="24"/>
        </w:rPr>
        <w:t>Statistical Analysis</w:t>
      </w:r>
      <w:bookmarkEnd w:id="15"/>
    </w:p>
    <w:p w14:paraId="14C40922" w14:textId="77777777" w:rsidR="002C3A16" w:rsidRDefault="00636F11" w:rsidP="005171E1">
      <w:pPr>
        <w:spacing w:before="120" w:after="120" w:line="288" w:lineRule="auto"/>
        <w:rPr>
          <w:rFonts w:ascii="Times New Roman" w:eastAsia="等线" w:hAnsi="Times New Roman" w:cs="Times New Roman"/>
          <w:sz w:val="24"/>
          <w:szCs w:val="24"/>
        </w:rPr>
        <w:sectPr w:rsidR="002C3A16">
          <w:pgSz w:w="11905" w:h="16840"/>
          <w:pgMar w:top="1440" w:right="1800" w:bottom="1440" w:left="1800" w:header="720" w:footer="720" w:gutter="0"/>
          <w:cols w:space="720"/>
        </w:sectPr>
      </w:pPr>
      <w:r w:rsidRPr="00944C36">
        <w:rPr>
          <w:rFonts w:ascii="Times New Roman" w:eastAsia="等线" w:hAnsi="Times New Roman" w:cs="Times New Roman"/>
          <w:sz w:val="24"/>
          <w:szCs w:val="24"/>
        </w:rPr>
        <w:lastRenderedPageBreak/>
        <w:t>All experimental data were expressed as mean ± standard deviation (SD). Statistical analysis was performed using GraphPad Prism 9.0 software. One-way or two-way analysis of variance (ANOVA) was used for multi-group comparison, and Student’s t-test was used for two-group comparison. P &lt; 0.05 was considered statistically significant.</w:t>
      </w:r>
    </w:p>
    <w:p w14:paraId="051777C7" w14:textId="0D107746" w:rsidR="00DD081C" w:rsidRPr="00944C36" w:rsidRDefault="00636F11" w:rsidP="005171E1">
      <w:pPr>
        <w:spacing w:before="380" w:after="140" w:line="288" w:lineRule="auto"/>
        <w:outlineLvl w:val="0"/>
        <w:rPr>
          <w:rFonts w:ascii="Times New Roman" w:hAnsi="Times New Roman" w:cs="Times New Roman"/>
          <w:sz w:val="24"/>
          <w:szCs w:val="24"/>
        </w:rPr>
      </w:pPr>
      <w:bookmarkStart w:id="16" w:name="heading_15"/>
      <w:r w:rsidRPr="00944C36">
        <w:rPr>
          <w:rFonts w:ascii="Times New Roman" w:eastAsia="等线" w:hAnsi="Times New Roman" w:cs="Times New Roman"/>
          <w:b/>
          <w:sz w:val="24"/>
          <w:szCs w:val="24"/>
        </w:rPr>
        <w:lastRenderedPageBreak/>
        <w:t>Supporting Figures</w:t>
      </w:r>
      <w:bookmarkEnd w:id="16"/>
    </w:p>
    <w:p w14:paraId="76675D84" w14:textId="55A7E1FC" w:rsidR="006A5EDC" w:rsidRDefault="00A67ABD" w:rsidP="006A5EDC">
      <w:pPr>
        <w:spacing w:before="120" w:after="120" w:line="288" w:lineRule="auto"/>
        <w:jc w:val="center"/>
        <w:rPr>
          <w:rFonts w:ascii="Times New Roman" w:eastAsia="等线" w:hAnsi="Times New Roman" w:cs="Times New Roman"/>
          <w:b/>
          <w:sz w:val="24"/>
          <w:szCs w:val="24"/>
        </w:rPr>
      </w:pPr>
      <w:r>
        <w:rPr>
          <w:noProof/>
          <w:szCs w:val="21"/>
        </w:rPr>
        <w:drawing>
          <wp:inline distT="0" distB="0" distL="0" distR="0" wp14:anchorId="249556B7" wp14:editId="16B7B572">
            <wp:extent cx="5273675" cy="1326515"/>
            <wp:effectExtent l="0" t="0" r="317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a:stretch>
                      <a:fillRect/>
                    </a:stretch>
                  </pic:blipFill>
                  <pic:spPr>
                    <a:xfrm>
                      <a:off x="0" y="0"/>
                      <a:ext cx="5273675" cy="1326515"/>
                    </a:xfrm>
                    <a:prstGeom prst="rect">
                      <a:avLst/>
                    </a:prstGeom>
                  </pic:spPr>
                </pic:pic>
              </a:graphicData>
            </a:graphic>
          </wp:inline>
        </w:drawing>
      </w:r>
    </w:p>
    <w:p w14:paraId="7972F6BD" w14:textId="3E484AB8" w:rsidR="00DD081C" w:rsidRDefault="00636F11" w:rsidP="005171E1">
      <w:pPr>
        <w:spacing w:before="120" w:after="120" w:line="288" w:lineRule="auto"/>
        <w:rPr>
          <w:rFonts w:ascii="Times New Roman" w:eastAsia="等线" w:hAnsi="Times New Roman" w:cs="Times New Roman"/>
          <w:sz w:val="24"/>
          <w:szCs w:val="24"/>
        </w:rPr>
      </w:pPr>
      <w:r w:rsidRPr="00944C36">
        <w:rPr>
          <w:rFonts w:ascii="Times New Roman" w:eastAsia="等线" w:hAnsi="Times New Roman" w:cs="Times New Roman"/>
          <w:b/>
          <w:sz w:val="24"/>
          <w:szCs w:val="24"/>
        </w:rPr>
        <w:t xml:space="preserve">Figure S1. Supplementary chemical characterization of </w:t>
      </w:r>
      <w:proofErr w:type="spellStart"/>
      <w:r w:rsidRPr="00944C36">
        <w:rPr>
          <w:rFonts w:ascii="Times New Roman" w:eastAsia="等线" w:hAnsi="Times New Roman" w:cs="Times New Roman"/>
          <w:b/>
          <w:sz w:val="24"/>
          <w:szCs w:val="24"/>
        </w:rPr>
        <w:t>Bi₂S</w:t>
      </w:r>
      <w:proofErr w:type="spellEnd"/>
      <w:r w:rsidRPr="00944C36">
        <w:rPr>
          <w:rFonts w:ascii="Times New Roman" w:eastAsia="等线" w:hAnsi="Times New Roman" w:cs="Times New Roman"/>
          <w:b/>
          <w:sz w:val="24"/>
          <w:szCs w:val="24"/>
        </w:rPr>
        <w:t xml:space="preserve">₃ and </w:t>
      </w:r>
      <w:proofErr w:type="spellStart"/>
      <w:r w:rsidRPr="00944C36">
        <w:rPr>
          <w:rFonts w:ascii="Times New Roman" w:eastAsia="等线" w:hAnsi="Times New Roman" w:cs="Times New Roman"/>
          <w:b/>
          <w:sz w:val="24"/>
          <w:szCs w:val="24"/>
        </w:rPr>
        <w:t>Au-Bi₂S</w:t>
      </w:r>
      <w:proofErr w:type="spellEnd"/>
      <w:r w:rsidRPr="00944C36">
        <w:rPr>
          <w:rFonts w:ascii="Times New Roman" w:eastAsia="等线" w:hAnsi="Times New Roman" w:cs="Times New Roman"/>
          <w:b/>
          <w:sz w:val="24"/>
          <w:szCs w:val="24"/>
        </w:rPr>
        <w:t>₃ nanocomposites.</w:t>
      </w:r>
      <w:r w:rsidRPr="00944C36">
        <w:rPr>
          <w:rFonts w:ascii="Times New Roman" w:eastAsia="等线" w:hAnsi="Times New Roman" w:cs="Times New Roman"/>
          <w:sz w:val="24"/>
          <w:szCs w:val="24"/>
        </w:rPr>
        <w:t xml:space="preserve"> (a) XPS full survey spectra of pure </w:t>
      </w:r>
      <w:proofErr w:type="spellStart"/>
      <w:r w:rsidRPr="00944C36">
        <w:rPr>
          <w:rFonts w:ascii="Times New Roman" w:eastAsia="等线" w:hAnsi="Times New Roman" w:cs="Times New Roman"/>
          <w:sz w:val="24"/>
          <w:szCs w:val="24"/>
        </w:rPr>
        <w:t>Bi₂S</w:t>
      </w:r>
      <w:proofErr w:type="spellEnd"/>
      <w:r w:rsidRPr="00944C36">
        <w:rPr>
          <w:rFonts w:ascii="Times New Roman" w:eastAsia="等线" w:hAnsi="Times New Roman" w:cs="Times New Roman"/>
          <w:sz w:val="24"/>
          <w:szCs w:val="24"/>
        </w:rPr>
        <w:t xml:space="preserve">₃ and </w:t>
      </w:r>
      <w:proofErr w:type="spellStart"/>
      <w:r w:rsidRPr="00944C36">
        <w:rPr>
          <w:rFonts w:ascii="Times New Roman" w:eastAsia="等线" w:hAnsi="Times New Roman" w:cs="Times New Roman"/>
          <w:sz w:val="24"/>
          <w:szCs w:val="24"/>
        </w:rPr>
        <w:t>Au-Bi₂S</w:t>
      </w:r>
      <w:proofErr w:type="spellEnd"/>
      <w:r w:rsidRPr="00944C36">
        <w:rPr>
          <w:rFonts w:ascii="Times New Roman" w:eastAsia="等线" w:hAnsi="Times New Roman" w:cs="Times New Roman"/>
          <w:sz w:val="24"/>
          <w:szCs w:val="24"/>
        </w:rPr>
        <w:t xml:space="preserve">₃ heterostructures. High-resolution XPS spectra of (b) Bi 4f, (c) S 2p, and (d) Au 4f in </w:t>
      </w:r>
      <w:proofErr w:type="spellStart"/>
      <w:r w:rsidRPr="00944C36">
        <w:rPr>
          <w:rFonts w:ascii="Times New Roman" w:eastAsia="等线" w:hAnsi="Times New Roman" w:cs="Times New Roman"/>
          <w:sz w:val="24"/>
          <w:szCs w:val="24"/>
        </w:rPr>
        <w:t>Au-Bi₂S</w:t>
      </w:r>
      <w:proofErr w:type="spellEnd"/>
      <w:r w:rsidRPr="00944C36">
        <w:rPr>
          <w:rFonts w:ascii="Times New Roman" w:eastAsia="等线" w:hAnsi="Times New Roman" w:cs="Times New Roman"/>
          <w:sz w:val="24"/>
          <w:szCs w:val="24"/>
        </w:rPr>
        <w:t xml:space="preserve">₃ composites. XPS results further confirm the successful synthesis of </w:t>
      </w:r>
      <w:proofErr w:type="spellStart"/>
      <w:r w:rsidRPr="00944C36">
        <w:rPr>
          <w:rFonts w:ascii="Times New Roman" w:eastAsia="等线" w:hAnsi="Times New Roman" w:cs="Times New Roman"/>
          <w:sz w:val="24"/>
          <w:szCs w:val="24"/>
        </w:rPr>
        <w:t>Au-Bi₂S</w:t>
      </w:r>
      <w:proofErr w:type="spellEnd"/>
      <w:r w:rsidRPr="00944C36">
        <w:rPr>
          <w:rFonts w:ascii="Times New Roman" w:eastAsia="等线" w:hAnsi="Times New Roman" w:cs="Times New Roman"/>
          <w:sz w:val="24"/>
          <w:szCs w:val="24"/>
        </w:rPr>
        <w:t>₃ heterostructures and verify the elemental valence state changes after Au modification, proving the formation of heterogeneous interfaces.</w:t>
      </w:r>
    </w:p>
    <w:p w14:paraId="0F885A38" w14:textId="77777777" w:rsidR="00A67ABD" w:rsidRDefault="00A67ABD" w:rsidP="005171E1">
      <w:pPr>
        <w:spacing w:before="120" w:after="120" w:line="288" w:lineRule="auto"/>
        <w:rPr>
          <w:rFonts w:ascii="Times New Roman" w:eastAsia="等线" w:hAnsi="Times New Roman" w:cs="Times New Roman"/>
          <w:sz w:val="24"/>
          <w:szCs w:val="24"/>
        </w:rPr>
      </w:pPr>
    </w:p>
    <w:p w14:paraId="1558D39F" w14:textId="77777777" w:rsidR="00A67ABD" w:rsidRPr="00944C36" w:rsidRDefault="00A67ABD" w:rsidP="005171E1">
      <w:pPr>
        <w:spacing w:before="120" w:after="120" w:line="288" w:lineRule="auto"/>
        <w:rPr>
          <w:rFonts w:ascii="Times New Roman" w:hAnsi="Times New Roman" w:cs="Times New Roman"/>
          <w:sz w:val="24"/>
          <w:szCs w:val="24"/>
        </w:rPr>
      </w:pPr>
    </w:p>
    <w:p w14:paraId="3728A8B0" w14:textId="11A54D25" w:rsidR="006A5EDC" w:rsidRDefault="00A67ABD" w:rsidP="006A5EDC">
      <w:pPr>
        <w:spacing w:before="120" w:after="120" w:line="288" w:lineRule="auto"/>
        <w:jc w:val="center"/>
        <w:rPr>
          <w:rFonts w:ascii="Times New Roman" w:eastAsia="等线" w:hAnsi="Times New Roman" w:cs="Times New Roman"/>
          <w:b/>
          <w:sz w:val="24"/>
          <w:szCs w:val="24"/>
        </w:rPr>
      </w:pPr>
      <w:r>
        <w:rPr>
          <w:rFonts w:ascii="Times New Roman" w:eastAsia="等线" w:hAnsi="Times New Roman" w:cs="Times New Roman"/>
          <w:b/>
          <w:noProof/>
          <w:sz w:val="24"/>
          <w:szCs w:val="24"/>
        </w:rPr>
        <w:drawing>
          <wp:inline distT="0" distB="0" distL="0" distR="0" wp14:anchorId="0D8D3C1E" wp14:editId="4101769F">
            <wp:extent cx="3599688" cy="1728216"/>
            <wp:effectExtent l="0" t="0" r="127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7"/>
                    <a:stretch>
                      <a:fillRect/>
                    </a:stretch>
                  </pic:blipFill>
                  <pic:spPr>
                    <a:xfrm>
                      <a:off x="0" y="0"/>
                      <a:ext cx="3599688" cy="1728216"/>
                    </a:xfrm>
                    <a:prstGeom prst="rect">
                      <a:avLst/>
                    </a:prstGeom>
                  </pic:spPr>
                </pic:pic>
              </a:graphicData>
            </a:graphic>
          </wp:inline>
        </w:drawing>
      </w:r>
    </w:p>
    <w:p w14:paraId="71EE106F" w14:textId="45F4BE9D" w:rsidR="00DD081C" w:rsidRDefault="00636F11" w:rsidP="005171E1">
      <w:pPr>
        <w:spacing w:before="120" w:after="120" w:line="288" w:lineRule="auto"/>
        <w:rPr>
          <w:rFonts w:ascii="Times New Roman" w:eastAsia="等线" w:hAnsi="Times New Roman" w:cs="Times New Roman"/>
          <w:sz w:val="24"/>
          <w:szCs w:val="24"/>
        </w:rPr>
      </w:pPr>
      <w:r w:rsidRPr="00944C36">
        <w:rPr>
          <w:rFonts w:ascii="Times New Roman" w:eastAsia="等线" w:hAnsi="Times New Roman" w:cs="Times New Roman"/>
          <w:b/>
          <w:sz w:val="24"/>
          <w:szCs w:val="24"/>
        </w:rPr>
        <w:t>Figure S2. Macroscopic and microscopic morphology of ABC microneedle arrays.</w:t>
      </w:r>
      <w:r w:rsidRPr="00944C36">
        <w:rPr>
          <w:rFonts w:ascii="Times New Roman" w:eastAsia="等线" w:hAnsi="Times New Roman" w:cs="Times New Roman"/>
          <w:sz w:val="24"/>
          <w:szCs w:val="24"/>
        </w:rPr>
        <w:t xml:space="preserve"> (a) Low-magnification SEM image of large-area ABC microneedle array, showing highly ordered and uniform needle structure. (b) Side-view SEM image of a single ABC microneedle, confirming sharp tip and complete structure suitable for skin penetration.</w:t>
      </w:r>
    </w:p>
    <w:p w14:paraId="261AB525" w14:textId="77777777" w:rsidR="00A67ABD" w:rsidRDefault="00A67ABD" w:rsidP="005171E1">
      <w:pPr>
        <w:spacing w:before="120" w:after="120" w:line="288" w:lineRule="auto"/>
        <w:rPr>
          <w:rFonts w:ascii="Times New Roman" w:eastAsia="等线" w:hAnsi="Times New Roman" w:cs="Times New Roman"/>
          <w:sz w:val="24"/>
          <w:szCs w:val="24"/>
        </w:rPr>
      </w:pPr>
    </w:p>
    <w:p w14:paraId="57C53C31" w14:textId="77777777" w:rsidR="00A67ABD" w:rsidRDefault="00A67ABD" w:rsidP="005171E1">
      <w:pPr>
        <w:spacing w:before="120" w:after="120" w:line="288" w:lineRule="auto"/>
        <w:rPr>
          <w:rFonts w:ascii="Times New Roman" w:eastAsia="等线" w:hAnsi="Times New Roman" w:cs="Times New Roman"/>
          <w:sz w:val="24"/>
          <w:szCs w:val="24"/>
        </w:rPr>
      </w:pPr>
    </w:p>
    <w:p w14:paraId="594156D7" w14:textId="6703F895" w:rsidR="00A50652" w:rsidRPr="00944C36" w:rsidRDefault="00D3579B" w:rsidP="00EA642B">
      <w:pPr>
        <w:spacing w:before="120" w:after="120" w:line="288" w:lineRule="auto"/>
        <w:jc w:val="center"/>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1E645B06" wp14:editId="74CF80C3">
            <wp:extent cx="3906520" cy="1894427"/>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 S3.jpg"/>
                    <pic:cNvPicPr/>
                  </pic:nvPicPr>
                  <pic:blipFill rotWithShape="1">
                    <a:blip r:embed="rId8"/>
                    <a:srcRect l="14767" t="2349" r="11119" b="5155"/>
                    <a:stretch/>
                  </pic:blipFill>
                  <pic:spPr bwMode="auto">
                    <a:xfrm>
                      <a:off x="0" y="0"/>
                      <a:ext cx="3908476" cy="1895376"/>
                    </a:xfrm>
                    <a:prstGeom prst="rect">
                      <a:avLst/>
                    </a:prstGeom>
                    <a:ln>
                      <a:noFill/>
                    </a:ln>
                    <a:extLst>
                      <a:ext uri="{53640926-AAD7-44D8-BBD7-CCE9431645EC}">
                        <a14:shadowObscured xmlns:a14="http://schemas.microsoft.com/office/drawing/2010/main"/>
                      </a:ext>
                    </a:extLst>
                  </pic:spPr>
                </pic:pic>
              </a:graphicData>
            </a:graphic>
          </wp:inline>
        </w:drawing>
      </w:r>
    </w:p>
    <w:p w14:paraId="23E905C8" w14:textId="35A83296" w:rsidR="00DD081C" w:rsidRDefault="00636F11" w:rsidP="005171E1">
      <w:pPr>
        <w:spacing w:before="120" w:after="120" w:line="288" w:lineRule="auto"/>
        <w:rPr>
          <w:rFonts w:ascii="Times New Roman" w:eastAsia="等线" w:hAnsi="Times New Roman" w:cs="Times New Roman"/>
          <w:sz w:val="24"/>
          <w:szCs w:val="24"/>
        </w:rPr>
      </w:pPr>
      <w:r w:rsidRPr="00944C36">
        <w:rPr>
          <w:rFonts w:ascii="Times New Roman" w:eastAsia="等线" w:hAnsi="Times New Roman" w:cs="Times New Roman"/>
          <w:b/>
          <w:sz w:val="24"/>
          <w:szCs w:val="24"/>
        </w:rPr>
        <w:t xml:space="preserve">Figure S3. </w:t>
      </w:r>
      <w:proofErr w:type="spellStart"/>
      <w:r w:rsidRPr="00944C36">
        <w:rPr>
          <w:rFonts w:ascii="Times New Roman" w:eastAsia="等线" w:hAnsi="Times New Roman" w:cs="Times New Roman"/>
          <w:b/>
          <w:sz w:val="24"/>
          <w:szCs w:val="24"/>
        </w:rPr>
        <w:t>Piezoresponse</w:t>
      </w:r>
      <w:proofErr w:type="spellEnd"/>
      <w:r w:rsidRPr="00944C36">
        <w:rPr>
          <w:rFonts w:ascii="Times New Roman" w:eastAsia="等线" w:hAnsi="Times New Roman" w:cs="Times New Roman"/>
          <w:b/>
          <w:sz w:val="24"/>
          <w:szCs w:val="24"/>
        </w:rPr>
        <w:t xml:space="preserve"> performance of </w:t>
      </w:r>
      <w:proofErr w:type="spellStart"/>
      <w:r w:rsidRPr="00944C36">
        <w:rPr>
          <w:rFonts w:ascii="Times New Roman" w:eastAsia="等线" w:hAnsi="Times New Roman" w:cs="Times New Roman"/>
          <w:b/>
          <w:sz w:val="24"/>
          <w:szCs w:val="24"/>
        </w:rPr>
        <w:t>Bi₂S</w:t>
      </w:r>
      <w:proofErr w:type="spellEnd"/>
      <w:r w:rsidRPr="00944C36">
        <w:rPr>
          <w:rFonts w:ascii="Times New Roman" w:eastAsia="等线" w:hAnsi="Times New Roman" w:cs="Times New Roman"/>
          <w:b/>
          <w:sz w:val="24"/>
          <w:szCs w:val="24"/>
        </w:rPr>
        <w:t xml:space="preserve">₃ and </w:t>
      </w:r>
      <w:proofErr w:type="spellStart"/>
      <w:r w:rsidRPr="00944C36">
        <w:rPr>
          <w:rFonts w:ascii="Times New Roman" w:eastAsia="等线" w:hAnsi="Times New Roman" w:cs="Times New Roman"/>
          <w:b/>
          <w:sz w:val="24"/>
          <w:szCs w:val="24"/>
        </w:rPr>
        <w:t>Au-Bi₂S</w:t>
      </w:r>
      <w:proofErr w:type="spellEnd"/>
      <w:r w:rsidRPr="00944C36">
        <w:rPr>
          <w:rFonts w:ascii="Times New Roman" w:eastAsia="等线" w:hAnsi="Times New Roman" w:cs="Times New Roman"/>
          <w:b/>
          <w:sz w:val="24"/>
          <w:szCs w:val="24"/>
        </w:rPr>
        <w:t>₃ nanomaterials.</w:t>
      </w:r>
      <w:r w:rsidRPr="00944C36">
        <w:rPr>
          <w:rFonts w:ascii="Times New Roman" w:eastAsia="等线" w:hAnsi="Times New Roman" w:cs="Times New Roman"/>
          <w:sz w:val="24"/>
          <w:szCs w:val="24"/>
        </w:rPr>
        <w:t xml:space="preserve"> (a) PFM phase hysteresis loops and (b) amplitude curves of pure </w:t>
      </w:r>
      <w:proofErr w:type="spellStart"/>
      <w:r w:rsidRPr="00944C36">
        <w:rPr>
          <w:rFonts w:ascii="Times New Roman" w:eastAsia="等线" w:hAnsi="Times New Roman" w:cs="Times New Roman"/>
          <w:sz w:val="24"/>
          <w:szCs w:val="24"/>
        </w:rPr>
        <w:t>Bi₂S</w:t>
      </w:r>
      <w:proofErr w:type="spellEnd"/>
      <w:r w:rsidRPr="00944C36">
        <w:rPr>
          <w:rFonts w:ascii="Times New Roman" w:eastAsia="等线" w:hAnsi="Times New Roman" w:cs="Times New Roman"/>
          <w:sz w:val="24"/>
          <w:szCs w:val="24"/>
        </w:rPr>
        <w:t xml:space="preserve">₃ and </w:t>
      </w:r>
      <w:proofErr w:type="spellStart"/>
      <w:r w:rsidRPr="00944C36">
        <w:rPr>
          <w:rFonts w:ascii="Times New Roman" w:eastAsia="等线" w:hAnsi="Times New Roman" w:cs="Times New Roman"/>
          <w:sz w:val="24"/>
          <w:szCs w:val="24"/>
        </w:rPr>
        <w:t>Au-Bi₂S</w:t>
      </w:r>
      <w:proofErr w:type="spellEnd"/>
      <w:r w:rsidRPr="00944C36">
        <w:rPr>
          <w:rFonts w:ascii="Times New Roman" w:eastAsia="等线" w:hAnsi="Times New Roman" w:cs="Times New Roman"/>
          <w:sz w:val="24"/>
          <w:szCs w:val="24"/>
        </w:rPr>
        <w:t xml:space="preserve">₃ under applied voltage. </w:t>
      </w:r>
      <w:proofErr w:type="spellStart"/>
      <w:r w:rsidRPr="00944C36">
        <w:rPr>
          <w:rFonts w:ascii="Times New Roman" w:eastAsia="等线" w:hAnsi="Times New Roman" w:cs="Times New Roman"/>
          <w:sz w:val="24"/>
          <w:szCs w:val="24"/>
        </w:rPr>
        <w:t>Au-Bi₂S</w:t>
      </w:r>
      <w:proofErr w:type="spellEnd"/>
      <w:r w:rsidRPr="00944C36">
        <w:rPr>
          <w:rFonts w:ascii="Times New Roman" w:eastAsia="等线" w:hAnsi="Times New Roman" w:cs="Times New Roman"/>
          <w:sz w:val="24"/>
          <w:szCs w:val="24"/>
        </w:rPr>
        <w:t xml:space="preserve">₃ exhibits significantly enhanced </w:t>
      </w:r>
      <w:proofErr w:type="spellStart"/>
      <w:r w:rsidRPr="00944C36">
        <w:rPr>
          <w:rFonts w:ascii="Times New Roman" w:eastAsia="等线" w:hAnsi="Times New Roman" w:cs="Times New Roman"/>
          <w:sz w:val="24"/>
          <w:szCs w:val="24"/>
        </w:rPr>
        <w:t>piezoresponse</w:t>
      </w:r>
      <w:proofErr w:type="spellEnd"/>
      <w:r w:rsidRPr="00944C36">
        <w:rPr>
          <w:rFonts w:ascii="Times New Roman" w:eastAsia="等线" w:hAnsi="Times New Roman" w:cs="Times New Roman"/>
          <w:sz w:val="24"/>
          <w:szCs w:val="24"/>
        </w:rPr>
        <w:t xml:space="preserve"> amplitude and better piezoelectric polarization performance, which is attributed to the Schottky junction-induced charge separation effect.</w:t>
      </w:r>
    </w:p>
    <w:p w14:paraId="3D4DBE37" w14:textId="77777777" w:rsidR="00A67ABD" w:rsidRDefault="00A67ABD" w:rsidP="005171E1">
      <w:pPr>
        <w:spacing w:before="120" w:after="120" w:line="288" w:lineRule="auto"/>
        <w:rPr>
          <w:rFonts w:ascii="Times New Roman" w:eastAsia="等线" w:hAnsi="Times New Roman" w:cs="Times New Roman"/>
          <w:sz w:val="24"/>
          <w:szCs w:val="24"/>
        </w:rPr>
      </w:pPr>
    </w:p>
    <w:p w14:paraId="5AA728F2" w14:textId="77777777" w:rsidR="00A67ABD" w:rsidRDefault="00A67ABD" w:rsidP="005171E1">
      <w:pPr>
        <w:spacing w:before="120" w:after="120" w:line="288" w:lineRule="auto"/>
        <w:rPr>
          <w:rFonts w:ascii="Times New Roman" w:eastAsia="等线" w:hAnsi="Times New Roman" w:cs="Times New Roman"/>
          <w:sz w:val="24"/>
          <w:szCs w:val="24"/>
        </w:rPr>
      </w:pPr>
    </w:p>
    <w:p w14:paraId="10A9629C" w14:textId="71F9A569" w:rsidR="00A50652" w:rsidRPr="00944C36" w:rsidRDefault="00D3579B" w:rsidP="00EA642B">
      <w:pPr>
        <w:spacing w:before="120" w:after="120" w:line="288" w:lineRule="auto"/>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114B9FA3" wp14:editId="49A2BFC5">
            <wp:extent cx="2314073" cy="1775897"/>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 S4.jpg"/>
                    <pic:cNvPicPr/>
                  </pic:nvPicPr>
                  <pic:blipFill rotWithShape="1">
                    <a:blip r:embed="rId9"/>
                    <a:srcRect l="18260" t="8143" r="37840"/>
                    <a:stretch/>
                  </pic:blipFill>
                  <pic:spPr bwMode="auto">
                    <a:xfrm>
                      <a:off x="0" y="0"/>
                      <a:ext cx="2315127" cy="1776706"/>
                    </a:xfrm>
                    <a:prstGeom prst="rect">
                      <a:avLst/>
                    </a:prstGeom>
                    <a:ln>
                      <a:noFill/>
                    </a:ln>
                    <a:extLst>
                      <a:ext uri="{53640926-AAD7-44D8-BBD7-CCE9431645EC}">
                        <a14:shadowObscured xmlns:a14="http://schemas.microsoft.com/office/drawing/2010/main"/>
                      </a:ext>
                    </a:extLst>
                  </pic:spPr>
                </pic:pic>
              </a:graphicData>
            </a:graphic>
          </wp:inline>
        </w:drawing>
      </w:r>
    </w:p>
    <w:p w14:paraId="791E642B" w14:textId="4D38C467" w:rsidR="00DD081C" w:rsidRDefault="00636F11" w:rsidP="005171E1">
      <w:pPr>
        <w:spacing w:before="120" w:after="120" w:line="288" w:lineRule="auto"/>
        <w:rPr>
          <w:rFonts w:ascii="Times New Roman" w:eastAsia="等线" w:hAnsi="Times New Roman" w:cs="Times New Roman"/>
          <w:sz w:val="24"/>
          <w:szCs w:val="24"/>
        </w:rPr>
      </w:pPr>
      <w:r w:rsidRPr="00944C36">
        <w:rPr>
          <w:rFonts w:ascii="Times New Roman" w:eastAsia="等线" w:hAnsi="Times New Roman" w:cs="Times New Roman"/>
          <w:b/>
          <w:sz w:val="24"/>
          <w:szCs w:val="24"/>
        </w:rPr>
        <w:t>Figure S4. Time-dependent cumulative release curve of CGRP from ABC microneedles.</w:t>
      </w:r>
      <w:r w:rsidRPr="00944C36">
        <w:rPr>
          <w:rFonts w:ascii="Times New Roman" w:eastAsia="等线" w:hAnsi="Times New Roman" w:cs="Times New Roman"/>
          <w:sz w:val="24"/>
          <w:szCs w:val="24"/>
        </w:rPr>
        <w:t xml:space="preserve"> CGRP release behavior of ABC microneedles incubated in pure PBS and collagenase-containing PBS within 96 h. The release rate of CGRP is significantly accelerated in the protease-containing microenvironment, verifying the protease-responsive controlled release property of the hydrogel microneedle matrix.</w:t>
      </w:r>
    </w:p>
    <w:p w14:paraId="35859E3B" w14:textId="77777777" w:rsidR="00A67ABD" w:rsidRDefault="00A67ABD" w:rsidP="005171E1">
      <w:pPr>
        <w:spacing w:before="120" w:after="120" w:line="288" w:lineRule="auto"/>
        <w:rPr>
          <w:rFonts w:ascii="Times New Roman" w:eastAsia="等线" w:hAnsi="Times New Roman" w:cs="Times New Roman"/>
          <w:sz w:val="24"/>
          <w:szCs w:val="24"/>
        </w:rPr>
      </w:pPr>
    </w:p>
    <w:p w14:paraId="392C5A53" w14:textId="77777777" w:rsidR="00A67ABD" w:rsidRDefault="00A67ABD" w:rsidP="005171E1">
      <w:pPr>
        <w:spacing w:before="120" w:after="120" w:line="288" w:lineRule="auto"/>
        <w:rPr>
          <w:rFonts w:ascii="Times New Roman" w:eastAsia="等线" w:hAnsi="Times New Roman" w:cs="Times New Roman"/>
          <w:sz w:val="24"/>
          <w:szCs w:val="24"/>
        </w:rPr>
      </w:pPr>
    </w:p>
    <w:p w14:paraId="7BD098B4" w14:textId="77777777" w:rsidR="00A67ABD" w:rsidRDefault="00A67ABD" w:rsidP="005171E1">
      <w:pPr>
        <w:spacing w:before="120" w:after="120" w:line="288" w:lineRule="auto"/>
        <w:rPr>
          <w:rFonts w:ascii="Times New Roman" w:eastAsia="等线" w:hAnsi="Times New Roman" w:cs="Times New Roman"/>
          <w:sz w:val="24"/>
          <w:szCs w:val="24"/>
        </w:rPr>
      </w:pPr>
    </w:p>
    <w:p w14:paraId="15D37312" w14:textId="3885F592" w:rsidR="00A50652" w:rsidRPr="00944C36" w:rsidRDefault="00D3579B" w:rsidP="00490166">
      <w:pPr>
        <w:spacing w:before="120" w:after="120" w:line="288" w:lineRule="auto"/>
        <w:jc w:val="center"/>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062AB55D" wp14:editId="3EC71286">
            <wp:extent cx="3819480" cy="149161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 S5.jpg"/>
                    <pic:cNvPicPr/>
                  </pic:nvPicPr>
                  <pic:blipFill rotWithShape="1">
                    <a:blip r:embed="rId10"/>
                    <a:srcRect l="8051" t="4651" r="19477" b="7216"/>
                    <a:stretch/>
                  </pic:blipFill>
                  <pic:spPr bwMode="auto">
                    <a:xfrm>
                      <a:off x="0" y="0"/>
                      <a:ext cx="3821961" cy="1492584"/>
                    </a:xfrm>
                    <a:prstGeom prst="rect">
                      <a:avLst/>
                    </a:prstGeom>
                    <a:ln>
                      <a:noFill/>
                    </a:ln>
                    <a:extLst>
                      <a:ext uri="{53640926-AAD7-44D8-BBD7-CCE9431645EC}">
                        <a14:shadowObscured xmlns:a14="http://schemas.microsoft.com/office/drawing/2010/main"/>
                      </a:ext>
                    </a:extLst>
                  </pic:spPr>
                </pic:pic>
              </a:graphicData>
            </a:graphic>
          </wp:inline>
        </w:drawing>
      </w:r>
    </w:p>
    <w:p w14:paraId="536ED4B4" w14:textId="6BF2303C" w:rsidR="00DD081C" w:rsidRDefault="00636F11" w:rsidP="005171E1">
      <w:pPr>
        <w:spacing w:before="120" w:after="120" w:line="288" w:lineRule="auto"/>
        <w:rPr>
          <w:rFonts w:ascii="Times New Roman" w:eastAsia="等线" w:hAnsi="Times New Roman" w:cs="Times New Roman"/>
          <w:sz w:val="24"/>
          <w:szCs w:val="24"/>
        </w:rPr>
      </w:pPr>
      <w:r w:rsidRPr="00944C36">
        <w:rPr>
          <w:rFonts w:ascii="Times New Roman" w:eastAsia="等线" w:hAnsi="Times New Roman" w:cs="Times New Roman"/>
          <w:b/>
          <w:sz w:val="24"/>
          <w:szCs w:val="24"/>
        </w:rPr>
        <w:t>Figure S5. Mitochondrial superoxide level of PC12 cells after different treatments.</w:t>
      </w:r>
      <w:r w:rsidRPr="00944C36">
        <w:rPr>
          <w:rFonts w:ascii="Times New Roman" w:eastAsia="等线" w:hAnsi="Times New Roman" w:cs="Times New Roman"/>
          <w:sz w:val="24"/>
          <w:szCs w:val="24"/>
        </w:rPr>
        <w:t xml:space="preserve"> (a) Representative </w:t>
      </w:r>
      <w:proofErr w:type="spellStart"/>
      <w:r w:rsidRPr="00944C36">
        <w:rPr>
          <w:rFonts w:ascii="Times New Roman" w:eastAsia="等线" w:hAnsi="Times New Roman" w:cs="Times New Roman"/>
          <w:sz w:val="24"/>
          <w:szCs w:val="24"/>
        </w:rPr>
        <w:t>MitoSOX</w:t>
      </w:r>
      <w:proofErr w:type="spellEnd"/>
      <w:r w:rsidRPr="00944C36">
        <w:rPr>
          <w:rFonts w:ascii="Times New Roman" w:eastAsia="等线" w:hAnsi="Times New Roman" w:cs="Times New Roman"/>
          <w:sz w:val="24"/>
          <w:szCs w:val="24"/>
        </w:rPr>
        <w:t xml:space="preserve"> fluorescence staining images of PC12 cells in each group. (b) Quantitative analysis of </w:t>
      </w:r>
      <w:proofErr w:type="spellStart"/>
      <w:r w:rsidRPr="00944C36">
        <w:rPr>
          <w:rFonts w:ascii="Times New Roman" w:eastAsia="等线" w:hAnsi="Times New Roman" w:cs="Times New Roman"/>
          <w:sz w:val="24"/>
          <w:szCs w:val="24"/>
        </w:rPr>
        <w:t>MitoSOX</w:t>
      </w:r>
      <w:proofErr w:type="spellEnd"/>
      <w:r w:rsidRPr="00944C36">
        <w:rPr>
          <w:rFonts w:ascii="Times New Roman" w:eastAsia="等线" w:hAnsi="Times New Roman" w:cs="Times New Roman"/>
          <w:sz w:val="24"/>
          <w:szCs w:val="24"/>
        </w:rPr>
        <w:t>-positive cell proportion. ABC needle + US treatment significantly reduces mitochondrial superoxide accumulation and alleviates bacterial infection-induced mitochondrial oxidative damage.</w:t>
      </w:r>
    </w:p>
    <w:p w14:paraId="03628B37" w14:textId="77777777" w:rsidR="00A67ABD" w:rsidRDefault="00A67ABD" w:rsidP="005171E1">
      <w:pPr>
        <w:spacing w:before="120" w:after="120" w:line="288" w:lineRule="auto"/>
        <w:rPr>
          <w:rFonts w:ascii="Times New Roman" w:eastAsia="等线" w:hAnsi="Times New Roman" w:cs="Times New Roman"/>
          <w:sz w:val="24"/>
          <w:szCs w:val="24"/>
        </w:rPr>
      </w:pPr>
    </w:p>
    <w:p w14:paraId="2C1C2310" w14:textId="77777777" w:rsidR="00A67ABD" w:rsidRDefault="00A67ABD" w:rsidP="005171E1">
      <w:pPr>
        <w:spacing w:before="120" w:after="120" w:line="288" w:lineRule="auto"/>
        <w:rPr>
          <w:rFonts w:ascii="Times New Roman" w:eastAsia="等线" w:hAnsi="Times New Roman" w:cs="Times New Roman"/>
          <w:sz w:val="24"/>
          <w:szCs w:val="24"/>
        </w:rPr>
      </w:pPr>
    </w:p>
    <w:p w14:paraId="3870F0E9" w14:textId="77777777" w:rsidR="00A67ABD" w:rsidRDefault="00A67ABD" w:rsidP="005171E1">
      <w:pPr>
        <w:spacing w:before="120" w:after="120" w:line="288" w:lineRule="auto"/>
        <w:rPr>
          <w:rFonts w:ascii="Times New Roman" w:eastAsia="等线" w:hAnsi="Times New Roman" w:cs="Times New Roman"/>
          <w:sz w:val="24"/>
          <w:szCs w:val="24"/>
        </w:rPr>
      </w:pPr>
    </w:p>
    <w:p w14:paraId="45315E90" w14:textId="491465F6" w:rsidR="00A50652" w:rsidRPr="00944C36" w:rsidRDefault="00D3579B" w:rsidP="00490166">
      <w:pPr>
        <w:spacing w:before="120" w:after="120" w:line="288" w:lineRule="auto"/>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2E986DC1" wp14:editId="3659C4EA">
            <wp:extent cx="5083518" cy="1209588"/>
            <wp:effectExtent l="0" t="0" r="317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 S6.jpg"/>
                    <pic:cNvPicPr/>
                  </pic:nvPicPr>
                  <pic:blipFill rotWithShape="1">
                    <a:blip r:embed="rId11"/>
                    <a:srcRect l="1161" r="2437"/>
                    <a:stretch/>
                  </pic:blipFill>
                  <pic:spPr bwMode="auto">
                    <a:xfrm>
                      <a:off x="0" y="0"/>
                      <a:ext cx="5083885" cy="1209675"/>
                    </a:xfrm>
                    <a:prstGeom prst="rect">
                      <a:avLst/>
                    </a:prstGeom>
                    <a:ln>
                      <a:noFill/>
                    </a:ln>
                    <a:extLst>
                      <a:ext uri="{53640926-AAD7-44D8-BBD7-CCE9431645EC}">
                        <a14:shadowObscured xmlns:a14="http://schemas.microsoft.com/office/drawing/2010/main"/>
                      </a:ext>
                    </a:extLst>
                  </pic:spPr>
                </pic:pic>
              </a:graphicData>
            </a:graphic>
          </wp:inline>
        </w:drawing>
      </w:r>
    </w:p>
    <w:p w14:paraId="581E754B" w14:textId="10E9E2D8" w:rsidR="00DD081C" w:rsidRDefault="00636F11" w:rsidP="005171E1">
      <w:pPr>
        <w:spacing w:before="120" w:after="120" w:line="288" w:lineRule="auto"/>
        <w:rPr>
          <w:rFonts w:ascii="Times New Roman" w:eastAsia="等线" w:hAnsi="Times New Roman" w:cs="Times New Roman"/>
          <w:sz w:val="24"/>
          <w:szCs w:val="24"/>
        </w:rPr>
      </w:pPr>
      <w:r w:rsidRPr="00944C36">
        <w:rPr>
          <w:rFonts w:ascii="Times New Roman" w:eastAsia="等线" w:hAnsi="Times New Roman" w:cs="Times New Roman"/>
          <w:b/>
          <w:sz w:val="24"/>
          <w:szCs w:val="24"/>
        </w:rPr>
        <w:t>Figure S6. Transcriptional clustering analysis of PC12 cell samples.</w:t>
      </w:r>
      <w:r w:rsidRPr="00944C36">
        <w:rPr>
          <w:rFonts w:ascii="Times New Roman" w:eastAsia="等线" w:hAnsi="Times New Roman" w:cs="Times New Roman"/>
          <w:sz w:val="24"/>
          <w:szCs w:val="24"/>
        </w:rPr>
        <w:t xml:space="preserve"> Unsupervised hierarchical clustering heatmap of all differentially expressed genes in control, </w:t>
      </w:r>
      <w:r w:rsidRPr="00944C36">
        <w:rPr>
          <w:rFonts w:ascii="Times New Roman" w:eastAsia="等线" w:hAnsi="Times New Roman" w:cs="Times New Roman"/>
          <w:i/>
          <w:sz w:val="24"/>
          <w:szCs w:val="24"/>
        </w:rPr>
        <w:t>S. aureus</w:t>
      </w:r>
      <w:r w:rsidRPr="00944C36">
        <w:rPr>
          <w:rFonts w:ascii="Times New Roman" w:eastAsia="等线" w:hAnsi="Times New Roman" w:cs="Times New Roman"/>
          <w:sz w:val="24"/>
          <w:szCs w:val="24"/>
        </w:rPr>
        <w:t>-infected, and ABC needle + US treatment groups, showing obvious transcriptional profile differences among groups and treatment-induced transcriptional reprogramming.</w:t>
      </w:r>
    </w:p>
    <w:p w14:paraId="516BAD61" w14:textId="77777777" w:rsidR="00A67ABD" w:rsidRDefault="00A67ABD" w:rsidP="005171E1">
      <w:pPr>
        <w:spacing w:before="120" w:after="120" w:line="288" w:lineRule="auto"/>
        <w:rPr>
          <w:rFonts w:ascii="Times New Roman" w:eastAsia="等线" w:hAnsi="Times New Roman" w:cs="Times New Roman"/>
          <w:sz w:val="24"/>
          <w:szCs w:val="24"/>
        </w:rPr>
      </w:pPr>
    </w:p>
    <w:p w14:paraId="02B0EBAF" w14:textId="77777777" w:rsidR="00A67ABD" w:rsidRDefault="00A67ABD" w:rsidP="005171E1">
      <w:pPr>
        <w:spacing w:before="120" w:after="120" w:line="288" w:lineRule="auto"/>
        <w:rPr>
          <w:rFonts w:ascii="Times New Roman" w:eastAsia="等线" w:hAnsi="Times New Roman" w:cs="Times New Roman"/>
          <w:sz w:val="24"/>
          <w:szCs w:val="24"/>
        </w:rPr>
      </w:pPr>
    </w:p>
    <w:p w14:paraId="502150E1" w14:textId="77777777" w:rsidR="00A67ABD" w:rsidRDefault="00A67ABD" w:rsidP="005171E1">
      <w:pPr>
        <w:spacing w:before="120" w:after="120" w:line="288" w:lineRule="auto"/>
        <w:rPr>
          <w:rFonts w:ascii="Times New Roman" w:eastAsia="等线" w:hAnsi="Times New Roman" w:cs="Times New Roman"/>
          <w:sz w:val="24"/>
          <w:szCs w:val="24"/>
        </w:rPr>
      </w:pPr>
    </w:p>
    <w:p w14:paraId="150DF07C" w14:textId="77777777" w:rsidR="00A67ABD" w:rsidRDefault="00A67ABD" w:rsidP="005171E1">
      <w:pPr>
        <w:spacing w:before="120" w:after="120" w:line="288" w:lineRule="auto"/>
        <w:rPr>
          <w:rFonts w:ascii="Times New Roman" w:eastAsia="等线" w:hAnsi="Times New Roman" w:cs="Times New Roman"/>
          <w:sz w:val="24"/>
          <w:szCs w:val="24"/>
        </w:rPr>
      </w:pPr>
    </w:p>
    <w:p w14:paraId="7FFB740F" w14:textId="77777777" w:rsidR="00A67ABD" w:rsidRDefault="00A67ABD" w:rsidP="005171E1">
      <w:pPr>
        <w:spacing w:before="120" w:after="120" w:line="288" w:lineRule="auto"/>
        <w:rPr>
          <w:rFonts w:ascii="Times New Roman" w:eastAsia="等线" w:hAnsi="Times New Roman" w:cs="Times New Roman"/>
          <w:sz w:val="24"/>
          <w:szCs w:val="24"/>
        </w:rPr>
      </w:pPr>
    </w:p>
    <w:p w14:paraId="77B0250C" w14:textId="664C4775" w:rsidR="00490166" w:rsidRPr="00944C36" w:rsidRDefault="00D3579B" w:rsidP="00490166">
      <w:pPr>
        <w:spacing w:before="120" w:after="120" w:line="288" w:lineRule="auto"/>
        <w:jc w:val="center"/>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175E3643" wp14:editId="6C492182">
            <wp:extent cx="3380740" cy="1609642"/>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 S7.jpg"/>
                    <pic:cNvPicPr/>
                  </pic:nvPicPr>
                  <pic:blipFill rotWithShape="1">
                    <a:blip r:embed="rId12"/>
                    <a:srcRect l="3983" t="4991" r="31888" b="7569"/>
                    <a:stretch/>
                  </pic:blipFill>
                  <pic:spPr bwMode="auto">
                    <a:xfrm>
                      <a:off x="0" y="0"/>
                      <a:ext cx="3381928" cy="1610208"/>
                    </a:xfrm>
                    <a:prstGeom prst="rect">
                      <a:avLst/>
                    </a:prstGeom>
                    <a:ln>
                      <a:noFill/>
                    </a:ln>
                    <a:extLst>
                      <a:ext uri="{53640926-AAD7-44D8-BBD7-CCE9431645EC}">
                        <a14:shadowObscured xmlns:a14="http://schemas.microsoft.com/office/drawing/2010/main"/>
                      </a:ext>
                    </a:extLst>
                  </pic:spPr>
                </pic:pic>
              </a:graphicData>
            </a:graphic>
          </wp:inline>
        </w:drawing>
      </w:r>
    </w:p>
    <w:p w14:paraId="17D1B4F7" w14:textId="136F6151" w:rsidR="00DD081C" w:rsidRDefault="00636F11" w:rsidP="005171E1">
      <w:pPr>
        <w:spacing w:before="120" w:after="120" w:line="288" w:lineRule="auto"/>
        <w:rPr>
          <w:rFonts w:ascii="Times New Roman" w:eastAsia="等线" w:hAnsi="Times New Roman" w:cs="Times New Roman"/>
          <w:sz w:val="24"/>
          <w:szCs w:val="24"/>
        </w:rPr>
      </w:pPr>
      <w:r w:rsidRPr="00944C36">
        <w:rPr>
          <w:rFonts w:ascii="Times New Roman" w:eastAsia="等线" w:hAnsi="Times New Roman" w:cs="Times New Roman"/>
          <w:b/>
          <w:sz w:val="24"/>
          <w:szCs w:val="24"/>
        </w:rPr>
        <w:t>Figure S7. Statistical analysis of differentially expressed genes in PC12 cells.</w:t>
      </w:r>
      <w:r w:rsidRPr="00944C36">
        <w:rPr>
          <w:rFonts w:ascii="Times New Roman" w:eastAsia="等线" w:hAnsi="Times New Roman" w:cs="Times New Roman"/>
          <w:sz w:val="24"/>
          <w:szCs w:val="24"/>
        </w:rPr>
        <w:t xml:space="preserve"> Venn diagram of DEGs among </w:t>
      </w:r>
      <w:r w:rsidR="00DB2629">
        <w:rPr>
          <w:rFonts w:ascii="Times New Roman" w:eastAsia="等线" w:hAnsi="Times New Roman" w:cs="Times New Roman"/>
          <w:sz w:val="24"/>
          <w:szCs w:val="24"/>
        </w:rPr>
        <w:t xml:space="preserve">(a) </w:t>
      </w:r>
      <w:r w:rsidRPr="00944C36">
        <w:rPr>
          <w:rFonts w:ascii="Times New Roman" w:eastAsia="等线" w:hAnsi="Times New Roman" w:cs="Times New Roman"/>
          <w:sz w:val="24"/>
          <w:szCs w:val="24"/>
        </w:rPr>
        <w:t xml:space="preserve">control </w:t>
      </w:r>
      <w:proofErr w:type="spellStart"/>
      <w:r w:rsidRPr="00944C36">
        <w:rPr>
          <w:rFonts w:ascii="Times New Roman" w:eastAsia="等线" w:hAnsi="Times New Roman" w:cs="Times New Roman"/>
          <w:sz w:val="24"/>
          <w:szCs w:val="24"/>
        </w:rPr>
        <w:t>vs</w:t>
      </w:r>
      <w:r w:rsidRPr="00944C36">
        <w:rPr>
          <w:rFonts w:ascii="Times New Roman" w:eastAsia="等线" w:hAnsi="Times New Roman" w:cs="Times New Roman"/>
          <w:i/>
          <w:sz w:val="24"/>
          <w:szCs w:val="24"/>
        </w:rPr>
        <w:t>S.</w:t>
      </w:r>
      <w:proofErr w:type="spellEnd"/>
      <w:r w:rsidRPr="00944C36">
        <w:rPr>
          <w:rFonts w:ascii="Times New Roman" w:eastAsia="等线" w:hAnsi="Times New Roman" w:cs="Times New Roman"/>
          <w:i/>
          <w:sz w:val="24"/>
          <w:szCs w:val="24"/>
        </w:rPr>
        <w:t xml:space="preserve"> aureus</w:t>
      </w:r>
      <w:r w:rsidRPr="00944C36">
        <w:rPr>
          <w:rFonts w:ascii="Times New Roman" w:eastAsia="等线" w:hAnsi="Times New Roman" w:cs="Times New Roman"/>
          <w:sz w:val="24"/>
          <w:szCs w:val="24"/>
        </w:rPr>
        <w:t xml:space="preserve"> and </w:t>
      </w:r>
      <w:r w:rsidR="00DB2629">
        <w:rPr>
          <w:rFonts w:ascii="Times New Roman" w:eastAsia="等线" w:hAnsi="Times New Roman" w:cs="Times New Roman"/>
          <w:sz w:val="24"/>
          <w:szCs w:val="24"/>
        </w:rPr>
        <w:t xml:space="preserve">(b) </w:t>
      </w:r>
      <w:r w:rsidR="00DB2629" w:rsidRPr="00944C36">
        <w:rPr>
          <w:rFonts w:ascii="Times New Roman" w:eastAsia="等线" w:hAnsi="Times New Roman" w:cs="Times New Roman"/>
          <w:sz w:val="24"/>
          <w:szCs w:val="24"/>
        </w:rPr>
        <w:t>ABC needle</w:t>
      </w:r>
      <w:r w:rsidRPr="00944C36">
        <w:rPr>
          <w:rFonts w:ascii="Times New Roman" w:eastAsia="等线" w:hAnsi="Times New Roman" w:cs="Times New Roman"/>
          <w:sz w:val="24"/>
          <w:szCs w:val="24"/>
        </w:rPr>
        <w:t xml:space="preserve"> vs ABC needle + US groups, indicating that ABC microneedle treatment can largely reverse the transcriptional disturbance caused by bacterial infection.</w:t>
      </w:r>
    </w:p>
    <w:p w14:paraId="5F4FB885" w14:textId="77777777" w:rsidR="00A67ABD" w:rsidRDefault="00A67ABD" w:rsidP="005171E1">
      <w:pPr>
        <w:spacing w:before="120" w:after="120" w:line="288" w:lineRule="auto"/>
        <w:rPr>
          <w:rFonts w:ascii="Times New Roman" w:eastAsia="等线" w:hAnsi="Times New Roman" w:cs="Times New Roman"/>
          <w:sz w:val="24"/>
          <w:szCs w:val="24"/>
        </w:rPr>
      </w:pPr>
    </w:p>
    <w:p w14:paraId="4FA74756" w14:textId="77777777" w:rsidR="00A67ABD" w:rsidRDefault="00A67ABD" w:rsidP="005171E1">
      <w:pPr>
        <w:spacing w:before="120" w:after="120" w:line="288" w:lineRule="auto"/>
        <w:rPr>
          <w:rFonts w:ascii="Times New Roman" w:eastAsia="等线" w:hAnsi="Times New Roman" w:cs="Times New Roman"/>
          <w:sz w:val="24"/>
          <w:szCs w:val="24"/>
        </w:rPr>
      </w:pPr>
    </w:p>
    <w:p w14:paraId="48789C75" w14:textId="77777777" w:rsidR="00A67ABD" w:rsidRDefault="00A67ABD" w:rsidP="005171E1">
      <w:pPr>
        <w:spacing w:before="120" w:after="120" w:line="288" w:lineRule="auto"/>
        <w:rPr>
          <w:rFonts w:ascii="Times New Roman" w:eastAsia="等线" w:hAnsi="Times New Roman" w:cs="Times New Roman"/>
          <w:sz w:val="24"/>
          <w:szCs w:val="24"/>
        </w:rPr>
      </w:pPr>
    </w:p>
    <w:p w14:paraId="4B663079" w14:textId="77777777" w:rsidR="00A67ABD" w:rsidRDefault="00A67ABD" w:rsidP="005171E1">
      <w:pPr>
        <w:spacing w:before="120" w:after="120" w:line="288" w:lineRule="auto"/>
        <w:rPr>
          <w:rFonts w:ascii="Times New Roman" w:eastAsia="等线" w:hAnsi="Times New Roman" w:cs="Times New Roman"/>
          <w:sz w:val="24"/>
          <w:szCs w:val="24"/>
        </w:rPr>
      </w:pPr>
    </w:p>
    <w:p w14:paraId="01211C64" w14:textId="77777777" w:rsidR="00A67ABD" w:rsidRDefault="00A67ABD" w:rsidP="005171E1">
      <w:pPr>
        <w:spacing w:before="120" w:after="120" w:line="288" w:lineRule="auto"/>
        <w:rPr>
          <w:rFonts w:ascii="Times New Roman" w:eastAsia="等线" w:hAnsi="Times New Roman" w:cs="Times New Roman"/>
          <w:sz w:val="24"/>
          <w:szCs w:val="24"/>
        </w:rPr>
      </w:pPr>
    </w:p>
    <w:p w14:paraId="7D339544" w14:textId="13E2DCBA" w:rsidR="00A50652" w:rsidRPr="00944C36" w:rsidRDefault="00A67ABD" w:rsidP="00E54EFF">
      <w:pPr>
        <w:spacing w:before="120" w:after="120" w:line="288" w:lineRule="auto"/>
        <w:jc w:val="center"/>
        <w:rPr>
          <w:rFonts w:ascii="Times New Roman" w:hAnsi="Times New Roman" w:cs="Times New Roman"/>
          <w:sz w:val="24"/>
          <w:szCs w:val="24"/>
        </w:rPr>
      </w:pPr>
      <w:r>
        <w:rPr>
          <w:noProof/>
          <w:szCs w:val="21"/>
        </w:rPr>
        <w:drawing>
          <wp:inline distT="0" distB="0" distL="0" distR="0" wp14:anchorId="013A7D7A" wp14:editId="2839FCF6">
            <wp:extent cx="5273675" cy="2251710"/>
            <wp:effectExtent l="0" t="0" r="317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3"/>
                    <a:stretch>
                      <a:fillRect/>
                    </a:stretch>
                  </pic:blipFill>
                  <pic:spPr>
                    <a:xfrm>
                      <a:off x="0" y="0"/>
                      <a:ext cx="5273675" cy="2251710"/>
                    </a:xfrm>
                    <a:prstGeom prst="rect">
                      <a:avLst/>
                    </a:prstGeom>
                  </pic:spPr>
                </pic:pic>
              </a:graphicData>
            </a:graphic>
          </wp:inline>
        </w:drawing>
      </w:r>
    </w:p>
    <w:p w14:paraId="381FA0F6" w14:textId="3EF241B9" w:rsidR="00DD081C" w:rsidRDefault="00636F11" w:rsidP="005171E1">
      <w:pPr>
        <w:spacing w:before="120" w:after="120" w:line="288" w:lineRule="auto"/>
        <w:rPr>
          <w:rFonts w:ascii="Times New Roman" w:eastAsia="等线" w:hAnsi="Times New Roman" w:cs="Times New Roman"/>
          <w:sz w:val="24"/>
          <w:szCs w:val="24"/>
        </w:rPr>
      </w:pPr>
      <w:r w:rsidRPr="00944C36">
        <w:rPr>
          <w:rFonts w:ascii="Times New Roman" w:eastAsia="等线" w:hAnsi="Times New Roman" w:cs="Times New Roman"/>
          <w:b/>
          <w:sz w:val="24"/>
          <w:szCs w:val="24"/>
        </w:rPr>
        <w:t>Figure S8. Full western blot images of NEFM, GAP43, CGRP and β-actin in PC12 cells.</w:t>
      </w:r>
      <w:r w:rsidRPr="00944C36">
        <w:rPr>
          <w:rFonts w:ascii="Times New Roman" w:eastAsia="等线" w:hAnsi="Times New Roman" w:cs="Times New Roman"/>
          <w:sz w:val="24"/>
          <w:szCs w:val="24"/>
        </w:rPr>
        <w:t xml:space="preserve"> Complete uncropped western blot bands corresponding to Figure 5n, verifying the consistent upregulation of neuronal regeneration and CGRP-related proteins after ABC needle + US treatment.</w:t>
      </w:r>
    </w:p>
    <w:p w14:paraId="6ED01EF6" w14:textId="2C729781" w:rsidR="00A50652" w:rsidRPr="00944C36" w:rsidRDefault="001C0394" w:rsidP="00E54EFF">
      <w:pPr>
        <w:spacing w:before="120" w:after="120" w:line="288" w:lineRule="auto"/>
        <w:jc w:val="center"/>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432B05F5" wp14:editId="105460AC">
            <wp:extent cx="2043684" cy="2043684"/>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 S9.jpg"/>
                    <pic:cNvPicPr/>
                  </pic:nvPicPr>
                  <pic:blipFill>
                    <a:blip r:embed="rId14"/>
                    <a:stretch>
                      <a:fillRect/>
                    </a:stretch>
                  </pic:blipFill>
                  <pic:spPr>
                    <a:xfrm>
                      <a:off x="0" y="0"/>
                      <a:ext cx="2043684" cy="2043684"/>
                    </a:xfrm>
                    <a:prstGeom prst="rect">
                      <a:avLst/>
                    </a:prstGeom>
                  </pic:spPr>
                </pic:pic>
              </a:graphicData>
            </a:graphic>
          </wp:inline>
        </w:drawing>
      </w:r>
    </w:p>
    <w:p w14:paraId="3098B61F" w14:textId="4140AB85" w:rsidR="00DD081C" w:rsidRDefault="00636F11" w:rsidP="005171E1">
      <w:pPr>
        <w:spacing w:before="120" w:after="120" w:line="288" w:lineRule="auto"/>
        <w:rPr>
          <w:rFonts w:ascii="Times New Roman" w:eastAsia="等线" w:hAnsi="Times New Roman" w:cs="Times New Roman"/>
          <w:sz w:val="24"/>
          <w:szCs w:val="24"/>
        </w:rPr>
      </w:pPr>
      <w:r w:rsidRPr="00944C36">
        <w:rPr>
          <w:rFonts w:ascii="Times New Roman" w:eastAsia="等线" w:hAnsi="Times New Roman" w:cs="Times New Roman"/>
          <w:b/>
          <w:sz w:val="24"/>
          <w:szCs w:val="24"/>
        </w:rPr>
        <w:t>Figure S9. Statistical curve of wound healing rate within 14 days.</w:t>
      </w:r>
      <w:r w:rsidRPr="00944C36">
        <w:rPr>
          <w:rFonts w:ascii="Times New Roman" w:eastAsia="等线" w:hAnsi="Times New Roman" w:cs="Times New Roman"/>
          <w:sz w:val="24"/>
          <w:szCs w:val="24"/>
        </w:rPr>
        <w:t xml:space="preserve"> Dynamic wound closure rate of mice in each experimental group from day 1 to day 14, showing that the ABC needle + US synergistic group has the fastest wound healing speed and the best repair effect.</w:t>
      </w:r>
    </w:p>
    <w:p w14:paraId="42E75C32" w14:textId="77777777" w:rsidR="00A67ABD" w:rsidRDefault="00A67ABD" w:rsidP="005171E1">
      <w:pPr>
        <w:spacing w:before="120" w:after="120" w:line="288" w:lineRule="auto"/>
        <w:rPr>
          <w:rFonts w:ascii="Times New Roman" w:eastAsia="等线" w:hAnsi="Times New Roman" w:cs="Times New Roman"/>
          <w:sz w:val="24"/>
          <w:szCs w:val="24"/>
        </w:rPr>
      </w:pPr>
    </w:p>
    <w:p w14:paraId="73B1EDE6" w14:textId="77777777" w:rsidR="00A67ABD" w:rsidRDefault="00A67ABD" w:rsidP="005171E1">
      <w:pPr>
        <w:spacing w:before="120" w:after="120" w:line="288" w:lineRule="auto"/>
        <w:rPr>
          <w:rFonts w:ascii="Times New Roman" w:eastAsia="等线" w:hAnsi="Times New Roman" w:cs="Times New Roman"/>
          <w:sz w:val="24"/>
          <w:szCs w:val="24"/>
        </w:rPr>
      </w:pPr>
    </w:p>
    <w:p w14:paraId="0C81D704" w14:textId="77777777" w:rsidR="00A67ABD" w:rsidRDefault="00A67ABD" w:rsidP="005171E1">
      <w:pPr>
        <w:spacing w:before="120" w:after="120" w:line="288" w:lineRule="auto"/>
        <w:rPr>
          <w:rFonts w:ascii="Times New Roman" w:eastAsia="等线" w:hAnsi="Times New Roman" w:cs="Times New Roman"/>
          <w:sz w:val="24"/>
          <w:szCs w:val="24"/>
        </w:rPr>
      </w:pPr>
    </w:p>
    <w:p w14:paraId="0277DEEB" w14:textId="77777777" w:rsidR="00A67ABD" w:rsidRDefault="00A67ABD" w:rsidP="005171E1">
      <w:pPr>
        <w:spacing w:before="120" w:after="120" w:line="288" w:lineRule="auto"/>
        <w:rPr>
          <w:rFonts w:ascii="Times New Roman" w:eastAsia="等线" w:hAnsi="Times New Roman" w:cs="Times New Roman"/>
          <w:sz w:val="24"/>
          <w:szCs w:val="24"/>
        </w:rPr>
      </w:pPr>
    </w:p>
    <w:p w14:paraId="6900D35F" w14:textId="37B2601D" w:rsidR="00A50652" w:rsidRPr="00944C36" w:rsidRDefault="002F1767" w:rsidP="00E54EFF">
      <w:pPr>
        <w:spacing w:before="120" w:after="120" w:line="288" w:lineRule="auto"/>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511E14D9" wp14:editId="362E891C">
            <wp:extent cx="5272955" cy="669393"/>
            <wp:effectExtent l="0" t="0" r="444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 S10.jpg"/>
                    <pic:cNvPicPr/>
                  </pic:nvPicPr>
                  <pic:blipFill rotWithShape="1">
                    <a:blip r:embed="rId15"/>
                    <a:srcRect t="20341" b="13434"/>
                    <a:stretch/>
                  </pic:blipFill>
                  <pic:spPr bwMode="auto">
                    <a:xfrm>
                      <a:off x="0" y="0"/>
                      <a:ext cx="5273675" cy="669484"/>
                    </a:xfrm>
                    <a:prstGeom prst="rect">
                      <a:avLst/>
                    </a:prstGeom>
                    <a:ln>
                      <a:noFill/>
                    </a:ln>
                    <a:extLst>
                      <a:ext uri="{53640926-AAD7-44D8-BBD7-CCE9431645EC}">
                        <a14:shadowObscured xmlns:a14="http://schemas.microsoft.com/office/drawing/2010/main"/>
                      </a:ext>
                    </a:extLst>
                  </pic:spPr>
                </pic:pic>
              </a:graphicData>
            </a:graphic>
          </wp:inline>
        </w:drawing>
      </w:r>
    </w:p>
    <w:p w14:paraId="245AE2B3" w14:textId="5FB9DD58" w:rsidR="00DD081C" w:rsidRDefault="00636F11" w:rsidP="005171E1">
      <w:pPr>
        <w:spacing w:before="120" w:after="120" w:line="288" w:lineRule="auto"/>
        <w:rPr>
          <w:rFonts w:ascii="Times New Roman" w:eastAsia="等线" w:hAnsi="Times New Roman" w:cs="Times New Roman"/>
          <w:sz w:val="24"/>
          <w:szCs w:val="24"/>
        </w:rPr>
      </w:pPr>
      <w:r w:rsidRPr="00944C36">
        <w:rPr>
          <w:rFonts w:ascii="Times New Roman" w:eastAsia="等线" w:hAnsi="Times New Roman" w:cs="Times New Roman"/>
          <w:b/>
          <w:sz w:val="24"/>
          <w:szCs w:val="24"/>
        </w:rPr>
        <w:t>Figure S10. Wide-field fluorescence imaging of CGRP and TRPV1 in wound tissue.</w:t>
      </w:r>
      <w:r w:rsidRPr="00944C36">
        <w:rPr>
          <w:rFonts w:ascii="Times New Roman" w:eastAsia="等线" w:hAnsi="Times New Roman" w:cs="Times New Roman"/>
          <w:sz w:val="24"/>
          <w:szCs w:val="24"/>
        </w:rPr>
        <w:t xml:space="preserve"> Large-area scanning fluorescence images of TRPV1 (green) and CGRP (magenta) in wound sections of each group, confirming that ABC needle + US treatment significantly restores the overall distribution and expression level of cutaneous sensory neuropeptide signals.</w:t>
      </w:r>
    </w:p>
    <w:p w14:paraId="26ED822F" w14:textId="77777777" w:rsidR="00A67ABD" w:rsidRDefault="00A67ABD" w:rsidP="005171E1">
      <w:pPr>
        <w:spacing w:before="120" w:after="120" w:line="288" w:lineRule="auto"/>
        <w:rPr>
          <w:rFonts w:ascii="Times New Roman" w:eastAsia="等线" w:hAnsi="Times New Roman" w:cs="Times New Roman"/>
          <w:sz w:val="24"/>
          <w:szCs w:val="24"/>
        </w:rPr>
      </w:pPr>
    </w:p>
    <w:p w14:paraId="4A4704BE" w14:textId="77777777" w:rsidR="00A67ABD" w:rsidRDefault="00A67ABD" w:rsidP="005171E1">
      <w:pPr>
        <w:spacing w:before="120" w:after="120" w:line="288" w:lineRule="auto"/>
        <w:rPr>
          <w:rFonts w:ascii="Times New Roman" w:eastAsia="等线" w:hAnsi="Times New Roman" w:cs="Times New Roman"/>
          <w:sz w:val="24"/>
          <w:szCs w:val="24"/>
        </w:rPr>
      </w:pPr>
    </w:p>
    <w:p w14:paraId="786D6024" w14:textId="6E7BC6E4" w:rsidR="00A50652" w:rsidRPr="00944C36" w:rsidRDefault="001C0394" w:rsidP="00E54EFF">
      <w:pPr>
        <w:spacing w:before="120" w:after="120" w:line="288" w:lineRule="auto"/>
        <w:jc w:val="center"/>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1D8A03AE" wp14:editId="6BEC2E05">
            <wp:extent cx="4745906" cy="2704599"/>
            <wp:effectExtent l="0" t="0" r="0" b="63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 S11.jpg"/>
                    <pic:cNvPicPr/>
                  </pic:nvPicPr>
                  <pic:blipFill rotWithShape="1">
                    <a:blip r:embed="rId16"/>
                    <a:srcRect l="3319" t="1748" r="6667"/>
                    <a:stretch/>
                  </pic:blipFill>
                  <pic:spPr bwMode="auto">
                    <a:xfrm>
                      <a:off x="0" y="0"/>
                      <a:ext cx="4747001" cy="2705223"/>
                    </a:xfrm>
                    <a:prstGeom prst="rect">
                      <a:avLst/>
                    </a:prstGeom>
                    <a:ln>
                      <a:noFill/>
                    </a:ln>
                    <a:extLst>
                      <a:ext uri="{53640926-AAD7-44D8-BBD7-CCE9431645EC}">
                        <a14:shadowObscured xmlns:a14="http://schemas.microsoft.com/office/drawing/2010/main"/>
                      </a:ext>
                    </a:extLst>
                  </pic:spPr>
                </pic:pic>
              </a:graphicData>
            </a:graphic>
          </wp:inline>
        </w:drawing>
      </w:r>
    </w:p>
    <w:p w14:paraId="779680B7" w14:textId="77777777" w:rsidR="00DD081C" w:rsidRPr="00944C36" w:rsidRDefault="00636F11" w:rsidP="005171E1">
      <w:pPr>
        <w:spacing w:before="120" w:after="120" w:line="288" w:lineRule="auto"/>
        <w:rPr>
          <w:rFonts w:ascii="Times New Roman" w:hAnsi="Times New Roman" w:cs="Times New Roman"/>
          <w:sz w:val="24"/>
          <w:szCs w:val="24"/>
        </w:rPr>
      </w:pPr>
      <w:r w:rsidRPr="00944C36">
        <w:rPr>
          <w:rFonts w:ascii="Times New Roman" w:eastAsia="等线" w:hAnsi="Times New Roman" w:cs="Times New Roman"/>
          <w:b/>
          <w:sz w:val="24"/>
          <w:szCs w:val="24"/>
        </w:rPr>
        <w:t>Figure S11. Transcriptome clustering of wound tissue samples.</w:t>
      </w:r>
      <w:r w:rsidRPr="00944C36">
        <w:rPr>
          <w:rFonts w:ascii="Times New Roman" w:eastAsia="等线" w:hAnsi="Times New Roman" w:cs="Times New Roman"/>
          <w:sz w:val="24"/>
          <w:szCs w:val="24"/>
        </w:rPr>
        <w:t xml:space="preserve"> PCA analysis of transcriptional profiles of normal skin and wound tissues in different treatment groups, demonstrating that ABC microneedle ultrasound treatment remodels the wound transcriptome into a unique repair-oriented state rather than simply restoring normal skin homeostasis.</w:t>
      </w:r>
    </w:p>
    <w:sectPr w:rsidR="00DD081C" w:rsidRPr="00944C36">
      <w:pgSz w:w="11905"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95BBC" w14:textId="77777777" w:rsidR="007B2430" w:rsidRDefault="007B2430">
      <w:r>
        <w:separator/>
      </w:r>
    </w:p>
  </w:endnote>
  <w:endnote w:type="continuationSeparator" w:id="0">
    <w:p w14:paraId="5FEF218E" w14:textId="77777777" w:rsidR="007B2430" w:rsidRDefault="007B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200F4" w14:textId="77777777" w:rsidR="007B2430" w:rsidRDefault="007B2430">
      <w:r>
        <w:separator/>
      </w:r>
    </w:p>
  </w:footnote>
  <w:footnote w:type="continuationSeparator" w:id="0">
    <w:p w14:paraId="7DED3EEB" w14:textId="77777777" w:rsidR="007B2430" w:rsidRDefault="007B24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081C"/>
    <w:rsid w:val="00155409"/>
    <w:rsid w:val="001C0394"/>
    <w:rsid w:val="002C3A16"/>
    <w:rsid w:val="002F1767"/>
    <w:rsid w:val="00490166"/>
    <w:rsid w:val="005171E1"/>
    <w:rsid w:val="005A504B"/>
    <w:rsid w:val="00636F11"/>
    <w:rsid w:val="006A5EDC"/>
    <w:rsid w:val="007175FD"/>
    <w:rsid w:val="00743BEF"/>
    <w:rsid w:val="007B2430"/>
    <w:rsid w:val="00944C36"/>
    <w:rsid w:val="00A50652"/>
    <w:rsid w:val="00A67ABD"/>
    <w:rsid w:val="00AB2E22"/>
    <w:rsid w:val="00AD249C"/>
    <w:rsid w:val="00C11C6B"/>
    <w:rsid w:val="00D27634"/>
    <w:rsid w:val="00D3579B"/>
    <w:rsid w:val="00DB2629"/>
    <w:rsid w:val="00DD081C"/>
    <w:rsid w:val="00E54EFF"/>
    <w:rsid w:val="00EA36AD"/>
    <w:rsid w:val="00EA642B"/>
    <w:rsid w:val="00F30E21"/>
    <w:rsid w:val="00F81A50"/>
    <w:rsid w:val="3A4F7FA4"/>
    <w:rsid w:val="77E20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F0AFE7"/>
  <w14:defaultImageDpi w14:val="330"/>
  <w15:docId w15:val="{6AA06262-296A-4BEB-835E-5207DEAA8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44C3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944C36"/>
    <w:rPr>
      <w:sz w:val="18"/>
      <w:szCs w:val="18"/>
    </w:rPr>
  </w:style>
  <w:style w:type="paragraph" w:styleId="a5">
    <w:name w:val="footer"/>
    <w:basedOn w:val="a"/>
    <w:link w:val="a6"/>
    <w:rsid w:val="00944C36"/>
    <w:pPr>
      <w:tabs>
        <w:tab w:val="center" w:pos="4153"/>
        <w:tab w:val="right" w:pos="8306"/>
      </w:tabs>
      <w:snapToGrid w:val="0"/>
      <w:jc w:val="left"/>
    </w:pPr>
    <w:rPr>
      <w:sz w:val="18"/>
      <w:szCs w:val="18"/>
    </w:rPr>
  </w:style>
  <w:style w:type="character" w:customStyle="1" w:styleId="a6">
    <w:name w:val="页脚 字符"/>
    <w:basedOn w:val="a0"/>
    <w:link w:val="a5"/>
    <w:rsid w:val="00944C36"/>
    <w:rPr>
      <w:sz w:val="18"/>
      <w:szCs w:val="18"/>
    </w:rPr>
  </w:style>
  <w:style w:type="character" w:styleId="a7">
    <w:name w:val="Strong"/>
    <w:basedOn w:val="a0"/>
    <w:uiPriority w:val="22"/>
    <w:qFormat/>
    <w:rsid w:val="00944C36"/>
    <w:rPr>
      <w:b/>
      <w:bCs/>
    </w:rPr>
  </w:style>
  <w:style w:type="character" w:styleId="a8">
    <w:name w:val="annotation reference"/>
    <w:basedOn w:val="a0"/>
    <w:rsid w:val="00EA642B"/>
    <w:rPr>
      <w:sz w:val="21"/>
      <w:szCs w:val="21"/>
    </w:rPr>
  </w:style>
  <w:style w:type="paragraph" w:styleId="a9">
    <w:name w:val="annotation text"/>
    <w:basedOn w:val="a"/>
    <w:link w:val="aa"/>
    <w:rsid w:val="00EA642B"/>
    <w:pPr>
      <w:jc w:val="left"/>
    </w:pPr>
  </w:style>
  <w:style w:type="character" w:customStyle="1" w:styleId="aa">
    <w:name w:val="批注文字 字符"/>
    <w:basedOn w:val="a0"/>
    <w:link w:val="a9"/>
    <w:rsid w:val="00EA642B"/>
    <w:rPr>
      <w:sz w:val="21"/>
      <w:szCs w:val="22"/>
    </w:rPr>
  </w:style>
  <w:style w:type="paragraph" w:styleId="ab">
    <w:name w:val="annotation subject"/>
    <w:basedOn w:val="a9"/>
    <w:next w:val="a9"/>
    <w:link w:val="ac"/>
    <w:rsid w:val="00EA642B"/>
    <w:rPr>
      <w:b/>
      <w:bCs/>
    </w:rPr>
  </w:style>
  <w:style w:type="character" w:customStyle="1" w:styleId="ac">
    <w:name w:val="批注主题 字符"/>
    <w:basedOn w:val="aa"/>
    <w:link w:val="ab"/>
    <w:rsid w:val="00EA642B"/>
    <w:rPr>
      <w:b/>
      <w:bCs/>
      <w:sz w:val="21"/>
      <w:szCs w:val="22"/>
    </w:rPr>
  </w:style>
  <w:style w:type="paragraph" w:styleId="ad">
    <w:name w:val="Balloon Text"/>
    <w:basedOn w:val="a"/>
    <w:link w:val="ae"/>
    <w:rsid w:val="00EA642B"/>
    <w:rPr>
      <w:sz w:val="18"/>
      <w:szCs w:val="18"/>
    </w:rPr>
  </w:style>
  <w:style w:type="character" w:customStyle="1" w:styleId="ae">
    <w:name w:val="批注框文本 字符"/>
    <w:basedOn w:val="a0"/>
    <w:link w:val="ad"/>
    <w:rsid w:val="00EA64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g"/><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image" Target="media/image10.jpg"/><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1378</TotalTime>
  <Pages>12</Pages>
  <Words>2498</Words>
  <Characters>14244</Characters>
  <Application>Microsoft Office Word</Application>
  <DocSecurity>0</DocSecurity>
  <Lines>118</Lines>
  <Paragraphs>33</Paragraphs>
  <ScaleCrop>false</ScaleCrop>
  <Company/>
  <LinksUpToDate>false</LinksUpToDate>
  <CharactersWithSpaces>16709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hua wu</cp:lastModifiedBy>
  <cp:revision>18</cp:revision>
  <dcterms:created xsi:type="dcterms:W3CDTF">2026-09-19T14:59:00Z</dcterms:created>
  <dcterms:modified xsi:type="dcterms:W3CDTF">2026-09-26T12:36:00Z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{"Label":"1","ContentProducer":"001191110102MACQD9K64010000","ProduceID":"7687261176523280700","ReservedCode1":"","ContentPropagator":"","PropagateID":"","ReservedCode2":""}</vt:lpwstr>
  </property>
  <property fmtid="{D5CDD505-2E9C-101B-9397-08002B2CF9AE}" pid="3" name="KSOProductBuildVer">
    <vt:lpwstr>2052-12.1.0.28505</vt:lpwstr>
  </property>
  <property fmtid="{D5CDD505-2E9C-101B-9397-08002B2CF9AE}" pid="4" name="ICV">
    <vt:lpwstr>9C91C59F48B84F6388266FF17B03C7F0_13</vt:lpwstr>
  </property>
</Properties>
</file>