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EC046" w14:textId="77777777" w:rsidR="00A21C15" w:rsidRPr="00F22DF0" w:rsidRDefault="00A21C15" w:rsidP="00A21C15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89092992"/>
      <w:bookmarkEnd w:id="0"/>
      <w:r w:rsidRPr="00F22DF0">
        <w:rPr>
          <w:rFonts w:ascii="Times New Roman" w:hAnsi="Times New Roman" w:cs="Times New Roman"/>
          <w:sz w:val="32"/>
          <w:szCs w:val="32"/>
        </w:rPr>
        <w:t>Supplementary Materials for</w:t>
      </w:r>
    </w:p>
    <w:p w14:paraId="12A30AAF" w14:textId="77777777" w:rsidR="00A21C15" w:rsidRPr="00F22DF0" w:rsidRDefault="00A21C15" w:rsidP="00A21C15">
      <w:pPr>
        <w:rPr>
          <w:rFonts w:ascii="Times New Roman" w:hAnsi="Times New Roman" w:cs="Times New Roman"/>
          <w:sz w:val="20"/>
          <w:szCs w:val="21"/>
        </w:rPr>
      </w:pPr>
    </w:p>
    <w:p w14:paraId="1E079FCF" w14:textId="77777777" w:rsidR="006D5F84" w:rsidRPr="00F22DF0" w:rsidRDefault="006D5F84" w:rsidP="00A21C1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2DF0">
        <w:rPr>
          <w:rFonts w:ascii="Times New Roman" w:hAnsi="Times New Roman" w:cs="Times New Roman"/>
          <w:b/>
          <w:bCs/>
          <w:sz w:val="28"/>
          <w:szCs w:val="28"/>
        </w:rPr>
        <w:t>Asynchronous crop expansions reveal spatial opportunity structures in Holocene China</w:t>
      </w:r>
    </w:p>
    <w:p w14:paraId="3755456B" w14:textId="5FC4DAB8" w:rsidR="00A21C15" w:rsidRPr="00F22DF0" w:rsidRDefault="00A21C15" w:rsidP="00A21C15">
      <w:pPr>
        <w:rPr>
          <w:rFonts w:ascii="Times New Roman" w:hAnsi="Times New Roman" w:cs="Times New Roman"/>
          <w:b/>
          <w:sz w:val="28"/>
          <w:szCs w:val="28"/>
        </w:rPr>
      </w:pPr>
      <w:r w:rsidRPr="00F22DF0">
        <w:rPr>
          <w:rFonts w:ascii="Times New Roman" w:hAnsi="Times New Roman" w:cs="Times New Roman"/>
          <w:b/>
          <w:sz w:val="28"/>
          <w:szCs w:val="28"/>
        </w:rPr>
        <w:t>This file includes:</w:t>
      </w:r>
    </w:p>
    <w:p w14:paraId="3639439A" w14:textId="2F0ADDA6" w:rsidR="00A21C15" w:rsidRPr="00F22DF0" w:rsidRDefault="00A21C15" w:rsidP="00A21C15">
      <w:pPr>
        <w:jc w:val="left"/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</w:rPr>
        <w:t>Figs S1 to S7</w:t>
      </w:r>
    </w:p>
    <w:p w14:paraId="4DE34409" w14:textId="18878253" w:rsidR="00A21C15" w:rsidRPr="00F22DF0" w:rsidRDefault="00A21C15" w:rsidP="00A21C15">
      <w:pPr>
        <w:jc w:val="left"/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</w:rPr>
        <w:t>Table S1</w:t>
      </w:r>
    </w:p>
    <w:p w14:paraId="22B5E5FD" w14:textId="77777777" w:rsidR="00A21C15" w:rsidRPr="00F22DF0" w:rsidRDefault="00A21C15" w:rsidP="00A21C15">
      <w:pPr>
        <w:jc w:val="left"/>
        <w:rPr>
          <w:rFonts w:ascii="Times New Roman" w:hAnsi="Times New Roman" w:cs="Times New Roman"/>
          <w:szCs w:val="21"/>
        </w:rPr>
      </w:pPr>
      <w:r w:rsidRPr="00F22DF0">
        <w:rPr>
          <w:rFonts w:ascii="Times New Roman" w:hAnsi="Times New Roman" w:cs="Times New Roman"/>
        </w:rPr>
        <w:t>References</w:t>
      </w:r>
    </w:p>
    <w:p w14:paraId="3744D0C9" w14:textId="77777777" w:rsidR="00A21C15" w:rsidRPr="00F22DF0" w:rsidRDefault="00A21C15" w:rsidP="00A21C15">
      <w:pPr>
        <w:jc w:val="center"/>
        <w:rPr>
          <w:rFonts w:ascii="Times New Roman" w:hAnsi="Times New Roman" w:cs="Times New Roman"/>
          <w:szCs w:val="21"/>
        </w:rPr>
      </w:pPr>
    </w:p>
    <w:p w14:paraId="077BD238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DF70AA4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225D11B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F4FF8EE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67CEFCC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A3CB455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2E9D42D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3954FD0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F5A999B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CA40CCD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F4244BD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307632A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84A5512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7F569F8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D6131BD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71F34EA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3E7BB82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A483610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A3C1F28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C0946F1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3B6DF55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D0A03DC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940EBF8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4E27BE8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F16F18B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3CA194DB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3926997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50B1F16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AA65B71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B5CD6E6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E1DEAEE" w14:textId="77777777" w:rsidR="00A21C15" w:rsidRPr="00F22DF0" w:rsidRDefault="00A21C15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158776E" w14:textId="7B0ECE25" w:rsidR="0053484C" w:rsidRPr="00F22DF0" w:rsidRDefault="001029CB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F22DF0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 Figures</w:t>
      </w:r>
    </w:p>
    <w:p w14:paraId="787DBD8F" w14:textId="4FD8A0AE" w:rsidR="0082510F" w:rsidRPr="00F22DF0" w:rsidRDefault="004B0E1C">
      <w:pPr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  <w:noProof/>
        </w:rPr>
        <w:drawing>
          <wp:inline distT="0" distB="0" distL="0" distR="0" wp14:anchorId="2B49E2ED" wp14:editId="6BA7E698">
            <wp:extent cx="5274310" cy="1661160"/>
            <wp:effectExtent l="0" t="0" r="2540" b="0"/>
            <wp:docPr id="242001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627C4" w14:textId="77777777" w:rsidR="00430196" w:rsidRPr="00F22DF0" w:rsidRDefault="00430196" w:rsidP="00430196">
      <w:pPr>
        <w:pStyle w:val="SupplementaryCaption"/>
        <w:jc w:val="both"/>
        <w:rPr>
          <w:rFonts w:eastAsiaTheme="minorEastAsia" w:cs="Times New Roman"/>
          <w:kern w:val="2"/>
          <w:sz w:val="21"/>
          <w:lang w:eastAsia="zh-CN"/>
        </w:rPr>
      </w:pPr>
      <w:r w:rsidRPr="00F22DF0">
        <w:rPr>
          <w:rFonts w:eastAsiaTheme="minorEastAsia" w:cs="Times New Roman"/>
          <w:b/>
          <w:bCs/>
          <w:kern w:val="2"/>
          <w:sz w:val="21"/>
          <w:lang w:eastAsia="zh-CN"/>
        </w:rPr>
        <w:t xml:space="preserve">Supplementary Fig. S1 | Fixed regional accessibility weights used in the diffusion kernel. </w:t>
      </w:r>
      <w:r w:rsidRPr="00F22DF0">
        <w:rPr>
          <w:rFonts w:eastAsiaTheme="minorEastAsia" w:cs="Times New Roman"/>
          <w:kern w:val="2"/>
          <w:sz w:val="21"/>
          <w:lang w:eastAsia="zh-CN"/>
        </w:rPr>
        <w:t>Maps show the fixed crop-specific regional accessibility weights used as weak spatial modifiers in the non-local diffusion kernel for millet, rice and wheat/barley. The weights represent broad prior geographic expectations, including northern dryland and Yellow River-related accessibility for millet, Yangtze and southern humid lowland accessibility for rice, and northwest–Hexi–Gansu-Qinghai–northern accessibility for wheat/barley. They are continuous and non-exclusive, and should be interpreted as weak predictive accessibility modifiers rather than predefined routes or direct reconstructions of crop transmission pathways.</w:t>
      </w:r>
    </w:p>
    <w:p w14:paraId="0A3D34C7" w14:textId="55611F2F" w:rsidR="00A16C45" w:rsidRPr="00F22DF0" w:rsidRDefault="00A16C45" w:rsidP="00430196">
      <w:pPr>
        <w:pStyle w:val="SupplementaryCaption"/>
        <w:jc w:val="both"/>
        <w:rPr>
          <w:rFonts w:eastAsiaTheme="minorEastAsia" w:cs="Times New Roman"/>
          <w:lang w:eastAsia="zh-CN"/>
        </w:rPr>
      </w:pPr>
      <w:r w:rsidRPr="00F22DF0">
        <w:rPr>
          <w:rFonts w:cs="Times New Roman"/>
          <w:noProof/>
        </w:rPr>
        <w:drawing>
          <wp:inline distT="0" distB="0" distL="0" distR="0" wp14:anchorId="691E674C" wp14:editId="4E6DAC02">
            <wp:extent cx="5273669" cy="1988573"/>
            <wp:effectExtent l="0" t="0" r="3810" b="0"/>
            <wp:docPr id="16473052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22DF0">
        <w:rPr>
          <w:rFonts w:cs="Times New Roman"/>
          <w:b/>
        </w:rPr>
        <w:t>Supplementary Fig. S</w:t>
      </w:r>
      <w:r w:rsidRPr="00F22DF0">
        <w:rPr>
          <w:rFonts w:eastAsiaTheme="minorEastAsia" w:cs="Times New Roman"/>
          <w:b/>
          <w:lang w:eastAsia="zh-CN"/>
        </w:rPr>
        <w:t>2</w:t>
      </w:r>
      <w:r w:rsidRPr="00F22DF0">
        <w:rPr>
          <w:rFonts w:cs="Times New Roman"/>
          <w:b/>
        </w:rPr>
        <w:t xml:space="preserve"> | Parameter stability and identifiability. </w:t>
      </w:r>
      <w:r w:rsidRPr="00F22DF0">
        <w:rPr>
          <w:rFonts w:cs="Times New Roman"/>
        </w:rPr>
        <w:t>a, Bootstrap support for selected model parameters. b, Pseudo-posterior support for the same parameter groups. Values range from 0 to 1 and indicate parameter support or selection stability, not environmental suitability values or crop-occurrence probabilities. "Climate profile" denotes the selected crop-specific environmental-suitability response to precipitation, P-E, NPP, temperature and lake-hydrological conditions.</w:t>
      </w:r>
    </w:p>
    <w:p w14:paraId="0149E0AE" w14:textId="77777777" w:rsidR="00A16C45" w:rsidRPr="00F22DF0" w:rsidRDefault="00A16C45">
      <w:pPr>
        <w:rPr>
          <w:rFonts w:ascii="Times New Roman" w:hAnsi="Times New Roman" w:cs="Times New Roman"/>
        </w:rPr>
      </w:pPr>
    </w:p>
    <w:p w14:paraId="7F1E03D4" w14:textId="3A290CA2" w:rsidR="0082510F" w:rsidRPr="00F22DF0" w:rsidRDefault="008F7CC6" w:rsidP="00A16C45">
      <w:pPr>
        <w:jc w:val="center"/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1FC74F" wp14:editId="64AD2300">
            <wp:extent cx="3013075" cy="2736215"/>
            <wp:effectExtent l="0" t="0" r="0" b="6985"/>
            <wp:docPr id="115347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CFDAD" w14:textId="0FB1B445" w:rsidR="0082510F" w:rsidRPr="00F22DF0" w:rsidRDefault="0082510F">
      <w:pPr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  <w:b/>
          <w:bCs/>
        </w:rPr>
        <w:t>Supplementary Fig. S</w:t>
      </w:r>
      <w:r w:rsidR="00A16C45" w:rsidRPr="00F22DF0">
        <w:rPr>
          <w:rFonts w:ascii="Times New Roman" w:hAnsi="Times New Roman" w:cs="Times New Roman"/>
          <w:b/>
          <w:bCs/>
        </w:rPr>
        <w:t>3</w:t>
      </w:r>
      <w:r w:rsidRPr="00F22DF0">
        <w:rPr>
          <w:rFonts w:ascii="Times New Roman" w:hAnsi="Times New Roman" w:cs="Times New Roman"/>
          <w:b/>
          <w:bCs/>
        </w:rPr>
        <w:t xml:space="preserve"> | Reliability diagram for one-step crop-record predictions.</w:t>
      </w:r>
      <w:r w:rsidR="00DA1ED8" w:rsidRPr="00F22DF0">
        <w:rPr>
          <w:rFonts w:ascii="Times New Roman" w:hAnsi="Times New Roman" w:cs="Times New Roman"/>
        </w:rPr>
        <w:t xml:space="preserve"> </w:t>
      </w:r>
      <w:r w:rsidRPr="00F22DF0">
        <w:rPr>
          <w:rFonts w:ascii="Times New Roman" w:hAnsi="Times New Roman" w:cs="Times New Roman"/>
        </w:rPr>
        <w:t>Reliability diagrams compare mean predicted probability with observed crop-record frequency for one-step predictions of millet, rice and wheat/barley. Candidate grid cells were grouped into predicted-probability quantile bins for each crop system because positive crop-record cells are sparse and fixed-width probability bins would concentrate most cells in the lowest bin. The dashed line indicates perfect calibration. Observed crop-record frequency generally increased with predicted probability, indicating that the model probabilities contain relative calibration information. Deviations from the perfect-calibration line show that predicted probabilities should be interpreted as relative probabilities of archaeologically visible crop-record occurrence, not as absolute probabilities of true crop cultivation or complete agricultural presence.</w:t>
      </w:r>
    </w:p>
    <w:p w14:paraId="187C01CD" w14:textId="77777777" w:rsidR="008F7CC6" w:rsidRPr="00F22DF0" w:rsidRDefault="008F7CC6" w:rsidP="008F7CC6">
      <w:pPr>
        <w:pStyle w:val="SupplementaryCaption"/>
        <w:jc w:val="center"/>
        <w:rPr>
          <w:rFonts w:eastAsiaTheme="minorEastAsia" w:cs="Times New Roman"/>
          <w:noProof/>
          <w:lang w:eastAsia="zh-CN"/>
        </w:rPr>
      </w:pPr>
      <w:r w:rsidRPr="00F22DF0">
        <w:rPr>
          <w:rFonts w:cs="Times New Roman"/>
          <w:noProof/>
        </w:rPr>
        <w:drawing>
          <wp:inline distT="0" distB="0" distL="0" distR="0" wp14:anchorId="4996E614" wp14:editId="21340B95">
            <wp:extent cx="2646045" cy="3872230"/>
            <wp:effectExtent l="0" t="0" r="1905" b="0"/>
            <wp:docPr id="5442605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5A025" w14:textId="77777777" w:rsidR="00335C2B" w:rsidRPr="00F22DF0" w:rsidRDefault="0082510F" w:rsidP="00A16C45">
      <w:pPr>
        <w:pStyle w:val="SupplementaryCaption"/>
        <w:rPr>
          <w:rFonts w:eastAsiaTheme="minorEastAsia" w:cs="Times New Roman"/>
          <w:noProof/>
          <w:lang w:eastAsia="zh-CN"/>
        </w:rPr>
      </w:pPr>
      <w:r w:rsidRPr="00F22DF0">
        <w:rPr>
          <w:rFonts w:cs="Times New Roman"/>
          <w:b/>
        </w:rPr>
        <w:lastRenderedPageBreak/>
        <w:t>Supplementary Fig. S</w:t>
      </w:r>
      <w:r w:rsidR="00A16C45" w:rsidRPr="00F22DF0">
        <w:rPr>
          <w:rFonts w:eastAsiaTheme="minorEastAsia" w:cs="Times New Roman"/>
          <w:b/>
          <w:lang w:eastAsia="zh-CN"/>
        </w:rPr>
        <w:t>4</w:t>
      </w:r>
      <w:r w:rsidRPr="00F22DF0">
        <w:rPr>
          <w:rFonts w:cs="Times New Roman"/>
          <w:b/>
        </w:rPr>
        <w:t xml:space="preserve"> | Additional robustness checks for the dynamic crop-record model.</w:t>
      </w:r>
      <w:r w:rsidR="00447BAE" w:rsidRPr="00F22DF0">
        <w:rPr>
          <w:rFonts w:eastAsiaTheme="minorEastAsia" w:cs="Times New Roman"/>
          <w:b/>
          <w:lang w:eastAsia="zh-CN"/>
        </w:rPr>
        <w:t xml:space="preserve"> </w:t>
      </w:r>
      <w:r w:rsidR="00447BAE" w:rsidRPr="00F22DF0">
        <w:rPr>
          <w:rFonts w:eastAsiaTheme="minorEastAsia" w:cs="Times New Roman"/>
          <w:bCs/>
          <w:lang w:eastAsia="zh-CN"/>
        </w:rPr>
        <w:t>a</w:t>
      </w:r>
      <w:r w:rsidRPr="00F22DF0">
        <w:rPr>
          <w:rFonts w:cs="Times New Roman"/>
        </w:rPr>
        <w:t xml:space="preserve">, Environmental-variable collinearity diagnostics. Bars show variance inflation factors (VIF) for precipitation (PRECIP), temperature (TEMP), precipitation minus evaporation (P-E), net primary productivity (NPP) and lake-hydrological variables (LAKE); the dashed line marks VIF = 5. </w:t>
      </w:r>
      <w:r w:rsidR="00447BAE" w:rsidRPr="00F22DF0">
        <w:rPr>
          <w:rFonts w:eastAsiaTheme="minorEastAsia" w:cs="Times New Roman"/>
          <w:lang w:eastAsia="zh-CN"/>
        </w:rPr>
        <w:t>b</w:t>
      </w:r>
      <w:r w:rsidRPr="00F22DF0">
        <w:rPr>
          <w:rFonts w:cs="Times New Roman"/>
        </w:rPr>
        <w:t xml:space="preserve">, Residual spatial structure. Moran's I is shown for observed records, predicted probability surfaces and residuals. </w:t>
      </w:r>
      <w:r w:rsidR="00447BAE" w:rsidRPr="00F22DF0">
        <w:rPr>
          <w:rFonts w:eastAsiaTheme="minorEastAsia" w:cs="Times New Roman"/>
          <w:lang w:eastAsia="zh-CN"/>
        </w:rPr>
        <w:t>c</w:t>
      </w:r>
      <w:r w:rsidRPr="00F22DF0">
        <w:rPr>
          <w:rFonts w:cs="Times New Roman"/>
        </w:rPr>
        <w:t>, Regional validation performance across the Yellow River-North China region, middle-lower Yangtze region and Hexi-</w:t>
      </w:r>
      <w:proofErr w:type="spellStart"/>
      <w:r w:rsidRPr="00F22DF0">
        <w:rPr>
          <w:rFonts w:cs="Times New Roman"/>
        </w:rPr>
        <w:t>Ganqing</w:t>
      </w:r>
      <w:proofErr w:type="spellEnd"/>
      <w:r w:rsidRPr="00F22DF0">
        <w:rPr>
          <w:rFonts w:cs="Times New Roman"/>
        </w:rPr>
        <w:t xml:space="preserve"> corridor. Values indicate regional mean AP. Regional AP values should be interpreted relative to their corresponding random AP baselines because AP depends on the proportion of positive records.</w:t>
      </w:r>
    </w:p>
    <w:p w14:paraId="77DD95B0" w14:textId="361E94F7" w:rsidR="0082510F" w:rsidRPr="00F22DF0" w:rsidRDefault="00335C2B" w:rsidP="00A16C45">
      <w:pPr>
        <w:pStyle w:val="SupplementaryCaption"/>
        <w:rPr>
          <w:rFonts w:eastAsiaTheme="minorEastAsia" w:cs="Times New Roman"/>
          <w:lang w:eastAsia="zh-CN"/>
        </w:rPr>
      </w:pPr>
      <w:r w:rsidRPr="00F22DF0">
        <w:rPr>
          <w:rFonts w:cs="Times New Roman"/>
          <w:noProof/>
        </w:rPr>
        <w:drawing>
          <wp:inline distT="0" distB="0" distL="0" distR="0" wp14:anchorId="409C87D1" wp14:editId="05484F03">
            <wp:extent cx="5274310" cy="1960672"/>
            <wp:effectExtent l="0" t="0" r="2540" b="1905"/>
            <wp:docPr id="13552447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6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DA6167" w14:textId="21FDEC5F" w:rsidR="008F7CC6" w:rsidRPr="00F22DF0" w:rsidRDefault="0082510F" w:rsidP="008F7CC6">
      <w:pPr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  <w:b/>
          <w:bCs/>
        </w:rPr>
        <w:t>Supplementary Fig. S</w:t>
      </w:r>
      <w:r w:rsidR="00A16C45" w:rsidRPr="00F22DF0">
        <w:rPr>
          <w:rFonts w:ascii="Times New Roman" w:hAnsi="Times New Roman" w:cs="Times New Roman"/>
          <w:b/>
          <w:bCs/>
        </w:rPr>
        <w:t>5</w:t>
      </w:r>
      <w:r w:rsidRPr="00F22DF0">
        <w:rPr>
          <w:rFonts w:ascii="Times New Roman" w:hAnsi="Times New Roman" w:cs="Times New Roman"/>
          <w:b/>
          <w:bCs/>
        </w:rPr>
        <w:t xml:space="preserve"> | Chronological Monte Carlo sensitivity of model performance.</w:t>
      </w:r>
      <w:r w:rsidR="00DA1ED8" w:rsidRPr="00F22DF0">
        <w:rPr>
          <w:rFonts w:ascii="Times New Roman" w:hAnsi="Times New Roman" w:cs="Times New Roman"/>
        </w:rPr>
        <w:t xml:space="preserve"> </w:t>
      </w:r>
      <w:r w:rsidRPr="00F22DF0">
        <w:rPr>
          <w:rFonts w:ascii="Times New Roman" w:hAnsi="Times New Roman" w:cs="Times New Roman"/>
        </w:rPr>
        <w:t>Chronological-uncertainty sensitivity was evaluated using 100 Monte Carlo iterations. AUC remained consistently high across crop systems, indicating that the spatial-ranking ability of the model was not strongly affected by plausible age perturbations. AP showed greater variability, especially for wheat/barley, reflecting the sensitivity of sparse positive records and low-sample windows to chronological reassignment.</w:t>
      </w:r>
    </w:p>
    <w:p w14:paraId="0FF7E604" w14:textId="5E4345D2" w:rsidR="00D54BCE" w:rsidRPr="00F22DF0" w:rsidRDefault="008F7CC6" w:rsidP="0082510F">
      <w:pPr>
        <w:jc w:val="center"/>
        <w:rPr>
          <w:rFonts w:ascii="Times New Roman" w:hAnsi="Times New Roman" w:cs="Times New Roman"/>
          <w:b/>
          <w:bCs/>
        </w:rPr>
      </w:pPr>
      <w:r w:rsidRPr="00F22DF0">
        <w:rPr>
          <w:rFonts w:ascii="Times New Roman" w:hAnsi="Times New Roman" w:cs="Times New Roman"/>
          <w:noProof/>
        </w:rPr>
        <w:drawing>
          <wp:inline distT="0" distB="0" distL="0" distR="0" wp14:anchorId="57BAFD32" wp14:editId="3F830A6F">
            <wp:extent cx="5274310" cy="1555346"/>
            <wp:effectExtent l="0" t="0" r="2540" b="6985"/>
            <wp:docPr id="19901389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5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B2415" w14:textId="5E60E6B4" w:rsidR="0082510F" w:rsidRPr="00F22DF0" w:rsidRDefault="0082510F">
      <w:pPr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  <w:b/>
          <w:bCs/>
        </w:rPr>
        <w:t>Supplementary Fig. S</w:t>
      </w:r>
      <w:r w:rsidR="00A16C45" w:rsidRPr="00F22DF0">
        <w:rPr>
          <w:rFonts w:ascii="Times New Roman" w:hAnsi="Times New Roman" w:cs="Times New Roman"/>
          <w:b/>
          <w:bCs/>
        </w:rPr>
        <w:t>6</w:t>
      </w:r>
      <w:r w:rsidRPr="00F22DF0">
        <w:rPr>
          <w:rFonts w:ascii="Times New Roman" w:hAnsi="Times New Roman" w:cs="Times New Roman"/>
          <w:b/>
          <w:bCs/>
        </w:rPr>
        <w:t xml:space="preserve"> | Spatiotemporal resolution sensitivity.</w:t>
      </w:r>
      <w:r w:rsidR="00DA1ED8" w:rsidRPr="00F22DF0">
        <w:rPr>
          <w:rFonts w:ascii="Times New Roman" w:hAnsi="Times New Roman" w:cs="Times New Roman"/>
        </w:rPr>
        <w:t xml:space="preserve"> </w:t>
      </w:r>
      <w:r w:rsidRPr="00F22DF0">
        <w:rPr>
          <w:rFonts w:ascii="Times New Roman" w:hAnsi="Times New Roman" w:cs="Times New Roman"/>
        </w:rPr>
        <w:t xml:space="preserve">Sensitivity tests compare model performance under the baseline setting of 300-year time windows and 0.5° grid cells with two alternative aggregation schemes: 500-year temporal aggregation and 300-year windows using 1° grid cells. </w:t>
      </w:r>
    </w:p>
    <w:p w14:paraId="28EAF78B" w14:textId="77777777" w:rsidR="0082510F" w:rsidRPr="00F22DF0" w:rsidRDefault="0082510F" w:rsidP="0082510F">
      <w:pPr>
        <w:ind w:firstLineChars="200" w:firstLine="420"/>
        <w:jc w:val="center"/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E4F39AE" wp14:editId="0064982A">
            <wp:extent cx="3645892" cy="4617720"/>
            <wp:effectExtent l="0" t="0" r="0" b="0"/>
            <wp:docPr id="11306806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145" cy="462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4AE4A" w14:textId="7DCA57E0" w:rsidR="0082510F" w:rsidRPr="00F22DF0" w:rsidRDefault="008D00BA" w:rsidP="0082510F">
      <w:pPr>
        <w:spacing w:line="240" w:lineRule="exact"/>
        <w:rPr>
          <w:rFonts w:ascii="Times New Roman" w:hAnsi="Times New Roman" w:cs="Times New Roman"/>
        </w:rPr>
      </w:pPr>
      <w:r w:rsidRPr="00F22DF0">
        <w:rPr>
          <w:rFonts w:ascii="Times New Roman" w:hAnsi="Times New Roman" w:cs="Times New Roman"/>
          <w:b/>
          <w:bCs/>
        </w:rPr>
        <w:t xml:space="preserve">Supplementary Fig. S7 </w:t>
      </w:r>
      <w:r w:rsidR="0082510F" w:rsidRPr="00F22DF0">
        <w:rPr>
          <w:rFonts w:ascii="Times New Roman" w:hAnsi="Times New Roman" w:cs="Times New Roman"/>
          <w:b/>
          <w:bCs/>
        </w:rPr>
        <w:t xml:space="preserve">| Comparison of regional paleoclimate indicators with crop record intensity. </w:t>
      </w:r>
      <w:r w:rsidR="0082510F" w:rsidRPr="00F22DF0">
        <w:rPr>
          <w:rFonts w:ascii="Times New Roman" w:hAnsi="Times New Roman" w:cs="Times New Roman"/>
        </w:rPr>
        <w:t>a, paleoclimate record locations. b, Paleoclimate indicators and crop record based on regional divisions. (a)</w:t>
      </w:r>
      <w:proofErr w:type="spellStart"/>
      <w:r w:rsidR="0082510F" w:rsidRPr="00F22DF0">
        <w:rPr>
          <w:rFonts w:ascii="Times New Roman" w:hAnsi="Times New Roman" w:cs="Times New Roman"/>
        </w:rPr>
        <w:t>Gonghai</w:t>
      </w:r>
      <w:proofErr w:type="spellEnd"/>
      <w:r w:rsidR="0082510F" w:rsidRPr="00F22DF0">
        <w:rPr>
          <w:rFonts w:ascii="Times New Roman" w:hAnsi="Times New Roman" w:cs="Times New Roman"/>
        </w:rPr>
        <w:t xml:space="preserve"> Lake precipitation</w:t>
      </w:r>
      <w:r w:rsidR="009525F4" w:rsidRPr="00F22DF0">
        <w:rPr>
          <w:rFonts w:ascii="Times New Roman" w:hAnsi="Times New Roman" w:cs="Times New Roman"/>
        </w:rPr>
        <w:t>(Chen et al.,2015)</w:t>
      </w:r>
      <w:r w:rsidR="0082510F" w:rsidRPr="00F22DF0">
        <w:rPr>
          <w:rFonts w:ascii="Times New Roman" w:hAnsi="Times New Roman" w:cs="Times New Roman"/>
        </w:rPr>
        <w:t>; (b)</w:t>
      </w:r>
      <w:proofErr w:type="spellStart"/>
      <w:r w:rsidR="0082510F" w:rsidRPr="00F22DF0">
        <w:rPr>
          <w:rFonts w:ascii="Times New Roman" w:hAnsi="Times New Roman" w:cs="Times New Roman"/>
        </w:rPr>
        <w:t>Xinjie</w:t>
      </w:r>
      <w:proofErr w:type="spellEnd"/>
      <w:r w:rsidR="0082510F" w:rsidRPr="00F22DF0">
        <w:rPr>
          <w:rFonts w:ascii="Times New Roman" w:hAnsi="Times New Roman" w:cs="Times New Roman"/>
        </w:rPr>
        <w:t xml:space="preserve"> site precipitation</w:t>
      </w:r>
      <w:r w:rsidR="009525F4" w:rsidRPr="00F22DF0">
        <w:rPr>
          <w:rFonts w:ascii="Times New Roman" w:hAnsi="Times New Roman" w:cs="Times New Roman"/>
        </w:rPr>
        <w:t>(Lu et al., 2019)</w:t>
      </w:r>
      <w:r w:rsidR="0082510F" w:rsidRPr="00F22DF0">
        <w:rPr>
          <w:rFonts w:ascii="Times New Roman" w:hAnsi="Times New Roman" w:cs="Times New Roman"/>
        </w:rPr>
        <w:t>; (c)</w:t>
      </w:r>
      <w:proofErr w:type="spellStart"/>
      <w:r w:rsidR="0082510F" w:rsidRPr="00F22DF0">
        <w:rPr>
          <w:rFonts w:ascii="Times New Roman" w:hAnsi="Times New Roman" w:cs="Times New Roman"/>
        </w:rPr>
        <w:t>Dongshiya</w:t>
      </w:r>
      <w:proofErr w:type="spellEnd"/>
      <w:r w:rsidR="0082510F" w:rsidRPr="00F22DF0">
        <w:rPr>
          <w:rFonts w:ascii="Times New Roman" w:hAnsi="Times New Roman" w:cs="Times New Roman"/>
        </w:rPr>
        <w:t xml:space="preserve"> and </w:t>
      </w:r>
      <w:proofErr w:type="spellStart"/>
      <w:r w:rsidR="0082510F" w:rsidRPr="00F22DF0">
        <w:rPr>
          <w:rFonts w:ascii="Times New Roman" w:hAnsi="Times New Roman" w:cs="Times New Roman"/>
        </w:rPr>
        <w:t>Laomu</w:t>
      </w:r>
      <w:proofErr w:type="spellEnd"/>
      <w:r w:rsidR="0082510F" w:rsidRPr="00F22DF0">
        <w:rPr>
          <w:rFonts w:ascii="Times New Roman" w:hAnsi="Times New Roman" w:cs="Times New Roman"/>
        </w:rPr>
        <w:t xml:space="preserve"> caves δ</w:t>
      </w:r>
      <w:r w:rsidR="0082510F" w:rsidRPr="00F22DF0">
        <w:rPr>
          <w:rFonts w:ascii="Times New Roman" w:hAnsi="Times New Roman" w:cs="Times New Roman"/>
          <w:vertAlign w:val="superscript"/>
        </w:rPr>
        <w:t>18</w:t>
      </w:r>
      <w:r w:rsidR="0082510F" w:rsidRPr="00F22DF0">
        <w:rPr>
          <w:rFonts w:ascii="Times New Roman" w:hAnsi="Times New Roman" w:cs="Times New Roman"/>
        </w:rPr>
        <w:t>O</w:t>
      </w:r>
      <w:r w:rsidR="009525F4" w:rsidRPr="00F22DF0">
        <w:rPr>
          <w:rFonts w:ascii="Times New Roman" w:hAnsi="Times New Roman" w:cs="Times New Roman"/>
        </w:rPr>
        <w:t>(Li et al., 2026)</w:t>
      </w:r>
      <w:r w:rsidR="0082510F" w:rsidRPr="00F22DF0">
        <w:rPr>
          <w:rFonts w:ascii="Times New Roman" w:hAnsi="Times New Roman" w:cs="Times New Roman"/>
        </w:rPr>
        <w:t>; (d)</w:t>
      </w:r>
      <w:proofErr w:type="spellStart"/>
      <w:r w:rsidR="0082510F" w:rsidRPr="00F22DF0">
        <w:rPr>
          <w:rFonts w:ascii="Times New Roman" w:hAnsi="Times New Roman" w:cs="Times New Roman"/>
        </w:rPr>
        <w:t>Daj</w:t>
      </w:r>
      <w:r w:rsidR="007E4354" w:rsidRPr="00F22DF0">
        <w:rPr>
          <w:rFonts w:ascii="Times New Roman" w:hAnsi="Times New Roman" w:cs="Times New Roman"/>
        </w:rPr>
        <w:t>iu</w:t>
      </w:r>
      <w:r w:rsidR="0082510F" w:rsidRPr="00F22DF0">
        <w:rPr>
          <w:rFonts w:ascii="Times New Roman" w:hAnsi="Times New Roman" w:cs="Times New Roman"/>
        </w:rPr>
        <w:t>hu</w:t>
      </w:r>
      <w:proofErr w:type="spellEnd"/>
      <w:r w:rsidR="0082510F" w:rsidRPr="00F22DF0">
        <w:rPr>
          <w:rFonts w:ascii="Times New Roman" w:hAnsi="Times New Roman" w:cs="Times New Roman"/>
        </w:rPr>
        <w:t xml:space="preserve"> peat precipitation</w:t>
      </w:r>
      <w:r w:rsidR="009525F4" w:rsidRPr="00F22DF0">
        <w:rPr>
          <w:rFonts w:ascii="Times New Roman" w:hAnsi="Times New Roman" w:cs="Times New Roman"/>
        </w:rPr>
        <w:t>(Sun et al., 2019)</w:t>
      </w:r>
      <w:r w:rsidR="0082510F" w:rsidRPr="00F22DF0">
        <w:rPr>
          <w:rFonts w:ascii="Times New Roman" w:hAnsi="Times New Roman" w:cs="Times New Roman"/>
        </w:rPr>
        <w:t>; (e)Dongge cave δ</w:t>
      </w:r>
      <w:r w:rsidR="0082510F" w:rsidRPr="00F22DF0">
        <w:rPr>
          <w:rFonts w:ascii="Times New Roman" w:hAnsi="Times New Roman" w:cs="Times New Roman"/>
          <w:vertAlign w:val="superscript"/>
        </w:rPr>
        <w:t>18</w:t>
      </w:r>
      <w:r w:rsidR="0082510F" w:rsidRPr="00F22DF0">
        <w:rPr>
          <w:rFonts w:ascii="Times New Roman" w:hAnsi="Times New Roman" w:cs="Times New Roman"/>
        </w:rPr>
        <w:t>O</w:t>
      </w:r>
      <w:r w:rsidR="009525F4" w:rsidRPr="00F22DF0">
        <w:rPr>
          <w:rFonts w:ascii="Times New Roman" w:hAnsi="Times New Roman" w:cs="Times New Roman"/>
        </w:rPr>
        <w:t>(Wang et al.,2015)</w:t>
      </w:r>
      <w:r w:rsidR="0082510F" w:rsidRPr="00F22DF0">
        <w:rPr>
          <w:rFonts w:ascii="Times New Roman" w:hAnsi="Times New Roman" w:cs="Times New Roman"/>
        </w:rPr>
        <w:t>; (f)</w:t>
      </w:r>
      <w:proofErr w:type="spellStart"/>
      <w:r w:rsidR="0082510F" w:rsidRPr="00F22DF0">
        <w:rPr>
          <w:rFonts w:ascii="Times New Roman" w:hAnsi="Times New Roman" w:cs="Times New Roman"/>
        </w:rPr>
        <w:t>Dahu</w:t>
      </w:r>
      <w:proofErr w:type="spellEnd"/>
      <w:r w:rsidR="0082510F" w:rsidRPr="00F22DF0">
        <w:rPr>
          <w:rFonts w:ascii="Times New Roman" w:hAnsi="Times New Roman" w:cs="Times New Roman"/>
        </w:rPr>
        <w:t xml:space="preserve"> peat precipitation</w:t>
      </w:r>
      <w:r w:rsidR="009525F4" w:rsidRPr="00F22DF0">
        <w:rPr>
          <w:rFonts w:ascii="Times New Roman" w:hAnsi="Times New Roman" w:cs="Times New Roman"/>
        </w:rPr>
        <w:t>(Xiao et al.,2007)</w:t>
      </w:r>
      <w:r w:rsidR="0082510F" w:rsidRPr="00F22DF0">
        <w:rPr>
          <w:rFonts w:ascii="Times New Roman" w:hAnsi="Times New Roman" w:cs="Times New Roman"/>
        </w:rPr>
        <w:t>; (g)</w:t>
      </w:r>
      <w:proofErr w:type="spellStart"/>
      <w:r w:rsidR="0082510F" w:rsidRPr="00F22DF0">
        <w:rPr>
          <w:rFonts w:ascii="Times New Roman" w:hAnsi="Times New Roman" w:cs="Times New Roman"/>
        </w:rPr>
        <w:t>Yanchi</w:t>
      </w:r>
      <w:proofErr w:type="spellEnd"/>
      <w:r w:rsidR="0082510F" w:rsidRPr="00F22DF0">
        <w:rPr>
          <w:rFonts w:ascii="Times New Roman" w:hAnsi="Times New Roman" w:cs="Times New Roman"/>
        </w:rPr>
        <w:t xml:space="preserve"> MS</w:t>
      </w:r>
      <w:r w:rsidR="009525F4" w:rsidRPr="00F22DF0">
        <w:rPr>
          <w:rFonts w:ascii="Times New Roman" w:hAnsi="Times New Roman" w:cs="Times New Roman"/>
        </w:rPr>
        <w:t>(Yu et al., 2006)</w:t>
      </w:r>
      <w:r w:rsidR="0082510F" w:rsidRPr="00F22DF0">
        <w:rPr>
          <w:rFonts w:ascii="Times New Roman" w:hAnsi="Times New Roman" w:cs="Times New Roman"/>
        </w:rPr>
        <w:t>; (h)</w:t>
      </w:r>
      <w:proofErr w:type="spellStart"/>
      <w:r w:rsidR="0082510F" w:rsidRPr="00F22DF0">
        <w:rPr>
          <w:rFonts w:ascii="Times New Roman" w:hAnsi="Times New Roman" w:cs="Times New Roman"/>
        </w:rPr>
        <w:t>Zhuyeze</w:t>
      </w:r>
      <w:proofErr w:type="spellEnd"/>
      <w:r w:rsidR="0082510F" w:rsidRPr="00F22DF0">
        <w:rPr>
          <w:rFonts w:ascii="Times New Roman" w:hAnsi="Times New Roman" w:cs="Times New Roman"/>
        </w:rPr>
        <w:t xml:space="preserve"> lake TOC</w:t>
      </w:r>
      <w:r w:rsidR="009525F4" w:rsidRPr="00F22DF0">
        <w:rPr>
          <w:rFonts w:ascii="Times New Roman" w:hAnsi="Times New Roman" w:cs="Times New Roman"/>
        </w:rPr>
        <w:t>(Li et al., 2012)</w:t>
      </w:r>
      <w:r w:rsidR="0082510F" w:rsidRPr="00F22DF0">
        <w:rPr>
          <w:rFonts w:ascii="Times New Roman" w:hAnsi="Times New Roman" w:cs="Times New Roman"/>
        </w:rPr>
        <w:t>; (</w:t>
      </w:r>
      <w:proofErr w:type="spellStart"/>
      <w:r w:rsidR="0082510F" w:rsidRPr="00F22DF0">
        <w:rPr>
          <w:rFonts w:ascii="Times New Roman" w:hAnsi="Times New Roman" w:cs="Times New Roman"/>
        </w:rPr>
        <w:t>i</w:t>
      </w:r>
      <w:proofErr w:type="spellEnd"/>
      <w:r w:rsidR="0082510F" w:rsidRPr="00F22DF0">
        <w:rPr>
          <w:rFonts w:ascii="Times New Roman" w:hAnsi="Times New Roman" w:cs="Times New Roman"/>
        </w:rPr>
        <w:t>)</w:t>
      </w:r>
      <w:proofErr w:type="spellStart"/>
      <w:r w:rsidR="0082510F" w:rsidRPr="00F22DF0">
        <w:rPr>
          <w:rFonts w:ascii="Times New Roman" w:hAnsi="Times New Roman" w:cs="Times New Roman"/>
        </w:rPr>
        <w:t>Tianchi</w:t>
      </w:r>
      <w:proofErr w:type="spellEnd"/>
      <w:r w:rsidR="0082510F" w:rsidRPr="00F22DF0">
        <w:rPr>
          <w:rFonts w:ascii="Times New Roman" w:hAnsi="Times New Roman" w:cs="Times New Roman"/>
        </w:rPr>
        <w:t xml:space="preserve"> lake precipitation</w:t>
      </w:r>
      <w:r w:rsidR="009525F4" w:rsidRPr="00F22DF0">
        <w:rPr>
          <w:rFonts w:ascii="Times New Roman" w:hAnsi="Times New Roman" w:cs="Times New Roman"/>
        </w:rPr>
        <w:t>(Liu et al., 2019)</w:t>
      </w:r>
      <w:r w:rsidR="0082510F" w:rsidRPr="00F22DF0">
        <w:rPr>
          <w:rFonts w:ascii="Times New Roman" w:hAnsi="Times New Roman" w:cs="Times New Roman"/>
        </w:rPr>
        <w:t>; (j)Moon lake precipitation</w:t>
      </w:r>
      <w:r w:rsidR="009525F4" w:rsidRPr="00F22DF0">
        <w:rPr>
          <w:rFonts w:ascii="Times New Roman" w:hAnsi="Times New Roman" w:cs="Times New Roman"/>
        </w:rPr>
        <w:t>(Wu et al., 2012)</w:t>
      </w:r>
      <w:r w:rsidR="0082510F" w:rsidRPr="00F22DF0">
        <w:rPr>
          <w:rFonts w:ascii="Times New Roman" w:hAnsi="Times New Roman" w:cs="Times New Roman"/>
        </w:rPr>
        <w:t>; (k)</w:t>
      </w:r>
      <w:proofErr w:type="spellStart"/>
      <w:r w:rsidR="0082510F" w:rsidRPr="00F22DF0">
        <w:rPr>
          <w:rFonts w:ascii="Times New Roman" w:hAnsi="Times New Roman" w:cs="Times New Roman"/>
        </w:rPr>
        <w:t>Sihailongwan</w:t>
      </w:r>
      <w:proofErr w:type="spellEnd"/>
      <w:r w:rsidR="0082510F" w:rsidRPr="00F22DF0">
        <w:rPr>
          <w:rFonts w:ascii="Times New Roman" w:hAnsi="Times New Roman" w:cs="Times New Roman"/>
        </w:rPr>
        <w:t xml:space="preserve"> lake precipitation</w:t>
      </w:r>
      <w:r w:rsidR="009525F4" w:rsidRPr="00F22DF0">
        <w:rPr>
          <w:rFonts w:ascii="Times New Roman" w:hAnsi="Times New Roman" w:cs="Times New Roman"/>
        </w:rPr>
        <w:t>(</w:t>
      </w:r>
      <w:proofErr w:type="spellStart"/>
      <w:r w:rsidR="009525F4" w:rsidRPr="00F22DF0">
        <w:rPr>
          <w:rFonts w:ascii="Times New Roman" w:hAnsi="Times New Roman" w:cs="Times New Roman"/>
        </w:rPr>
        <w:t>Stebich</w:t>
      </w:r>
      <w:proofErr w:type="spellEnd"/>
      <w:r w:rsidR="009525F4" w:rsidRPr="00F22DF0">
        <w:rPr>
          <w:rFonts w:ascii="Times New Roman" w:hAnsi="Times New Roman" w:cs="Times New Roman"/>
        </w:rPr>
        <w:t xml:space="preserve"> et al., 2015)</w:t>
      </w:r>
      <w:r w:rsidR="0082510F" w:rsidRPr="00F22DF0">
        <w:rPr>
          <w:rFonts w:ascii="Times New Roman" w:hAnsi="Times New Roman" w:cs="Times New Roman"/>
        </w:rPr>
        <w:t>.</w:t>
      </w:r>
    </w:p>
    <w:p w14:paraId="53EC3CF2" w14:textId="77777777" w:rsidR="0082510F" w:rsidRPr="00F22DF0" w:rsidRDefault="0082510F">
      <w:pPr>
        <w:rPr>
          <w:rFonts w:ascii="Times New Roman" w:hAnsi="Times New Roman" w:cs="Times New Roman"/>
        </w:rPr>
      </w:pPr>
    </w:p>
    <w:p w14:paraId="57C0A111" w14:textId="77777777" w:rsidR="00C624A3" w:rsidRPr="00F22DF0" w:rsidRDefault="00C624A3">
      <w:pPr>
        <w:rPr>
          <w:rFonts w:ascii="Times New Roman" w:hAnsi="Times New Roman" w:cs="Times New Roman"/>
        </w:rPr>
      </w:pPr>
    </w:p>
    <w:p w14:paraId="77CD60A0" w14:textId="77777777" w:rsidR="00C624A3" w:rsidRPr="00F22DF0" w:rsidRDefault="00C624A3">
      <w:pPr>
        <w:rPr>
          <w:rFonts w:ascii="Times New Roman" w:hAnsi="Times New Roman" w:cs="Times New Roman"/>
        </w:rPr>
      </w:pPr>
    </w:p>
    <w:p w14:paraId="45B8EF32" w14:textId="77777777" w:rsidR="00C624A3" w:rsidRPr="00F22DF0" w:rsidRDefault="00C624A3">
      <w:pPr>
        <w:rPr>
          <w:rFonts w:ascii="Times New Roman" w:hAnsi="Times New Roman" w:cs="Times New Roman"/>
        </w:rPr>
      </w:pPr>
    </w:p>
    <w:p w14:paraId="0D55C07B" w14:textId="77777777" w:rsidR="00C624A3" w:rsidRPr="00F22DF0" w:rsidRDefault="00C624A3">
      <w:pPr>
        <w:rPr>
          <w:rFonts w:ascii="Times New Roman" w:hAnsi="Times New Roman" w:cs="Times New Roman"/>
        </w:rPr>
      </w:pPr>
    </w:p>
    <w:p w14:paraId="1A87FBD2" w14:textId="77777777" w:rsidR="00C624A3" w:rsidRPr="00F22DF0" w:rsidRDefault="00C624A3">
      <w:pPr>
        <w:rPr>
          <w:rFonts w:ascii="Times New Roman" w:hAnsi="Times New Roman" w:cs="Times New Roman"/>
        </w:rPr>
      </w:pPr>
    </w:p>
    <w:p w14:paraId="08966CC4" w14:textId="77777777" w:rsidR="00C624A3" w:rsidRPr="00F22DF0" w:rsidRDefault="00C624A3">
      <w:pPr>
        <w:rPr>
          <w:rFonts w:ascii="Times New Roman" w:hAnsi="Times New Roman" w:cs="Times New Roman"/>
        </w:rPr>
      </w:pPr>
    </w:p>
    <w:p w14:paraId="76B05E26" w14:textId="77777777" w:rsidR="00C624A3" w:rsidRPr="00F22DF0" w:rsidRDefault="00C624A3">
      <w:pPr>
        <w:rPr>
          <w:rFonts w:ascii="Times New Roman" w:hAnsi="Times New Roman" w:cs="Times New Roman"/>
        </w:rPr>
      </w:pPr>
    </w:p>
    <w:p w14:paraId="5B153533" w14:textId="77777777" w:rsidR="00335C2B" w:rsidRPr="00F22DF0" w:rsidRDefault="00335C2B">
      <w:pPr>
        <w:rPr>
          <w:rFonts w:ascii="Times New Roman" w:hAnsi="Times New Roman" w:cs="Times New Roman"/>
        </w:rPr>
      </w:pPr>
    </w:p>
    <w:p w14:paraId="32505319" w14:textId="77777777" w:rsidR="00335C2B" w:rsidRPr="00F22DF0" w:rsidRDefault="00335C2B">
      <w:pPr>
        <w:rPr>
          <w:rFonts w:ascii="Times New Roman" w:hAnsi="Times New Roman" w:cs="Times New Roman"/>
        </w:rPr>
      </w:pPr>
    </w:p>
    <w:p w14:paraId="21565B76" w14:textId="77777777" w:rsidR="00335C2B" w:rsidRPr="00F22DF0" w:rsidRDefault="00335C2B">
      <w:pPr>
        <w:rPr>
          <w:rFonts w:ascii="Times New Roman" w:hAnsi="Times New Roman" w:cs="Times New Roman"/>
        </w:rPr>
      </w:pPr>
    </w:p>
    <w:p w14:paraId="0DDA48D1" w14:textId="77777777" w:rsidR="00A21C15" w:rsidRPr="00F22DF0" w:rsidRDefault="00A21C15">
      <w:pPr>
        <w:rPr>
          <w:rFonts w:ascii="Times New Roman" w:hAnsi="Times New Roman" w:cs="Times New Roman"/>
        </w:rPr>
      </w:pPr>
    </w:p>
    <w:p w14:paraId="41AD823D" w14:textId="77777777" w:rsidR="00A21C15" w:rsidRPr="00F22DF0" w:rsidRDefault="00A21C15">
      <w:pPr>
        <w:rPr>
          <w:rFonts w:ascii="Times New Roman" w:hAnsi="Times New Roman" w:cs="Times New Roman"/>
        </w:rPr>
      </w:pPr>
    </w:p>
    <w:p w14:paraId="5C8BD9D6" w14:textId="77777777" w:rsidR="00A21C15" w:rsidRPr="00F22DF0" w:rsidRDefault="00A21C15">
      <w:pPr>
        <w:rPr>
          <w:rFonts w:ascii="Times New Roman" w:hAnsi="Times New Roman" w:cs="Times New Roman"/>
        </w:rPr>
      </w:pPr>
    </w:p>
    <w:p w14:paraId="3C1E5956" w14:textId="7D27D9A8" w:rsidR="00C624A3" w:rsidRPr="00F22DF0" w:rsidRDefault="00562004">
      <w:pPr>
        <w:rPr>
          <w:rFonts w:ascii="Times New Roman" w:hAnsi="Times New Roman" w:cs="Times New Roman"/>
          <w:b/>
          <w:bCs/>
        </w:rPr>
      </w:pPr>
      <w:r w:rsidRPr="00F22DF0">
        <w:rPr>
          <w:rFonts w:ascii="Times New Roman" w:hAnsi="Times New Roman" w:cs="Times New Roman"/>
          <w:b/>
          <w:bCs/>
        </w:rPr>
        <w:lastRenderedPageBreak/>
        <w:t>Supplementary Table S1 | Parameter configurations of the dynamic crop-record model used for millet, rice and wheat/barley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2756"/>
        <w:gridCol w:w="1471"/>
        <w:gridCol w:w="1639"/>
        <w:gridCol w:w="1614"/>
      </w:tblGrid>
      <w:tr w:rsidR="00C624A3" w:rsidRPr="00F22DF0" w14:paraId="6836BC81" w14:textId="77777777" w:rsidTr="00C624A3">
        <w:trPr>
          <w:trHeight w:val="285"/>
        </w:trPr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C8D49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Parameter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4E5D7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Millet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2250D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Rice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233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Wheat/barley</w:t>
            </w:r>
          </w:p>
        </w:tc>
      </w:tr>
      <w:tr w:rsidR="00C624A3" w:rsidRPr="00F22DF0" w14:paraId="5B39D4F0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A996D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Temporal and spatial support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CA80A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75F6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2B44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A3" w:rsidRPr="00F22DF0" w14:paraId="6638998F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AE549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Analysis interval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B0327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6000–2000 BP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4BCA4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6000–2000 BP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5D8BD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6000–2000 BP</w:t>
            </w:r>
          </w:p>
        </w:tc>
      </w:tr>
      <w:tr w:rsidR="00C624A3" w:rsidRPr="00F22DF0" w14:paraId="1D48172B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7E70E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Time-window width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7D156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300 years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6B47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300 years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74753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300 years</w:t>
            </w:r>
          </w:p>
        </w:tc>
      </w:tr>
      <w:tr w:rsidR="00C624A3" w:rsidRPr="00F22DF0" w14:paraId="3B485439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D8231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Candidate grid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88D22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0.5° candidate cells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B2A97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0.5° candidate cells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DC982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0.5° candidate cells</w:t>
            </w:r>
          </w:p>
        </w:tc>
      </w:tr>
      <w:tr w:rsidR="00C624A3" w:rsidRPr="00F22DF0" w14:paraId="5AE1700A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3D9EF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Non-local diffusion kernel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C8DC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6D61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10ECD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A3" w:rsidRPr="00F22DF0" w14:paraId="03804723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417DD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σ </w:t>
            </w: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distance-decay scale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42E2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400 km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CA40E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 km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E84FB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 km</w:t>
            </w:r>
          </w:p>
        </w:tc>
      </w:tr>
      <w:tr w:rsidR="00C624A3" w:rsidRPr="00F22DF0" w14:paraId="13211529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5B4CC" w14:textId="440CDFB6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θ</w:t>
            </w:r>
            <w:proofErr w:type="gram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slope</w:t>
            </w:r>
            <w:r w:rsidR="0017510C"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5E0F6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3F1B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DDE97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C624A3" w:rsidRPr="00F22DF0" w14:paraId="32C81C18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57240" w14:textId="192BE56A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θ</w:t>
            </w:r>
            <w:proofErr w:type="gram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elev</w:t>
            </w:r>
            <w:r w:rsidR="0017510C"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CEF78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BAFEC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8EF11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C624A3" w:rsidRPr="00F22DF0" w14:paraId="051ECBE7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A920C" w14:textId="4EF14689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θ</w:t>
            </w:r>
            <w:proofErr w:type="gram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river</w:t>
            </w:r>
            <w:r w:rsidR="0017510C"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19B38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C8A68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6BA88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C624A3" w:rsidRPr="00F22DF0" w14:paraId="223B8804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0FDE4" w14:textId="0B6C25C2" w:rsidR="00C624A3" w:rsidRPr="00790F8A" w:rsidRDefault="00F22DF0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θ</w:t>
            </w:r>
            <w:proofErr w:type="gramStart"/>
            <w:r w:rsidR="00C624A3"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align</w:t>
            </w:r>
            <w:r w:rsidR="0017510C"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8C44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FD22E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F137D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C624A3" w:rsidRPr="00F22DF0" w14:paraId="57E40491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DC09E" w14:textId="715600DE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θ</w:t>
            </w:r>
            <w:proofErr w:type="gram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di</w:t>
            </w:r>
            <w:r w:rsidR="002E27DE"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r</w:t>
            </w:r>
            <w:r w:rsidR="0017510C"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,c</w:t>
            </w:r>
            <w:proofErr w:type="spellEnd"/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34BF5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5D8A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693E1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</w:t>
            </w:r>
          </w:p>
        </w:tc>
      </w:tr>
      <w:tr w:rsidR="00C624A3" w:rsidRPr="00F22DF0" w14:paraId="6E77970C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002BE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Environmental suitability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62B95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2D6F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C669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A3" w:rsidRPr="00F22DF0" w14:paraId="30E4C581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AA78F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Climate profile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B110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subhumid_750mm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A4CE1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very_humid_1500mm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44B2C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subhumid_650mm</w:t>
            </w:r>
          </w:p>
        </w:tc>
      </w:tr>
      <w:tr w:rsidR="00C624A3" w:rsidRPr="00F22DF0" w14:paraId="6398CCE8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9BCA1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Precipitation optimum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6535E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750 mm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8FFB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1500 mm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5C1CD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650 mm</w:t>
            </w:r>
          </w:p>
        </w:tc>
      </w:tr>
      <w:tr w:rsidR="00C624A3" w:rsidRPr="00F22DF0" w14:paraId="4A6CC0A1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9CECC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Precipitation width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F653D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350 mm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BBC3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550 mm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F4DE9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330 mm</w:t>
            </w:r>
          </w:p>
        </w:tc>
      </w:tr>
      <w:tr w:rsidR="00C624A3" w:rsidRPr="00F22DF0" w14:paraId="46432A9D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6CA49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P–E optimum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B3EA3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EF78A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B3A94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</w:t>
            </w:r>
          </w:p>
        </w:tc>
      </w:tr>
      <w:tr w:rsidR="00C624A3" w:rsidRPr="00F22DF0" w14:paraId="2552B136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6A3A0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P–E width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FFBC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9F1A7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88C13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</w:t>
            </w:r>
          </w:p>
        </w:tc>
      </w:tr>
      <w:tr w:rsidR="00C624A3" w:rsidRPr="00F22DF0" w14:paraId="54CB25A0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52534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Logistic occurrence model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12BC1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892A9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F278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A3" w:rsidRPr="00F22DF0" w14:paraId="52368CAB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F59F2" w14:textId="6EF0EF72" w:rsidR="00C624A3" w:rsidRPr="00790F8A" w:rsidRDefault="001D0C5F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intercept </w:t>
            </w:r>
            <m:oMath>
              <m:d>
                <m:dPr>
                  <m:ctrlPr>
                    <w:rPr>
                      <w:rFonts w:ascii="Cambria Math" w:eastAsia="等线" w:hAnsi="Cambria Math" w:cs="Times New Roman"/>
                      <w:color w:val="000000"/>
                      <w:kern w:val="0"/>
                      <w:sz w:val="16"/>
                      <w:szCs w:val="1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color w:val="000000"/>
                          <w:kern w:val="0"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eastAsia="等线" w:hAnsi="Cambria Math" w:cs="Times New Roman"/>
                          <w:color w:val="000000"/>
                          <w:kern w:val="0"/>
                          <w:sz w:val="16"/>
                          <w:szCs w:val="16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eastAsia="等线" w:hAnsi="Cambria Math" w:cs="Times New Roman"/>
                          <w:color w:val="000000"/>
                          <w:kern w:val="0"/>
                          <w:sz w:val="16"/>
                          <w:szCs w:val="16"/>
                        </w:rPr>
                        <m:t>c</m:t>
                      </m:r>
                    </m:sub>
                  </m:sSub>
                </m:e>
              </m:d>
            </m:oMath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A6532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-5.83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8DF31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-6.605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74534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-3.726</w:t>
            </w:r>
          </w:p>
        </w:tc>
      </w:tr>
      <w:tr w:rsidR="00C624A3" w:rsidRPr="00F22DF0" w14:paraId="2CAA4E66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F5F7B" w14:textId="25C2815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β</w:t>
            </w: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persistence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E9F9D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3.36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E3123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FE328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2.845</w:t>
            </w:r>
          </w:p>
        </w:tc>
      </w:tr>
      <w:tr w:rsidR="00C624A3" w:rsidRPr="00F22DF0" w14:paraId="2DB1CE52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E62DE" w14:textId="6FAFAC4D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β</w:t>
            </w: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diffusion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3A0E3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4.071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FEDD1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6.651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36476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3.117</w:t>
            </w:r>
          </w:p>
        </w:tc>
      </w:tr>
      <w:tr w:rsidR="00C624A3" w:rsidRPr="00F22DF0" w14:paraId="746E0688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4F642" w14:textId="1607A5F2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β</w:t>
            </w: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environment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80CFC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2.62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6CC35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4.768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4CA9E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-0.017</w:t>
            </w:r>
          </w:p>
        </w:tc>
      </w:tr>
      <w:tr w:rsidR="00C624A3" w:rsidRPr="00F22DF0" w14:paraId="0799DDEA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D886B" w14:textId="3E75F5CD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β</w:t>
            </w: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diffusion × environment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731D6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-1.603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FA4B9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-6.266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F4012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-0.252</w:t>
            </w:r>
          </w:p>
        </w:tc>
      </w:tr>
      <w:tr w:rsidR="00C624A3" w:rsidRPr="00F22DF0" w14:paraId="17DD6649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318B9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Temporal-intensity layer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84C53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4BAD6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05D7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A3" w:rsidRPr="00F22DF0" w14:paraId="211B5989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9B4C5" w14:textId="57CBFFDB" w:rsidR="00C624A3" w:rsidRPr="00790F8A" w:rsidRDefault="00790F8A" w:rsidP="00790F8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γ</w:t>
            </w:r>
            <w:proofErr w:type="gram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0,c​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8B086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-1.299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8DF0B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-1.997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18515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-1.987</w:t>
            </w:r>
          </w:p>
        </w:tc>
      </w:tr>
      <w:tr w:rsidR="00C624A3" w:rsidRPr="00F22DF0" w14:paraId="74A613A5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6AD9E" w14:textId="68D5A1CB" w:rsidR="00C624A3" w:rsidRPr="00790F8A" w:rsidRDefault="00790F8A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γ</w:t>
            </w:r>
            <w:proofErr w:type="gram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1,c​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F5FDC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0.212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D767A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71464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-0.865</w:t>
            </w:r>
          </w:p>
        </w:tc>
      </w:tr>
      <w:tr w:rsidR="00C624A3" w:rsidRPr="00F22DF0" w14:paraId="732515E5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CA08C" w14:textId="71D6448C" w:rsidR="00C624A3" w:rsidRPr="00790F8A" w:rsidRDefault="00790F8A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γ</w:t>
            </w:r>
            <w:proofErr w:type="gramStart"/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2,c​</w:t>
            </w:r>
            <w:proofErr w:type="gram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7DB38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-0.372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1F4AB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-0.329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431BE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-0.59</w:t>
            </w:r>
          </w:p>
        </w:tc>
      </w:tr>
      <w:tr w:rsidR="00C624A3" w:rsidRPr="00F22DF0" w14:paraId="53CB9815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5E428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Temporal-intensity peak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EB702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4285 BP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FB7E4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4499 BP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EA2E2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3267 BP</w:t>
            </w:r>
          </w:p>
        </w:tc>
      </w:tr>
      <w:tr w:rsidR="00C624A3" w:rsidRPr="00F22DF0" w14:paraId="038E7B73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6519E" w14:textId="77777777" w:rsidR="00C624A3" w:rsidRPr="00790F8A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Model diagnostics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5FB21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00DF0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367B5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A3" w:rsidRPr="00F22DF0" w14:paraId="73346C2F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2A573" w14:textId="59E9312C" w:rsidR="00C624A3" w:rsidRPr="00790F8A" w:rsidRDefault="007E4354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parameter-search AUC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1E8DF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0.936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F806A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E2E56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0.917</w:t>
            </w:r>
          </w:p>
        </w:tc>
      </w:tr>
      <w:tr w:rsidR="00C624A3" w:rsidRPr="00F22DF0" w14:paraId="188C8076" w14:textId="77777777" w:rsidTr="00C624A3">
        <w:trPr>
          <w:trHeight w:val="285"/>
        </w:trPr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274A33" w14:textId="2E2AFB05" w:rsidR="00C624A3" w:rsidRPr="00790F8A" w:rsidRDefault="007E4354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0F8A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parameter-search AP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565B93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03D019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323AE" w14:textId="77777777" w:rsidR="00C624A3" w:rsidRPr="00F22DF0" w:rsidRDefault="00C624A3" w:rsidP="00C624A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22DF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0.126</w:t>
            </w:r>
          </w:p>
        </w:tc>
      </w:tr>
    </w:tbl>
    <w:p w14:paraId="15C493FA" w14:textId="370E800F" w:rsidR="00C624A3" w:rsidRPr="00F22DF0" w:rsidRDefault="00211B58">
      <w:pPr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 w:hint="eastAsia"/>
          <w:sz w:val="16"/>
          <w:szCs w:val="18"/>
        </w:rPr>
        <w:t>*</w:t>
      </w:r>
      <w:r w:rsidR="00C624A3" w:rsidRPr="00F22DF0">
        <w:rPr>
          <w:rFonts w:ascii="Times New Roman" w:hAnsi="Times New Roman" w:cs="Times New Roman"/>
          <w:sz w:val="16"/>
          <w:szCs w:val="18"/>
        </w:rPr>
        <w:t>Parameter groups are shown as section headings. Temporal and spatial settings were fixed before modelling; diffusion-kernel and environmental-profile parameters were selected from predefined candidate sets; logistic and temporal-intensity coefficients were fitted from the crop-record data; temporal-intensity peaks were derived from the fitted temporal layer. Regional accessibility weights were fixed before model fitting and used as weak predictive accessibility modifiers rather than reconstructed historical transmission routes.</w:t>
      </w:r>
      <w:r w:rsidR="001D0C5F" w:rsidRPr="00F22DF0">
        <w:rPr>
          <w:rFonts w:ascii="Times New Roman" w:hAnsi="Times New Roman" w:cs="Times New Roman"/>
          <w:sz w:val="16"/>
          <w:szCs w:val="18"/>
        </w:rPr>
        <w:t xml:space="preserve"> </w:t>
      </w:r>
    </w:p>
    <w:p w14:paraId="4D976D04" w14:textId="77777777" w:rsidR="00335C2B" w:rsidRPr="00F22DF0" w:rsidRDefault="00335C2B">
      <w:pPr>
        <w:rPr>
          <w:rFonts w:ascii="Times New Roman" w:hAnsi="Times New Roman" w:cs="Times New Roman"/>
          <w:sz w:val="16"/>
          <w:szCs w:val="18"/>
        </w:rPr>
      </w:pPr>
    </w:p>
    <w:p w14:paraId="78C0A709" w14:textId="793691DA" w:rsidR="00335C2B" w:rsidRPr="00F22DF0" w:rsidRDefault="00335C2B" w:rsidP="00335C2B">
      <w:pPr>
        <w:spacing w:line="400" w:lineRule="exact"/>
        <w:rPr>
          <w:rFonts w:ascii="Times New Roman" w:hAnsi="Times New Roman" w:cs="Times New Roman"/>
          <w:b/>
          <w:bCs/>
          <w:sz w:val="28"/>
          <w:szCs w:val="32"/>
        </w:rPr>
      </w:pPr>
      <w:r w:rsidRPr="00F22DF0">
        <w:rPr>
          <w:rFonts w:ascii="Times New Roman" w:hAnsi="Times New Roman" w:cs="Times New Roman"/>
          <w:b/>
          <w:bCs/>
          <w:sz w:val="28"/>
          <w:szCs w:val="32"/>
        </w:rPr>
        <w:t>References</w:t>
      </w:r>
    </w:p>
    <w:p w14:paraId="0E7AB5A3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Chen F, Xu Q, Chen J, et al. East Asian summer monsoon precipitation variability since the last deglaciation. Scientific Reports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2015;5:11186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.</w:t>
      </w:r>
    </w:p>
    <w:p w14:paraId="1496EA4F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Lu F, Ma C, Zhu C, et al. Variability of East Asian summer monsoon precipitation during the Holocene and possible forcing </w:t>
      </w:r>
      <w:r w:rsidRPr="00F22DF0">
        <w:rPr>
          <w:rFonts w:ascii="Times New Roman" w:hAnsi="Times New Roman" w:cs="Times New Roman"/>
          <w:sz w:val="16"/>
          <w:szCs w:val="18"/>
        </w:rPr>
        <w:lastRenderedPageBreak/>
        <w:t xml:space="preserve">mechanisms. Climate Dynamics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2019;52:969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–989.</w:t>
      </w:r>
    </w:p>
    <w:p w14:paraId="7CA7A619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Sun J, Ma C, Cao X, Zhao Y, Deng Y, Zhao L, Zhu C. Quantitative precipitation reconstruction in the east-central monsoonal China since the late glacial period. Quaternary International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2019;521:175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–184.</w:t>
      </w:r>
    </w:p>
    <w:p w14:paraId="469BFF46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Li M, Jia W, Yang Y, et al. Spatial patterns of Asian summer monsoon precipitation in the Chinese monsoon region since the LGM.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npj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Climate and Atmospheric Science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2026;9:67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.</w:t>
      </w:r>
    </w:p>
    <w:p w14:paraId="699CF360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Wang YJ, Cheng H, Edwards RL, et al. The Holocene Asian monsoon: links to solar changes and North Atlantic climate. Science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2005;308:854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–857.</w:t>
      </w:r>
    </w:p>
    <w:p w14:paraId="453186A3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Xiao J, Lu H, Zhou W, Zhao Z, Hao R. Evolution of vegetation and climate since the last glacial maximum recorded at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Dahu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peat site, South China. Science in China Series D: Earth Sciences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2007;50:1209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–1217.</w:t>
      </w:r>
    </w:p>
    <w:p w14:paraId="1806F01D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Yu YT, Yang TB, Li JJ, et al. Millennial-scale Holocene climate variability in the NW China drylands and links to the tropical Pacific and the North Atlantic.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Palaeogeography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, Palaeoclimatology,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Palaeoecology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2006;233:149–162.</w:t>
      </w:r>
    </w:p>
    <w:p w14:paraId="5D36344B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Li Y, Wang NA, Li ZL, et al. Holocene climate cycles in northwest margin of Asian monsoon. Chinese Geographical Science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2012;22:450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–461.</w:t>
      </w:r>
    </w:p>
    <w:p w14:paraId="0380FE16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Liu X, Zhan T, Zhou X, Wu H, Li Q, Zhao C, et al. Late onset of the Holocene rainfall maximum in northeastern China inferred from a pollen record from the sediments of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Tianchi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Crater Lake. Quaternary Research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2019;92:133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–145.</w:t>
      </w:r>
    </w:p>
    <w:p w14:paraId="06A0477F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r w:rsidRPr="00F22DF0">
        <w:rPr>
          <w:rFonts w:ascii="Times New Roman" w:hAnsi="Times New Roman" w:cs="Times New Roman"/>
          <w:sz w:val="16"/>
          <w:szCs w:val="18"/>
        </w:rPr>
        <w:t xml:space="preserve">Wu J, Liu Q. Pollen-recorded vegetation and climate changes from Moon Lake since Late Glacial. Earth Science — Journal of China University of Geosciences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2012;37:947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–954.</w:t>
      </w:r>
    </w:p>
    <w:p w14:paraId="4DE37AC6" w14:textId="77777777" w:rsidR="00335C2B" w:rsidRPr="00F22DF0" w:rsidRDefault="00335C2B" w:rsidP="00335C2B">
      <w:pPr>
        <w:rPr>
          <w:rFonts w:ascii="Times New Roman" w:hAnsi="Times New Roman" w:cs="Times New Roman"/>
          <w:sz w:val="16"/>
          <w:szCs w:val="18"/>
        </w:rPr>
      </w:pPr>
      <w:proofErr w:type="spellStart"/>
      <w:r w:rsidRPr="00F22DF0">
        <w:rPr>
          <w:rFonts w:ascii="Times New Roman" w:hAnsi="Times New Roman" w:cs="Times New Roman"/>
          <w:sz w:val="16"/>
          <w:szCs w:val="18"/>
        </w:rPr>
        <w:t>Stebich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M, Rehfeld K,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Schlütz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F, Tarasov PE, Liu J,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Mingram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E. Holocene vegetation and climate dynamics of NE China based on the pollen record from </w:t>
      </w:r>
      <w:proofErr w:type="spellStart"/>
      <w:r w:rsidRPr="00F22DF0">
        <w:rPr>
          <w:rFonts w:ascii="Times New Roman" w:hAnsi="Times New Roman" w:cs="Times New Roman"/>
          <w:sz w:val="16"/>
          <w:szCs w:val="18"/>
        </w:rPr>
        <w:t>Sihailongwan</w:t>
      </w:r>
      <w:proofErr w:type="spellEnd"/>
      <w:r w:rsidRPr="00F22DF0">
        <w:rPr>
          <w:rFonts w:ascii="Times New Roman" w:hAnsi="Times New Roman" w:cs="Times New Roman"/>
          <w:sz w:val="16"/>
          <w:szCs w:val="18"/>
        </w:rPr>
        <w:t xml:space="preserve"> Maar Lake. Quaternary Science Reviews </w:t>
      </w:r>
      <w:proofErr w:type="gramStart"/>
      <w:r w:rsidRPr="00F22DF0">
        <w:rPr>
          <w:rFonts w:ascii="Times New Roman" w:hAnsi="Times New Roman" w:cs="Times New Roman"/>
          <w:sz w:val="16"/>
          <w:szCs w:val="18"/>
        </w:rPr>
        <w:t>2015;124:275</w:t>
      </w:r>
      <w:proofErr w:type="gramEnd"/>
      <w:r w:rsidRPr="00F22DF0">
        <w:rPr>
          <w:rFonts w:ascii="Times New Roman" w:hAnsi="Times New Roman" w:cs="Times New Roman"/>
          <w:sz w:val="16"/>
          <w:szCs w:val="18"/>
        </w:rPr>
        <w:t>–289.</w:t>
      </w:r>
    </w:p>
    <w:p w14:paraId="32C07739" w14:textId="77777777" w:rsidR="00335C2B" w:rsidRPr="00F22DF0" w:rsidRDefault="00335C2B">
      <w:pPr>
        <w:rPr>
          <w:rFonts w:ascii="Times New Roman" w:hAnsi="Times New Roman" w:cs="Times New Roman"/>
          <w:sz w:val="16"/>
          <w:szCs w:val="18"/>
        </w:rPr>
      </w:pPr>
    </w:p>
    <w:sectPr w:rsidR="00335C2B" w:rsidRPr="00F22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12947" w14:textId="77777777" w:rsidR="008F6544" w:rsidRDefault="008F6544" w:rsidP="00336BE8">
      <w:pPr>
        <w:rPr>
          <w:rFonts w:hint="eastAsia"/>
        </w:rPr>
      </w:pPr>
      <w:r>
        <w:separator/>
      </w:r>
    </w:p>
  </w:endnote>
  <w:endnote w:type="continuationSeparator" w:id="0">
    <w:p w14:paraId="26EA054B" w14:textId="77777777" w:rsidR="008F6544" w:rsidRDefault="008F6544" w:rsidP="00336B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B604" w14:textId="77777777" w:rsidR="008F6544" w:rsidRDefault="008F6544" w:rsidP="00336BE8">
      <w:pPr>
        <w:rPr>
          <w:rFonts w:hint="eastAsia"/>
        </w:rPr>
      </w:pPr>
      <w:r>
        <w:separator/>
      </w:r>
    </w:p>
  </w:footnote>
  <w:footnote w:type="continuationSeparator" w:id="0">
    <w:p w14:paraId="626C5237" w14:textId="77777777" w:rsidR="008F6544" w:rsidRDefault="008F6544" w:rsidP="00336BE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46"/>
    <w:rsid w:val="000164AF"/>
    <w:rsid w:val="00031542"/>
    <w:rsid w:val="00031AA8"/>
    <w:rsid w:val="00074604"/>
    <w:rsid w:val="001029CB"/>
    <w:rsid w:val="001045FE"/>
    <w:rsid w:val="00140427"/>
    <w:rsid w:val="0017510C"/>
    <w:rsid w:val="001858D6"/>
    <w:rsid w:val="00197FD4"/>
    <w:rsid w:val="001D0C5F"/>
    <w:rsid w:val="001D0F9F"/>
    <w:rsid w:val="00211B58"/>
    <w:rsid w:val="00277946"/>
    <w:rsid w:val="002E1ED6"/>
    <w:rsid w:val="002E27DE"/>
    <w:rsid w:val="00325413"/>
    <w:rsid w:val="00335C2B"/>
    <w:rsid w:val="00336BE8"/>
    <w:rsid w:val="00371EA3"/>
    <w:rsid w:val="00396D0D"/>
    <w:rsid w:val="00430196"/>
    <w:rsid w:val="00447BAE"/>
    <w:rsid w:val="004B0E1C"/>
    <w:rsid w:val="0053115F"/>
    <w:rsid w:val="0053484C"/>
    <w:rsid w:val="00534DDA"/>
    <w:rsid w:val="00562004"/>
    <w:rsid w:val="00594656"/>
    <w:rsid w:val="005E5B91"/>
    <w:rsid w:val="005F565C"/>
    <w:rsid w:val="006D5F84"/>
    <w:rsid w:val="006D7C80"/>
    <w:rsid w:val="00790F8A"/>
    <w:rsid w:val="007D4CCA"/>
    <w:rsid w:val="007E4354"/>
    <w:rsid w:val="007F1BC5"/>
    <w:rsid w:val="007F4580"/>
    <w:rsid w:val="0082510F"/>
    <w:rsid w:val="00860524"/>
    <w:rsid w:val="008620EE"/>
    <w:rsid w:val="008D00BA"/>
    <w:rsid w:val="008F6544"/>
    <w:rsid w:val="008F7CC6"/>
    <w:rsid w:val="00905C6D"/>
    <w:rsid w:val="009525F4"/>
    <w:rsid w:val="00973513"/>
    <w:rsid w:val="00A16C45"/>
    <w:rsid w:val="00A21C15"/>
    <w:rsid w:val="00BE0673"/>
    <w:rsid w:val="00BE6E15"/>
    <w:rsid w:val="00C575E8"/>
    <w:rsid w:val="00C624A3"/>
    <w:rsid w:val="00CD40CA"/>
    <w:rsid w:val="00D10828"/>
    <w:rsid w:val="00D54BCE"/>
    <w:rsid w:val="00DA1ED8"/>
    <w:rsid w:val="00DD39F1"/>
    <w:rsid w:val="00E86A4B"/>
    <w:rsid w:val="00E9189A"/>
    <w:rsid w:val="00ED6255"/>
    <w:rsid w:val="00F2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CF58B7"/>
  <w15:chartTrackingRefBased/>
  <w15:docId w15:val="{B6F10666-DB77-4E24-B731-261DB328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396D0D"/>
    <w:pPr>
      <w:keepNext/>
      <w:keepLines/>
      <w:outlineLvl w:val="0"/>
    </w:pPr>
    <w:rPr>
      <w:rFonts w:asciiTheme="majorHAnsi" w:eastAsia="宋体" w:hAnsiTheme="majorHAnsi" w:cstheme="majorBidi"/>
      <w:b/>
      <w:color w:val="2F5496" w:themeColor="accent1" w:themeShade="BF"/>
      <w:sz w:val="2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9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94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94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94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94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94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94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6D0D"/>
    <w:rPr>
      <w:rFonts w:asciiTheme="majorHAnsi" w:eastAsia="宋体" w:hAnsiTheme="majorHAnsi" w:cstheme="majorBidi"/>
      <w:b/>
      <w:color w:val="2F5496" w:themeColor="accent1" w:themeShade="BF"/>
      <w:sz w:val="2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7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7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794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794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794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79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79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79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79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7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9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79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9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79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9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79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7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79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794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6B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6BE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6B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6BE8"/>
    <w:rPr>
      <w:sz w:val="18"/>
      <w:szCs w:val="18"/>
    </w:rPr>
  </w:style>
  <w:style w:type="paragraph" w:customStyle="1" w:styleId="SupplementaryCaption">
    <w:name w:val="Supplementary Caption"/>
    <w:basedOn w:val="a"/>
    <w:rsid w:val="006D7C80"/>
    <w:pPr>
      <w:widowControl/>
      <w:spacing w:after="160"/>
      <w:jc w:val="left"/>
    </w:pPr>
    <w:rPr>
      <w:rFonts w:ascii="Times New Roman" w:eastAsia="Times New Roman" w:hAnsi="Times New Roman"/>
      <w:kern w:val="0"/>
      <w:sz w:val="20"/>
      <w:lang w:eastAsia="en-US"/>
    </w:rPr>
  </w:style>
  <w:style w:type="character" w:styleId="af2">
    <w:name w:val="annotation reference"/>
    <w:basedOn w:val="a0"/>
    <w:uiPriority w:val="99"/>
    <w:semiHidden/>
    <w:unhideWhenUsed/>
    <w:rsid w:val="007D4CCA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7D4CCA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7D4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7</Pages>
  <Words>1170</Words>
  <Characters>7338</Characters>
  <Application>Microsoft Office Word</Application>
  <DocSecurity>0</DocSecurity>
  <Lines>271</Lines>
  <Paragraphs>157</Paragraphs>
  <ScaleCrop>false</ScaleCrop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 高铭</dc:creator>
  <cp:keywords/>
  <dc:description/>
  <cp:lastModifiedBy>君 高铭</cp:lastModifiedBy>
  <cp:revision>32</cp:revision>
  <cp:lastPrinted>2026-06-20T08:05:00Z</cp:lastPrinted>
  <dcterms:created xsi:type="dcterms:W3CDTF">2026-06-05T12:53:00Z</dcterms:created>
  <dcterms:modified xsi:type="dcterms:W3CDTF">2026-06-20T09:43:00Z</dcterms:modified>
</cp:coreProperties>
</file>