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E2C7E" w14:textId="151FBC6D" w:rsidR="00702A2C" w:rsidRPr="00C024E2" w:rsidRDefault="00C66B4C" w:rsidP="00702A2C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024E2">
        <w:rPr>
          <w:rFonts w:ascii="Times New Roman" w:hAnsi="Times New Roman" w:cs="Times New Roman"/>
          <w:b/>
          <w:bCs/>
          <w:sz w:val="22"/>
          <w:szCs w:val="22"/>
        </w:rPr>
        <w:t>Supplemental Table 3. Sensitivity Analysis of Efficacy and Safety Outcomes at 12-Month Follow-up Restricted to Procedures Performed From 202</w:t>
      </w:r>
      <w:r w:rsidR="002207EB" w:rsidRPr="00C024E2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C024E2">
        <w:rPr>
          <w:rFonts w:ascii="Times New Roman" w:hAnsi="Times New Roman" w:cs="Times New Roman"/>
          <w:b/>
          <w:bCs/>
          <w:sz w:val="22"/>
          <w:szCs w:val="22"/>
        </w:rPr>
        <w:t xml:space="preserve"> Onward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4"/>
        <w:gridCol w:w="1265"/>
        <w:gridCol w:w="1456"/>
        <w:gridCol w:w="1908"/>
        <w:gridCol w:w="1325"/>
      </w:tblGrid>
      <w:tr w:rsidR="00702A2C" w:rsidRPr="00C024E2" w14:paraId="64D697FA" w14:textId="77777777" w:rsidTr="009F3148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BDAB1A" w14:textId="77777777" w:rsidR="00702A2C" w:rsidRPr="00C024E2" w:rsidRDefault="00702A2C" w:rsidP="009F314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59C94E" w14:textId="77777777" w:rsidR="00702A2C" w:rsidRPr="00C024E2" w:rsidRDefault="00702A2C" w:rsidP="009F314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Coiling n=35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8C8C67" w14:textId="6B3C05F0" w:rsidR="00702A2C" w:rsidRPr="00C024E2" w:rsidRDefault="00702A2C" w:rsidP="009F314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WEB</w:t>
            </w:r>
            <w:r w:rsidR="009F3148"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device</w:t>
            </w: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n=38 (%)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F327CF" w14:textId="3168ABF5" w:rsidR="00702A2C" w:rsidRPr="00C024E2" w:rsidRDefault="009F3148" w:rsidP="009F314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eastAsia="Times New Roman" w:hAnsi="Times New Roman" w:cs="Times New Roman"/>
                <w:b/>
                <w:bCs/>
                <w:lang w:eastAsia="es-CO"/>
                <w14:ligatures w14:val="none"/>
              </w:rPr>
              <w:t>Sent-assisted coiling</w:t>
            </w: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702A2C"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n=45 (%)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4AE240" w14:textId="77777777" w:rsidR="00702A2C" w:rsidRPr="00C024E2" w:rsidRDefault="00702A2C" w:rsidP="009F314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 value</w:t>
            </w:r>
          </w:p>
        </w:tc>
      </w:tr>
      <w:tr w:rsidR="00702A2C" w:rsidRPr="00C024E2" w14:paraId="714FA455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143CA" w14:textId="77777777" w:rsidR="00702A2C" w:rsidRPr="00C024E2" w:rsidRDefault="00702A2C" w:rsidP="00C024E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Efficacy variables</w:t>
            </w:r>
          </w:p>
        </w:tc>
        <w:tc>
          <w:tcPr>
            <w:tcW w:w="0" w:type="auto"/>
            <w:vAlign w:val="center"/>
            <w:hideMark/>
          </w:tcPr>
          <w:p w14:paraId="3AE25A6D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8B3CA5D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  <w:hideMark/>
          </w:tcPr>
          <w:p w14:paraId="4466FF31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vAlign w:val="center"/>
            <w:hideMark/>
          </w:tcPr>
          <w:p w14:paraId="3E58D77D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02A2C" w:rsidRPr="00C024E2" w14:paraId="7D9BE429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73ECA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Complete occlusion</w:t>
            </w:r>
          </w:p>
        </w:tc>
        <w:tc>
          <w:tcPr>
            <w:tcW w:w="0" w:type="auto"/>
            <w:vAlign w:val="center"/>
            <w:hideMark/>
          </w:tcPr>
          <w:p w14:paraId="4D80A2F9" w14:textId="77777777" w:rsidR="00702A2C" w:rsidRPr="00C024E2" w:rsidRDefault="00702A2C" w:rsidP="008554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30 (85.71)</w:t>
            </w:r>
          </w:p>
        </w:tc>
        <w:tc>
          <w:tcPr>
            <w:tcW w:w="0" w:type="auto"/>
            <w:vAlign w:val="center"/>
            <w:hideMark/>
          </w:tcPr>
          <w:p w14:paraId="5AF91142" w14:textId="77777777" w:rsidR="00702A2C" w:rsidRPr="00C024E2" w:rsidRDefault="00702A2C" w:rsidP="008554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30 (78.95)</w:t>
            </w:r>
          </w:p>
        </w:tc>
        <w:tc>
          <w:tcPr>
            <w:tcW w:w="1878" w:type="dxa"/>
            <w:vAlign w:val="center"/>
            <w:hideMark/>
          </w:tcPr>
          <w:p w14:paraId="2017F2E9" w14:textId="77777777" w:rsidR="00702A2C" w:rsidRPr="00C024E2" w:rsidRDefault="00702A2C" w:rsidP="008554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38 (84.44)</w:t>
            </w:r>
          </w:p>
        </w:tc>
        <w:tc>
          <w:tcPr>
            <w:tcW w:w="1280" w:type="dxa"/>
            <w:vAlign w:val="center"/>
            <w:hideMark/>
          </w:tcPr>
          <w:p w14:paraId="51CE97A1" w14:textId="11B384D5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</w:tr>
      <w:tr w:rsidR="00702A2C" w:rsidRPr="00C024E2" w14:paraId="040FBC09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CEF94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Adequate occlusion</w:t>
            </w:r>
          </w:p>
        </w:tc>
        <w:tc>
          <w:tcPr>
            <w:tcW w:w="0" w:type="auto"/>
            <w:vAlign w:val="center"/>
            <w:hideMark/>
          </w:tcPr>
          <w:p w14:paraId="19CFF62E" w14:textId="77777777" w:rsidR="00702A2C" w:rsidRPr="00C024E2" w:rsidRDefault="00702A2C" w:rsidP="008554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32 (100.00)</w:t>
            </w:r>
          </w:p>
        </w:tc>
        <w:tc>
          <w:tcPr>
            <w:tcW w:w="0" w:type="auto"/>
            <w:vAlign w:val="center"/>
            <w:hideMark/>
          </w:tcPr>
          <w:p w14:paraId="5A240E63" w14:textId="77777777" w:rsidR="00702A2C" w:rsidRPr="00C024E2" w:rsidRDefault="00702A2C" w:rsidP="008554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32 (86.49)</w:t>
            </w:r>
          </w:p>
        </w:tc>
        <w:tc>
          <w:tcPr>
            <w:tcW w:w="1878" w:type="dxa"/>
            <w:vAlign w:val="center"/>
            <w:hideMark/>
          </w:tcPr>
          <w:p w14:paraId="3448D757" w14:textId="77777777" w:rsidR="00702A2C" w:rsidRPr="00C024E2" w:rsidRDefault="00702A2C" w:rsidP="008554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44 (97.78)</w:t>
            </w:r>
          </w:p>
        </w:tc>
        <w:tc>
          <w:tcPr>
            <w:tcW w:w="1280" w:type="dxa"/>
            <w:vAlign w:val="center"/>
            <w:hideMark/>
          </w:tcPr>
          <w:p w14:paraId="6979E33E" w14:textId="028E80A2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0.02</w:t>
            </w:r>
          </w:p>
        </w:tc>
      </w:tr>
      <w:tr w:rsidR="00702A2C" w:rsidRPr="00C024E2" w14:paraId="323D07AC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D5812" w14:textId="6B5BD3F4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Unstable</w:t>
            </w:r>
            <w:r w:rsidR="00C024E2" w:rsidRPr="00C024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recanalization requiring reintervention</w:t>
            </w:r>
          </w:p>
        </w:tc>
        <w:tc>
          <w:tcPr>
            <w:tcW w:w="0" w:type="auto"/>
            <w:vAlign w:val="center"/>
            <w:hideMark/>
          </w:tcPr>
          <w:p w14:paraId="17188A3A" w14:textId="77777777" w:rsidR="00702A2C" w:rsidRPr="00C024E2" w:rsidRDefault="00702A2C" w:rsidP="008554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(2.86)</w:t>
            </w:r>
          </w:p>
        </w:tc>
        <w:tc>
          <w:tcPr>
            <w:tcW w:w="0" w:type="auto"/>
            <w:vAlign w:val="center"/>
            <w:hideMark/>
          </w:tcPr>
          <w:p w14:paraId="237B84D3" w14:textId="77777777" w:rsidR="00702A2C" w:rsidRPr="00C024E2" w:rsidRDefault="00702A2C" w:rsidP="008554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54A35D81" w14:textId="77777777" w:rsidR="00702A2C" w:rsidRPr="00C024E2" w:rsidRDefault="00702A2C" w:rsidP="008554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(2.22)</w:t>
            </w:r>
          </w:p>
        </w:tc>
        <w:tc>
          <w:tcPr>
            <w:tcW w:w="1280" w:type="dxa"/>
            <w:vAlign w:val="center"/>
            <w:hideMark/>
          </w:tcPr>
          <w:p w14:paraId="1A470950" w14:textId="2EFB879E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</w:tr>
      <w:tr w:rsidR="00702A2C" w:rsidRPr="00C024E2" w14:paraId="5A239BE1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C2181" w14:textId="77777777" w:rsidR="00702A2C" w:rsidRPr="00C024E2" w:rsidRDefault="00702A2C" w:rsidP="00C024E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Safety variables</w:t>
            </w:r>
          </w:p>
        </w:tc>
        <w:tc>
          <w:tcPr>
            <w:tcW w:w="0" w:type="auto"/>
            <w:vAlign w:val="center"/>
            <w:hideMark/>
          </w:tcPr>
          <w:p w14:paraId="6B7E51C3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813A85D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  <w:hideMark/>
          </w:tcPr>
          <w:p w14:paraId="552EE1CF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vAlign w:val="center"/>
            <w:hideMark/>
          </w:tcPr>
          <w:p w14:paraId="02999CDE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02A2C" w:rsidRPr="00C024E2" w14:paraId="433FC4A9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FFF87" w14:textId="11531503" w:rsidR="00702A2C" w:rsidRPr="00C024E2" w:rsidRDefault="00702A2C" w:rsidP="00C024E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Ischemic</w:t>
            </w:r>
            <w:r w:rsidR="00C024E2"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complications</w:t>
            </w:r>
          </w:p>
        </w:tc>
        <w:tc>
          <w:tcPr>
            <w:tcW w:w="0" w:type="auto"/>
            <w:vAlign w:val="center"/>
            <w:hideMark/>
          </w:tcPr>
          <w:p w14:paraId="1D9AA108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0207238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  <w:hideMark/>
          </w:tcPr>
          <w:p w14:paraId="07CA9EAC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vAlign w:val="center"/>
            <w:hideMark/>
          </w:tcPr>
          <w:p w14:paraId="0335D52D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02A2C" w:rsidRPr="00C024E2" w14:paraId="0D58E2F3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872C6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Intraoperative</w:t>
            </w:r>
          </w:p>
        </w:tc>
        <w:tc>
          <w:tcPr>
            <w:tcW w:w="0" w:type="auto"/>
            <w:vAlign w:val="center"/>
            <w:hideMark/>
          </w:tcPr>
          <w:p w14:paraId="4207C536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0" w:type="auto"/>
            <w:vAlign w:val="center"/>
            <w:hideMark/>
          </w:tcPr>
          <w:p w14:paraId="3F2573B2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(2.63)</w:t>
            </w:r>
          </w:p>
        </w:tc>
        <w:tc>
          <w:tcPr>
            <w:tcW w:w="1878" w:type="dxa"/>
            <w:vAlign w:val="center"/>
            <w:hideMark/>
          </w:tcPr>
          <w:p w14:paraId="1AD45C0B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3 (6.67)</w:t>
            </w:r>
          </w:p>
        </w:tc>
        <w:tc>
          <w:tcPr>
            <w:tcW w:w="1280" w:type="dxa"/>
            <w:vAlign w:val="center"/>
            <w:hideMark/>
          </w:tcPr>
          <w:p w14:paraId="5FDBC672" w14:textId="2FE97E3A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</w:tr>
      <w:tr w:rsidR="00702A2C" w:rsidRPr="00C024E2" w14:paraId="77EB4B8B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74E75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Early periprocedural</w:t>
            </w:r>
          </w:p>
        </w:tc>
        <w:tc>
          <w:tcPr>
            <w:tcW w:w="0" w:type="auto"/>
            <w:vAlign w:val="center"/>
            <w:hideMark/>
          </w:tcPr>
          <w:p w14:paraId="0159B19B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(2.86)</w:t>
            </w:r>
          </w:p>
        </w:tc>
        <w:tc>
          <w:tcPr>
            <w:tcW w:w="0" w:type="auto"/>
            <w:vAlign w:val="center"/>
            <w:hideMark/>
          </w:tcPr>
          <w:p w14:paraId="68FF2547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1F4607D0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2 (4.44)</w:t>
            </w:r>
          </w:p>
        </w:tc>
        <w:tc>
          <w:tcPr>
            <w:tcW w:w="1280" w:type="dxa"/>
            <w:vAlign w:val="center"/>
            <w:hideMark/>
          </w:tcPr>
          <w:p w14:paraId="5CA66E88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A2C" w:rsidRPr="00C024E2" w14:paraId="0BA034DB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E022B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Late periprocedural</w:t>
            </w:r>
          </w:p>
        </w:tc>
        <w:tc>
          <w:tcPr>
            <w:tcW w:w="0" w:type="auto"/>
            <w:vAlign w:val="center"/>
            <w:hideMark/>
          </w:tcPr>
          <w:p w14:paraId="4C65EA09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0" w:type="auto"/>
            <w:vAlign w:val="center"/>
            <w:hideMark/>
          </w:tcPr>
          <w:p w14:paraId="7CD040DE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5C55908A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5996DCC4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A2C" w:rsidRPr="00C024E2" w14:paraId="4FAA40AC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86D62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Global ischemic</w:t>
            </w:r>
          </w:p>
        </w:tc>
        <w:tc>
          <w:tcPr>
            <w:tcW w:w="0" w:type="auto"/>
            <w:vAlign w:val="center"/>
            <w:hideMark/>
          </w:tcPr>
          <w:p w14:paraId="70290870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(2.86)</w:t>
            </w:r>
          </w:p>
        </w:tc>
        <w:tc>
          <w:tcPr>
            <w:tcW w:w="0" w:type="auto"/>
            <w:vAlign w:val="center"/>
            <w:hideMark/>
          </w:tcPr>
          <w:p w14:paraId="7135A799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(2.63)</w:t>
            </w:r>
          </w:p>
        </w:tc>
        <w:tc>
          <w:tcPr>
            <w:tcW w:w="1878" w:type="dxa"/>
            <w:vAlign w:val="center"/>
            <w:hideMark/>
          </w:tcPr>
          <w:p w14:paraId="326B7C9D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5 (11.11)</w:t>
            </w:r>
          </w:p>
        </w:tc>
        <w:tc>
          <w:tcPr>
            <w:tcW w:w="1280" w:type="dxa"/>
            <w:vAlign w:val="center"/>
            <w:hideMark/>
          </w:tcPr>
          <w:p w14:paraId="60985964" w14:textId="2B9C33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</w:tr>
      <w:tr w:rsidR="00702A2C" w:rsidRPr="00C024E2" w14:paraId="641E9BC6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FDD2D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Hemorrhagic</w:t>
            </w:r>
          </w:p>
        </w:tc>
        <w:tc>
          <w:tcPr>
            <w:tcW w:w="0" w:type="auto"/>
            <w:vAlign w:val="center"/>
            <w:hideMark/>
          </w:tcPr>
          <w:p w14:paraId="3154E742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13895A3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  <w:hideMark/>
          </w:tcPr>
          <w:p w14:paraId="12D14CB5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vAlign w:val="center"/>
            <w:hideMark/>
          </w:tcPr>
          <w:p w14:paraId="027881F7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A2C" w:rsidRPr="00C024E2" w14:paraId="08D5A74F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AD9DF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Intraoperative</w:t>
            </w:r>
          </w:p>
        </w:tc>
        <w:tc>
          <w:tcPr>
            <w:tcW w:w="0" w:type="auto"/>
            <w:vAlign w:val="center"/>
            <w:hideMark/>
          </w:tcPr>
          <w:p w14:paraId="2394E973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0" w:type="auto"/>
            <w:vAlign w:val="center"/>
            <w:hideMark/>
          </w:tcPr>
          <w:p w14:paraId="22CCA56A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1FF295AC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3864A9DF" w14:textId="70C3CD76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A2C" w:rsidRPr="00C024E2" w14:paraId="40323949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02645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Early periprocedural</w:t>
            </w:r>
          </w:p>
        </w:tc>
        <w:tc>
          <w:tcPr>
            <w:tcW w:w="0" w:type="auto"/>
            <w:vAlign w:val="center"/>
            <w:hideMark/>
          </w:tcPr>
          <w:p w14:paraId="5A48CAC1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(2.86)</w:t>
            </w:r>
          </w:p>
        </w:tc>
        <w:tc>
          <w:tcPr>
            <w:tcW w:w="0" w:type="auto"/>
            <w:vAlign w:val="center"/>
            <w:hideMark/>
          </w:tcPr>
          <w:p w14:paraId="359735F7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04FE1522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227D6902" w14:textId="226F3626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</w:tr>
      <w:tr w:rsidR="00702A2C" w:rsidRPr="00C024E2" w14:paraId="4CB013B8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C6AE7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Late periprocedural</w:t>
            </w:r>
          </w:p>
        </w:tc>
        <w:tc>
          <w:tcPr>
            <w:tcW w:w="0" w:type="auto"/>
            <w:vAlign w:val="center"/>
            <w:hideMark/>
          </w:tcPr>
          <w:p w14:paraId="7A2E0165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0" w:type="auto"/>
            <w:vAlign w:val="center"/>
            <w:hideMark/>
          </w:tcPr>
          <w:p w14:paraId="51F88BF5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471E110B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6780A112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A2C" w:rsidRPr="00C024E2" w14:paraId="353A37E8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14E11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Global hemorrhagic</w:t>
            </w:r>
          </w:p>
        </w:tc>
        <w:tc>
          <w:tcPr>
            <w:tcW w:w="0" w:type="auto"/>
            <w:vAlign w:val="center"/>
            <w:hideMark/>
          </w:tcPr>
          <w:p w14:paraId="594C9BF2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(2.86)</w:t>
            </w:r>
          </w:p>
        </w:tc>
        <w:tc>
          <w:tcPr>
            <w:tcW w:w="0" w:type="auto"/>
            <w:vAlign w:val="center"/>
            <w:hideMark/>
          </w:tcPr>
          <w:p w14:paraId="6B076E79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172616D0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2B45F0F9" w14:textId="1F7D0215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</w:tr>
      <w:tr w:rsidR="00702A2C" w:rsidRPr="00C024E2" w14:paraId="132B12C6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F82A5" w14:textId="77777777" w:rsidR="00702A2C" w:rsidRPr="00C024E2" w:rsidRDefault="00702A2C" w:rsidP="00C024E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Hemorrhagic complications (detailed)</w:t>
            </w:r>
          </w:p>
        </w:tc>
        <w:tc>
          <w:tcPr>
            <w:tcW w:w="0" w:type="auto"/>
            <w:vAlign w:val="center"/>
            <w:hideMark/>
          </w:tcPr>
          <w:p w14:paraId="57C3B2BB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9AC9205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  <w:hideMark/>
          </w:tcPr>
          <w:p w14:paraId="3C6A7460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vAlign w:val="center"/>
            <w:hideMark/>
          </w:tcPr>
          <w:p w14:paraId="5AFF674E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A2C" w:rsidRPr="00C024E2" w14:paraId="179F06A7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BFDEF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Hematoma</w:t>
            </w:r>
          </w:p>
        </w:tc>
        <w:tc>
          <w:tcPr>
            <w:tcW w:w="0" w:type="auto"/>
            <w:vAlign w:val="center"/>
            <w:hideMark/>
          </w:tcPr>
          <w:p w14:paraId="0DC9A905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(2.86)</w:t>
            </w:r>
          </w:p>
        </w:tc>
        <w:tc>
          <w:tcPr>
            <w:tcW w:w="0" w:type="auto"/>
            <w:vAlign w:val="center"/>
            <w:hideMark/>
          </w:tcPr>
          <w:p w14:paraId="0C65ED93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3D57E231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6F8D37B5" w14:textId="19C5B4E6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</w:tr>
      <w:tr w:rsidR="00702A2C" w:rsidRPr="00C024E2" w14:paraId="3607C89D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EFDB9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Subarachnoid hemorrhage</w:t>
            </w:r>
          </w:p>
        </w:tc>
        <w:tc>
          <w:tcPr>
            <w:tcW w:w="0" w:type="auto"/>
            <w:vAlign w:val="center"/>
            <w:hideMark/>
          </w:tcPr>
          <w:p w14:paraId="01E87FDF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0" w:type="auto"/>
            <w:vAlign w:val="center"/>
            <w:hideMark/>
          </w:tcPr>
          <w:p w14:paraId="4F7E436F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39EDE6B9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76B9192D" w14:textId="6FB7945E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A2C" w:rsidRPr="00C024E2" w14:paraId="294AED5F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7ECD9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Fisher grade 2</w:t>
            </w:r>
          </w:p>
        </w:tc>
        <w:tc>
          <w:tcPr>
            <w:tcW w:w="0" w:type="auto"/>
            <w:vAlign w:val="center"/>
            <w:hideMark/>
          </w:tcPr>
          <w:p w14:paraId="3C363B6A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0" w:type="auto"/>
            <w:vAlign w:val="center"/>
            <w:hideMark/>
          </w:tcPr>
          <w:p w14:paraId="079231A5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0E873C25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751B0991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A2C" w:rsidRPr="00C024E2" w14:paraId="1EEC7D75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12C5B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Fisher grade 3</w:t>
            </w:r>
          </w:p>
        </w:tc>
        <w:tc>
          <w:tcPr>
            <w:tcW w:w="0" w:type="auto"/>
            <w:vAlign w:val="center"/>
            <w:hideMark/>
          </w:tcPr>
          <w:p w14:paraId="088F668B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0" w:type="auto"/>
            <w:vAlign w:val="center"/>
            <w:hideMark/>
          </w:tcPr>
          <w:p w14:paraId="005DA0EA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22F2F040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5CF7866A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A2C" w:rsidRPr="00C024E2" w14:paraId="0D3A2254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5A906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Fisher grade 4</w:t>
            </w:r>
          </w:p>
        </w:tc>
        <w:tc>
          <w:tcPr>
            <w:tcW w:w="0" w:type="auto"/>
            <w:vAlign w:val="center"/>
            <w:hideMark/>
          </w:tcPr>
          <w:p w14:paraId="15823BE0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(2.86)</w:t>
            </w:r>
          </w:p>
        </w:tc>
        <w:tc>
          <w:tcPr>
            <w:tcW w:w="0" w:type="auto"/>
            <w:vAlign w:val="center"/>
            <w:hideMark/>
          </w:tcPr>
          <w:p w14:paraId="403FBB0B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67F77773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1BAE6A8B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02A2C" w:rsidRPr="00C024E2" w14:paraId="7A4D43C2" w14:textId="77777777" w:rsidTr="009F31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39D1A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Cerebral edema</w:t>
            </w:r>
          </w:p>
        </w:tc>
        <w:tc>
          <w:tcPr>
            <w:tcW w:w="0" w:type="auto"/>
            <w:vAlign w:val="center"/>
            <w:hideMark/>
          </w:tcPr>
          <w:p w14:paraId="5EEEA4D7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0" w:type="auto"/>
            <w:vAlign w:val="center"/>
            <w:hideMark/>
          </w:tcPr>
          <w:p w14:paraId="0436C75E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vAlign w:val="center"/>
            <w:hideMark/>
          </w:tcPr>
          <w:p w14:paraId="448B0CE8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280" w:type="dxa"/>
            <w:vAlign w:val="center"/>
            <w:hideMark/>
          </w:tcPr>
          <w:p w14:paraId="257AFD1F" w14:textId="29B7261C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02A2C" w:rsidRPr="00C024E2" w14:paraId="0FDF6897" w14:textId="77777777" w:rsidTr="009F3148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12D5DD8" w14:textId="77777777" w:rsidR="00702A2C" w:rsidRPr="00C024E2" w:rsidRDefault="00702A2C" w:rsidP="00C02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Global morbidity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475DE64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1 (2.86)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8E181A3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 (0.00)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vAlign w:val="center"/>
            <w:hideMark/>
          </w:tcPr>
          <w:p w14:paraId="7E373150" w14:textId="7777777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2 (4.44)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  <w:hideMark/>
          </w:tcPr>
          <w:p w14:paraId="266BC7DE" w14:textId="50B9AA27" w:rsidR="00702A2C" w:rsidRPr="00C024E2" w:rsidRDefault="00702A2C" w:rsidP="00702A2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24E2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</w:tr>
    </w:tbl>
    <w:p w14:paraId="26EFEA65" w14:textId="384AEFDB" w:rsidR="00DE6692" w:rsidRPr="00E93452" w:rsidRDefault="008554BA" w:rsidP="00702A2C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024E2">
        <w:rPr>
          <w:rFonts w:ascii="Times New Roman" w:hAnsi="Times New Roman" w:cs="Times New Roman"/>
          <w:i/>
          <w:iCs/>
          <w:sz w:val="20"/>
          <w:szCs w:val="20"/>
        </w:rPr>
        <w:t xml:space="preserve">The sensitivity analysis was restricted to procedures performed from 2024 onward. </w:t>
      </w:r>
      <w:r w:rsidR="00C66B4C" w:rsidRPr="00C024E2">
        <w:rPr>
          <w:rFonts w:ascii="Times New Roman" w:hAnsi="Times New Roman" w:cs="Times New Roman"/>
          <w:i/>
          <w:iCs/>
          <w:sz w:val="20"/>
          <w:szCs w:val="20"/>
        </w:rPr>
        <w:t xml:space="preserve">WEB: Woven </w:t>
      </w:r>
      <w:proofErr w:type="spellStart"/>
      <w:r w:rsidR="00C66B4C" w:rsidRPr="00C024E2">
        <w:rPr>
          <w:rFonts w:ascii="Times New Roman" w:hAnsi="Times New Roman" w:cs="Times New Roman"/>
          <w:i/>
          <w:iCs/>
          <w:sz w:val="20"/>
          <w:szCs w:val="20"/>
        </w:rPr>
        <w:t>EndoBridge</w:t>
      </w:r>
      <w:proofErr w:type="spellEnd"/>
      <w:r w:rsidR="00C66B4C" w:rsidRPr="00C024E2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sectPr w:rsidR="00DE6692" w:rsidRPr="00E934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2D"/>
    <w:rsid w:val="001719B1"/>
    <w:rsid w:val="001A4DA9"/>
    <w:rsid w:val="002207EB"/>
    <w:rsid w:val="004E6138"/>
    <w:rsid w:val="0067275C"/>
    <w:rsid w:val="00702A2C"/>
    <w:rsid w:val="008554BA"/>
    <w:rsid w:val="009038C3"/>
    <w:rsid w:val="00907A77"/>
    <w:rsid w:val="009D0936"/>
    <w:rsid w:val="009F3148"/>
    <w:rsid w:val="00A25F6B"/>
    <w:rsid w:val="00C024E2"/>
    <w:rsid w:val="00C66B4C"/>
    <w:rsid w:val="00DE6692"/>
    <w:rsid w:val="00E860A6"/>
    <w:rsid w:val="00E93452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09C5"/>
  <w15:chartTrackingRefBased/>
  <w15:docId w15:val="{20D6CF24-2574-4677-A26E-4D1315510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F6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6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6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6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6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6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6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6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6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6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6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6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622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622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62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62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62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62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6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6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6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6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6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62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62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62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6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622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6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Alejandro Luzardo Neira</dc:creator>
  <cp:keywords/>
  <dc:description/>
  <cp:lastModifiedBy>Cesar Luzardo</cp:lastModifiedBy>
  <cp:revision>14</cp:revision>
  <dcterms:created xsi:type="dcterms:W3CDTF">2026-07-14T04:38:00Z</dcterms:created>
  <dcterms:modified xsi:type="dcterms:W3CDTF">2026-08-18T07:27:00Z</dcterms:modified>
</cp:coreProperties>
</file>