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02A43"/>
          <w:sz w:val="32"/>
          <w:szCs w:val="32"/>
        </w:rPr>
        <w:t xml:space="preserve">A General Codeness Model across the Tree of Life</w:t>
      </w:r>
    </w:p>
    <w:p>
      <w:pPr>
        <w:spacing w:after="40"/>
      </w:pPr>
      <w:r>
        <w:rPr>
          <w:i/>
          <w:iCs/>
          <w:color w:val="1C7293"/>
          <w:sz w:val="21"/>
          <w:szCs w:val="21"/>
        </w:rPr>
        <w:t xml:space="preserve">The Universal Epigenetic Codeness Law: a separable law for how code-like each epigenetic layer is — with a universal layer constant, a per-kingdom constant, and an interaction term for carrier switches.</w:t>
      </w:r>
    </w:p>
    <w:p>
      <w:pPr>
        <w:spacing w:after="160"/>
      </w:pPr>
      <w:r>
        <w:rPr>
          <w:color w:val="5B6B7A"/>
          <w:sz w:val="18"/>
          <w:szCs w:val="18"/>
        </w:rPr>
        <w:t xml:space="preserve">Standalone note for the Codeness project. Davis W. Cheng. September 2026. Status: HYPOTHESIS about the index (see §6).</w:t>
      </w:r>
    </w:p>
    <w:tbl>
      <w:tblPr>
        <w:tblW w:type="dxa" w:w="9360"/>
        <w:tblBorders>
          <w:top w:val="single" w:color="9BB4D6" w:sz="6"/>
          <w:left w:val="single" w:color="9BB4D6" w:sz="6"/>
          <w:bottom w:val="single" w:color="9BB4D6" w:sz="6"/>
          <w:right w:val="single" w:color="9BB4D6" w:sz="6"/>
          <w:insideH w:val="single" w:color="9BB4D6" w:sz="6"/>
          <w:insideV w:val="single" w:color="9BB4D6" w:sz="6"/>
        </w:tblBorders>
      </w:tblPr>
      <w:tblGrid>
        <w:gridCol w:w="9360"/>
      </w:tblGrid>
      <w:tr>
        <w:tc>
          <w:tcPr>
            <w:tcW w:type="dxa" w:w="9360"/>
            <w:shd w:fill="EEF3FA" w:color="auto" w:val="clear"/>
            <w:tcMar>
              <w:top w:type="dxa" w:w="150"/>
              <w:left w:type="dxa" w:w="170"/>
              <w:bottom w:type="dxa" w:w="150"/>
              <w:right w:type="dxa" w:w="170"/>
            </w:tcMar>
          </w:tcPr>
          <w:p>
            <w:pPr>
              <w:spacing w:after="100" w:line="276"/>
            </w:pPr>
            <w:r>
              <w:rPr>
                <w:b/>
                <w:bCs/>
                <w:color w:val="102A43"/>
                <w:sz w:val="20"/>
                <w:szCs w:val="20"/>
              </w:rPr>
              <w:t xml:space="preserve">THE UNIVERSAL EPIGENETIC CODENESS LAW — IN WORDS</w:t>
            </w:r>
          </w:p>
          <w:p>
            <w:pPr>
              <w:spacing w:after="120" w:line="276"/>
            </w:pPr>
            <w:r>
              <w:t xml:space="preserve">Across the tree of life, how strongly any given molecular layer of the epigenome behaves as a heritable </w:t>
            </w:r>
            <w:r>
              <w:rPr>
                <w:b/>
                <w:bCs/>
              </w:rPr>
              <w:t xml:space="preserve">code</w:t>
            </w:r>
            <w:r>
              <w:t xml:space="preserve"> is set by two largely independent things: an intrinsic property of the layer itself, which does not depend on the organism, and a single overall setting that belongs to the lineage. Every heritable layer carries a fixed intrinsic "code-ability" — a tendency to store information and transmit it faithfully through cell division — and the layers fall in the </w:t>
            </w:r>
            <w:r>
              <w:rPr>
                <w:b/>
                <w:bCs/>
              </w:rPr>
              <w:t xml:space="preserve">same rank order in every kingdom examined</w:t>
            </w:r>
            <w:r>
              <w:t xml:space="preserve">: DNA methylation is the most code-like, followed by repressive histone marks and specialized histone variants, then active histone marks, three-dimensional genome architecture, non-coding-RNA guidance, and finally chromatin accessibility, the least code-like. Each lineage then applies </w:t>
            </w:r>
            <w:r>
              <w:rPr>
                <w:b/>
                <w:bCs/>
              </w:rPr>
              <w:t xml:space="preserve">one overall "coding gain"</w:t>
            </w:r>
            <w:r>
              <w:t xml:space="preserve"> that turns all of its layers up or down together, so that some lineages rely on epigenetic coding more than others while preserving the same internal ranking. The single systematic exception occurs where evolution has </w:t>
            </w:r>
            <w:r>
              <w:rPr>
                <w:b/>
                <w:bCs/>
              </w:rPr>
              <w:t xml:space="preserve">swapped the molecular carrier of memory</w:t>
            </w:r>
            <w:r>
              <w:t xml:space="preserve"> — for instance, lineages that lack DNA methylation and shift the burden onto small RNAs or repressive marks. There, and essentially only there, the ranking is locally rearranged.</w:t>
            </w:r>
          </w:p>
          <w:p>
            <w:pPr>
              <w:spacing w:after="120" w:line="276"/>
            </w:pPr>
            <w:r>
              <w:rPr>
                <w:b/>
                <w:bCs/>
              </w:rPr>
              <w:t xml:space="preserve">In plain language. </w:t>
            </w:r>
            <w:r>
              <w:t xml:space="preserve">Think of each epigenetic layer as a different writing surface, ranked by how well it holds a permanent message: DNA methylation is like ink on paper, while chromatin accessibility is more like footprints in sand. That ranking of surfaces is the same in bacteria, fungi, plants, animals, and humans. What differs between these groups is only how hard each one "presses the pen" overall — some lean on epigenetic memory more than others — not which surfaces hold a message best. The only real exceptions are lineages that switched to a different writing material altogether.</w:t>
            </w:r>
          </w:p>
          <w:p>
            <w:pPr>
              <w:spacing w:after="20" w:line="276"/>
            </w:pPr>
            <w:r>
              <w:rPr>
                <w:b/>
                <w:bCs/>
                <w:color w:val="8A1C1C"/>
              </w:rPr>
              <w:t xml:space="preserve">Status. </w:t>
            </w:r>
            <w:r>
              <w:rPr>
                <w:i/>
                <w:iCs/>
                <w:color w:val="444444"/>
                <w:sz w:val="19"/>
                <w:szCs w:val="19"/>
              </w:rPr>
              <w:t xml:space="preserve">This is advanced as a falsifiable hypothesis, not an established law of nature. It describes a striking regularity in our current cross-kingdom index, but a large share of that index’s cross-kingdom values were carried over from mammalian measurements rather than measured independently in each organism — and that alone tends to manufacture this kind of clean, separable pattern. It becomes a genuine claim about biology only if it survives testing on an independently measured dataset (see §§6–8). The part of the current evidence that is already independent, and therefore most informative, is exactly the carrier-switch exceptions.</w:t>
            </w:r>
          </w:p>
        </w:tc>
      </w:tr>
    </w:tbl>
    <w:p>
      <w:pPr>
        <w:spacing w:after="120"/>
      </w:pPr>
    </w:p>
    <w:p>
      <w:pPr>
        <w:pStyle w:val="Heading1"/>
        <w:spacing w:after="110" w:before="260"/>
      </w:pPr>
      <w:r>
        <w:rPr>
          <w:b/>
          <w:bCs/>
        </w:rPr>
        <w:t xml:space="preserve">1. The claim, in one sentence</w:t>
      </w:r>
    </w:p>
    <w:p>
      <w:pPr>
        <w:spacing w:after="150" w:line="276"/>
      </w:pPr>
      <w:r>
        <w:t xml:space="preserve">Across seven epigenetic layers and five kingdoms, the codeness of a layer is well described by a </w:t>
      </w:r>
      <w:r>
        <w:rPr>
          <w:b/>
          <w:bCs/>
        </w:rPr>
        <w:t xml:space="preserve">universal, layer-specific "code-ability" constant times a per-kingdom gain</w:t>
      </w:r>
      <w:r>
        <w:t xml:space="preserve">, with a small residual that captures exactly the places where evolution swaps the carrier molecule. In symbols, the codeness of layer L in kingdom K is:</w:t>
      </w:r>
    </w:p>
    <w:p>
      <w:pPr>
        <w:spacing w:after="120" w:before="80"/>
        <w:jc w:val="center"/>
      </w:pPr>
      <w:r>
        <w:rPr>
          <w:rFonts w:ascii="Consolas" w:cs="Consolas" w:eastAsia="Consolas" w:hAnsi="Consolas"/>
          <w:b/>
          <w:bCs/>
          <w:color w:val="102A43"/>
          <w:sz w:val="24"/>
          <w:szCs w:val="24"/>
        </w:rPr>
        <w:t xml:space="preserve">C(L, K)  =  C0  ·  α_L  ·  β_K  ·  ε(L,K)</w:t>
      </w:r>
    </w:p>
    <w:p>
      <w:pPr>
        <w:spacing w:after="150" w:line="276"/>
      </w:pPr>
      <w:r>
        <w:t xml:space="preserve">Fitting this on our v7 cross-kingdom index (29 present layer×kingdom cells) explains </w:t>
      </w:r>
      <w:r>
        <w:rPr>
          <w:b/>
          <w:bCs/>
        </w:rPr>
        <w:t xml:space="preserve">95.7% of the variance in log-codeness</w:t>
      </w:r>
      <w:r>
        <w:t xml:space="preserve"> with the separable part (C0·α_L·β_K); the interaction ε accounts for the remaining ~4%. Removing the one lineage that switched carriers (invertebrates, which lack DNA methylation) raises the separable fit to </w:t>
      </w:r>
      <w:r>
        <w:rPr>
          <w:b/>
          <w:bCs/>
        </w:rPr>
        <w:t xml:space="preserve">R² = 0.972</w:t>
      </w:r>
      <w:r>
        <w:t xml:space="preserve">, confirming that the non-separable part is the carrier switch.</w:t>
      </w:r>
    </w:p>
    <w:p>
      <w:pPr>
        <w:pStyle w:val="Heading1"/>
        <w:spacing w:after="110" w:before="260"/>
      </w:pPr>
      <w:r>
        <w:rPr>
          <w:b/>
          <w:bCs/>
        </w:rPr>
        <w:t xml:space="preserve">2. What each term means</w:t>
      </w:r>
    </w:p>
    <w:p>
      <w:pPr>
        <w:spacing w:after="150" w:line="276"/>
      </w:pPr>
      <w:r>
        <w:rPr>
          <w:b/>
          <w:bCs/>
        </w:rPr>
        <w:t xml:space="preserve">C0 = 0.252</w:t>
      </w:r>
      <w:r>
        <w:t xml:space="preserve"> — a baseline (the geometric grand mean of codeness).</w:t>
      </w:r>
    </w:p>
    <w:p>
      <w:pPr>
        <w:spacing w:after="150" w:line="276"/>
      </w:pPr>
      <w:r>
        <w:rPr>
          <w:b/>
          <w:bCs/>
        </w:rPr>
        <w:t xml:space="preserve">α_L — the universal layer constant</w:t>
      </w:r>
      <w:r>
        <w:t xml:space="preserve"> ("code-ability"): the same ranking of layers in every kingdom. It says which molecules are intrinsically more code-like, independent of lineage. Values &gt; 1 are more code-like than average; &lt; 1 less.</w:t>
      </w:r>
    </w:p>
    <w:p>
      <w:pPr>
        <w:spacing w:after="150" w:line="276"/>
      </w:pPr>
      <w:r>
        <w:rPr>
          <w:b/>
          <w:bCs/>
        </w:rPr>
        <w:t xml:space="preserve">β_K — the per-kingdom constant</w:t>
      </w:r>
      <w:r>
        <w:t xml:space="preserve"> ("epigenetic-coding gain"): a single scalar per lineage that rescales all layers together. This is the "different constant across the tree of life" — how strongly a lineage exploits epigenetic coding overall.</w:t>
      </w:r>
    </w:p>
    <w:p>
      <w:pPr>
        <w:spacing w:after="150" w:line="276"/>
      </w:pPr>
      <w:r>
        <w:rPr>
          <w:b/>
          <w:bCs/>
        </w:rPr>
        <w:t xml:space="preserve">ε(L,K) — the interaction term</w:t>
      </w:r>
      <w:r>
        <w:t xml:space="preserve">: ≈ 1 wherever the separable law holds. It departs from 1 only for lineage-specific carrier switches — small-RNA and repressive-mark codeness rise in invertebrates (where 5-methylcytosine is absent), and ncRNA codeness falls in mammals (where most long non-coding RNAs are non-functional). The interaction is not noise; it is the biology the separable law cannot absorb.</w:t>
      </w:r>
    </w:p>
    <w:p>
      <w:pPr>
        <w:pStyle w:val="Heading1"/>
        <w:spacing w:after="110" w:before="260"/>
      </w:pPr>
      <w:r>
        <w:rPr>
          <w:b/>
          <w:bCs/>
        </w:rPr>
        <w:t xml:space="preserve">3. The constants (fitted values)</w:t>
      </w:r>
    </w:p>
    <w:p>
      <w:pPr>
        <w:pStyle w:val="Heading2"/>
        <w:spacing w:after="80" w:before="170"/>
      </w:pPr>
      <w:r>
        <w:rPr>
          <w:b/>
          <w:bCs/>
        </w:rPr>
        <w:t xml:space="preserve">3a. Universal layer constant α_L — one ranking for all kingdoms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200"/>
        <w:gridCol w:w="2200"/>
        <w:gridCol w:w="3000"/>
      </w:tblGrid>
      <w:tr>
        <w:trPr>
          <w:tblHeader/>
        </w:trPr>
        <w:tc>
          <w:tcPr>
            <w:tcW w:type="dxa" w:w="4200"/>
            <w:shd w:fill="D9E2F3" w:color="auto" w:val="clear"/>
            <w:tcMar>
              <w:top w:type="dxa" w:w="40"/>
              <w:left w:type="dxa" w:w="90"/>
              <w:bottom w:type="dxa" w:w="40"/>
              <w:right w:type="dxa" w:w="90"/>
            </w:tcMar>
          </w:tcPr>
          <w:p>
            <w:r>
              <w:rPr>
                <w:b/>
                <w:bCs/>
                <w:sz w:val="19"/>
                <w:szCs w:val="19"/>
              </w:rPr>
              <w:t xml:space="preserve">Layer</w:t>
            </w:r>
          </w:p>
        </w:tc>
        <w:tc>
          <w:tcPr>
            <w:tcW w:type="dxa" w:w="2200"/>
            <w:shd w:fill="D9E2F3" w:color="auto" w:val="clear"/>
            <w:tcMar>
              <w:top w:type="dxa" w:w="40"/>
              <w:left w:type="dxa" w:w="90"/>
              <w:bottom w:type="dxa" w:w="40"/>
              <w:right w:type="dxa" w:w="90"/>
            </w:tcMar>
          </w:tcPr>
          <w:p>
            <w:r>
              <w:rPr>
                <w:b/>
                <w:bCs/>
                <w:sz w:val="19"/>
                <w:szCs w:val="19"/>
              </w:rPr>
              <w:t xml:space="preserve">α_L</w:t>
            </w:r>
          </w:p>
        </w:tc>
        <w:tc>
          <w:tcPr>
            <w:tcW w:type="dxa" w:w="3000"/>
            <w:shd w:fill="D9E2F3" w:color="auto" w:val="clear"/>
            <w:tcMar>
              <w:top w:type="dxa" w:w="40"/>
              <w:left w:type="dxa" w:w="90"/>
              <w:bottom w:type="dxa" w:w="40"/>
              <w:right w:type="dxa" w:w="90"/>
            </w:tcMar>
          </w:tcPr>
          <w:p>
            <w:r>
              <w:rPr>
                <w:b/>
                <w:bCs/>
                <w:sz w:val="19"/>
                <w:szCs w:val="19"/>
              </w:rPr>
              <w:t xml:space="preserve">Reading</w:t>
            </w:r>
          </w:p>
        </w:tc>
      </w:tr>
      <w:tr>
        <w:tc>
          <w:tcPr>
            <w:tcW w:type="dxa" w:w="4200"/>
            <w:tcMar>
              <w:top w:type="dxa" w:w="40"/>
              <w:left w:type="dxa" w:w="90"/>
              <w:bottom w:type="dxa" w:w="40"/>
              <w:right w:type="dxa" w:w="90"/>
            </w:tcMar>
          </w:tcPr>
          <w:p>
            <w:r>
              <w:rPr>
                <w:b w:val="false"/>
                <w:bCs w:val="false"/>
                <w:sz w:val="19"/>
                <w:szCs w:val="19"/>
              </w:rPr>
              <w:t xml:space="preserve">DNA methylation</w:t>
            </w:r>
          </w:p>
        </w:tc>
        <w:tc>
          <w:tcPr>
            <w:tcW w:type="dxa" w:w="2200"/>
            <w:tcMar>
              <w:top w:type="dxa" w:w="40"/>
              <w:left w:type="dxa" w:w="90"/>
              <w:bottom w:type="dxa" w:w="40"/>
              <w:right w:type="dxa" w:w="90"/>
            </w:tcMar>
          </w:tcPr>
          <w:p>
            <w:r>
              <w:rPr>
                <w:b w:val="false"/>
                <w:bCs w:val="false"/>
                <w:sz w:val="19"/>
                <w:szCs w:val="19"/>
              </w:rPr>
              <w:t xml:space="preserve">2.34</w:t>
            </w:r>
          </w:p>
        </w:tc>
        <w:tc>
          <w:tcPr>
            <w:tcW w:type="dxa" w:w="3000"/>
            <w:tcMar>
              <w:top w:type="dxa" w:w="40"/>
              <w:left w:type="dxa" w:w="90"/>
              <w:bottom w:type="dxa" w:w="40"/>
              <w:right w:type="dxa" w:w="90"/>
            </w:tcMar>
          </w:tcPr>
          <w:p>
            <w:r>
              <w:rPr>
                <w:b w:val="false"/>
                <w:bCs w:val="false"/>
                <w:sz w:val="19"/>
                <w:szCs w:val="19"/>
              </w:rPr>
              <w:t xml:space="preserve">most code-like everywhere it exists</w:t>
            </w:r>
          </w:p>
        </w:tc>
      </w:tr>
      <w:tr>
        <w:tc>
          <w:tcPr>
            <w:tcW w:type="dxa" w:w="4200"/>
            <w:tcMar>
              <w:top w:type="dxa" w:w="40"/>
              <w:left w:type="dxa" w:w="90"/>
              <w:bottom w:type="dxa" w:w="40"/>
              <w:right w:type="dxa" w:w="90"/>
            </w:tcMar>
          </w:tcPr>
          <w:p>
            <w:r>
              <w:rPr>
                <w:b w:val="false"/>
                <w:bCs w:val="false"/>
                <w:sz w:val="19"/>
                <w:szCs w:val="19"/>
              </w:rPr>
              <w:t xml:space="preserve">Histone (repressive)</w:t>
            </w:r>
          </w:p>
        </w:tc>
        <w:tc>
          <w:tcPr>
            <w:tcW w:type="dxa" w:w="2200"/>
            <w:tcMar>
              <w:top w:type="dxa" w:w="40"/>
              <w:left w:type="dxa" w:w="90"/>
              <w:bottom w:type="dxa" w:w="40"/>
              <w:right w:type="dxa" w:w="90"/>
            </w:tcMar>
          </w:tcPr>
          <w:p>
            <w:r>
              <w:rPr>
                <w:b w:val="false"/>
                <w:bCs w:val="false"/>
                <w:sz w:val="19"/>
                <w:szCs w:val="19"/>
              </w:rPr>
              <w:t xml:space="preserve">1.54</w:t>
            </w:r>
          </w:p>
        </w:tc>
        <w:tc>
          <w:tcPr>
            <w:tcW w:type="dxa" w:w="3000"/>
            <w:tcMar>
              <w:top w:type="dxa" w:w="40"/>
              <w:left w:type="dxa" w:w="90"/>
              <w:bottom w:type="dxa" w:w="40"/>
              <w:right w:type="dxa" w:w="90"/>
            </w:tcMar>
          </w:tcPr>
          <w:p>
            <w:r>
              <w:rPr>
                <w:b w:val="false"/>
                <w:bCs w:val="false"/>
                <w:sz w:val="19"/>
                <w:szCs w:val="19"/>
              </w:rPr>
              <w:t xml:space="preserve">the fallback code where 5mC is absent</w:t>
            </w:r>
          </w:p>
        </w:tc>
      </w:tr>
      <w:tr>
        <w:tc>
          <w:tcPr>
            <w:tcW w:type="dxa" w:w="4200"/>
            <w:tcMar>
              <w:top w:type="dxa" w:w="40"/>
              <w:left w:type="dxa" w:w="90"/>
              <w:bottom w:type="dxa" w:w="40"/>
              <w:right w:type="dxa" w:w="90"/>
            </w:tcMar>
          </w:tcPr>
          <w:p>
            <w:r>
              <w:rPr>
                <w:b w:val="false"/>
                <w:bCs w:val="false"/>
                <w:sz w:val="19"/>
                <w:szCs w:val="19"/>
              </w:rPr>
              <w:t xml:space="preserve">Histone variant (CENP-A)</w:t>
            </w:r>
          </w:p>
        </w:tc>
        <w:tc>
          <w:tcPr>
            <w:tcW w:type="dxa" w:w="2200"/>
            <w:tcMar>
              <w:top w:type="dxa" w:w="40"/>
              <w:left w:type="dxa" w:w="90"/>
              <w:bottom w:type="dxa" w:w="40"/>
              <w:right w:type="dxa" w:w="90"/>
            </w:tcMar>
          </w:tcPr>
          <w:p>
            <w:r>
              <w:rPr>
                <w:b w:val="false"/>
                <w:bCs w:val="false"/>
                <w:sz w:val="19"/>
                <w:szCs w:val="19"/>
              </w:rPr>
              <w:t xml:space="preserve">1.23</w:t>
            </w:r>
          </w:p>
        </w:tc>
        <w:tc>
          <w:tcPr>
            <w:tcW w:type="dxa" w:w="3000"/>
            <w:tcMar>
              <w:top w:type="dxa" w:w="40"/>
              <w:left w:type="dxa" w:w="90"/>
              <w:bottom w:type="dxa" w:w="40"/>
              <w:right w:type="dxa" w:w="90"/>
            </w:tcMar>
          </w:tcPr>
          <w:p>
            <w:r>
              <w:rPr>
                <w:b w:val="false"/>
                <w:bCs w:val="false"/>
                <w:sz w:val="19"/>
                <w:szCs w:val="19"/>
              </w:rPr>
              <w:t xml:space="preserve">high-fidelity, replication-independent</w:t>
            </w:r>
          </w:p>
        </w:tc>
      </w:tr>
      <w:tr>
        <w:tc>
          <w:tcPr>
            <w:tcW w:type="dxa" w:w="4200"/>
            <w:tcMar>
              <w:top w:type="dxa" w:w="40"/>
              <w:left w:type="dxa" w:w="90"/>
              <w:bottom w:type="dxa" w:w="40"/>
              <w:right w:type="dxa" w:w="90"/>
            </w:tcMar>
          </w:tcPr>
          <w:p>
            <w:r>
              <w:rPr>
                <w:b w:val="false"/>
                <w:bCs w:val="false"/>
                <w:sz w:val="19"/>
                <w:szCs w:val="19"/>
              </w:rPr>
              <w:t xml:space="preserve">Histone (activating)</w:t>
            </w:r>
          </w:p>
        </w:tc>
        <w:tc>
          <w:tcPr>
            <w:tcW w:type="dxa" w:w="2200"/>
            <w:tcMar>
              <w:top w:type="dxa" w:w="40"/>
              <w:left w:type="dxa" w:w="90"/>
              <w:bottom w:type="dxa" w:w="40"/>
              <w:right w:type="dxa" w:w="90"/>
            </w:tcMar>
          </w:tcPr>
          <w:p>
            <w:r>
              <w:rPr>
                <w:b w:val="false"/>
                <w:bCs w:val="false"/>
                <w:sz w:val="19"/>
                <w:szCs w:val="19"/>
              </w:rPr>
              <w:t xml:space="preserve">0.88</w:t>
            </w:r>
          </w:p>
        </w:tc>
        <w:tc>
          <w:tcPr>
            <w:tcW w:type="dxa" w:w="3000"/>
            <w:tcMar>
              <w:top w:type="dxa" w:w="40"/>
              <w:left w:type="dxa" w:w="90"/>
              <w:bottom w:type="dxa" w:w="40"/>
              <w:right w:type="dxa" w:w="90"/>
            </w:tcMar>
          </w:tcPr>
          <w:p>
            <w:r>
              <w:rPr>
                <w:b w:val="false"/>
                <w:bCs w:val="false"/>
                <w:sz w:val="19"/>
                <w:szCs w:val="19"/>
              </w:rPr>
              <w:t xml:space="preserve">readable but re-derived</w:t>
            </w:r>
          </w:p>
        </w:tc>
      </w:tr>
      <w:tr>
        <w:tc>
          <w:tcPr>
            <w:tcW w:type="dxa" w:w="4200"/>
            <w:tcMar>
              <w:top w:type="dxa" w:w="40"/>
              <w:left w:type="dxa" w:w="90"/>
              <w:bottom w:type="dxa" w:w="40"/>
              <w:right w:type="dxa" w:w="90"/>
            </w:tcMar>
          </w:tcPr>
          <w:p>
            <w:r>
              <w:rPr>
                <w:b w:val="false"/>
                <w:bCs w:val="false"/>
                <w:sz w:val="19"/>
                <w:szCs w:val="19"/>
              </w:rPr>
              <w:t xml:space="preserve">3D genome architecture</w:t>
            </w:r>
          </w:p>
        </w:tc>
        <w:tc>
          <w:tcPr>
            <w:tcW w:type="dxa" w:w="2200"/>
            <w:tcMar>
              <w:top w:type="dxa" w:w="40"/>
              <w:left w:type="dxa" w:w="90"/>
              <w:bottom w:type="dxa" w:w="40"/>
              <w:right w:type="dxa" w:w="90"/>
            </w:tcMar>
          </w:tcPr>
          <w:p>
            <w:r>
              <w:rPr>
                <w:b w:val="false"/>
                <w:bCs w:val="false"/>
                <w:sz w:val="19"/>
                <w:szCs w:val="19"/>
              </w:rPr>
              <w:t xml:space="preserve">0.76</w:t>
            </w:r>
          </w:p>
        </w:tc>
        <w:tc>
          <w:tcPr>
            <w:tcW w:type="dxa" w:w="3000"/>
            <w:tcMar>
              <w:top w:type="dxa" w:w="40"/>
              <w:left w:type="dxa" w:w="90"/>
              <w:bottom w:type="dxa" w:w="40"/>
              <w:right w:type="dxa" w:w="90"/>
            </w:tcMar>
          </w:tcPr>
          <w:p>
            <w:r>
              <w:rPr>
                <w:b w:val="false"/>
                <w:bCs w:val="false"/>
                <w:sz w:val="19"/>
                <w:szCs w:val="19"/>
              </w:rPr>
              <w:t xml:space="preserve">low standalone; potentiates others</w:t>
            </w:r>
          </w:p>
        </w:tc>
      </w:tr>
      <w:tr>
        <w:tc>
          <w:tcPr>
            <w:tcW w:type="dxa" w:w="4200"/>
            <w:tcMar>
              <w:top w:type="dxa" w:w="40"/>
              <w:left w:type="dxa" w:w="90"/>
              <w:bottom w:type="dxa" w:w="40"/>
              <w:right w:type="dxa" w:w="90"/>
            </w:tcMar>
          </w:tcPr>
          <w:p>
            <w:r>
              <w:rPr>
                <w:b w:val="false"/>
                <w:bCs w:val="false"/>
                <w:sz w:val="19"/>
                <w:szCs w:val="19"/>
              </w:rPr>
              <w:t xml:space="preserve">ncRNA guidance</w:t>
            </w:r>
          </w:p>
        </w:tc>
        <w:tc>
          <w:tcPr>
            <w:tcW w:type="dxa" w:w="2200"/>
            <w:tcMar>
              <w:top w:type="dxa" w:w="40"/>
              <w:left w:type="dxa" w:w="90"/>
              <w:bottom w:type="dxa" w:w="40"/>
              <w:right w:type="dxa" w:w="90"/>
            </w:tcMar>
          </w:tcPr>
          <w:p>
            <w:r>
              <w:rPr>
                <w:b w:val="false"/>
                <w:bCs w:val="false"/>
                <w:sz w:val="19"/>
                <w:szCs w:val="19"/>
              </w:rPr>
              <w:t xml:space="preserve">0.68</w:t>
            </w:r>
          </w:p>
        </w:tc>
        <w:tc>
          <w:tcPr>
            <w:tcW w:type="dxa" w:w="3000"/>
            <w:tcMar>
              <w:top w:type="dxa" w:w="40"/>
              <w:left w:type="dxa" w:w="90"/>
              <w:bottom w:type="dxa" w:w="40"/>
              <w:right w:type="dxa" w:w="90"/>
            </w:tcMar>
          </w:tcPr>
          <w:p>
            <w:r>
              <w:rPr>
                <w:b w:val="false"/>
                <w:bCs w:val="false"/>
                <w:sz w:val="19"/>
                <w:szCs w:val="19"/>
              </w:rPr>
              <w:t xml:space="preserve">lineage-dependent (see ε)</w:t>
            </w:r>
          </w:p>
        </w:tc>
      </w:tr>
      <w:tr>
        <w:tc>
          <w:tcPr>
            <w:tcW w:type="dxa" w:w="4200"/>
            <w:tcMar>
              <w:top w:type="dxa" w:w="40"/>
              <w:left w:type="dxa" w:w="90"/>
              <w:bottom w:type="dxa" w:w="40"/>
              <w:right w:type="dxa" w:w="90"/>
            </w:tcMar>
          </w:tcPr>
          <w:p>
            <w:r>
              <w:rPr>
                <w:b w:val="false"/>
                <w:bCs w:val="false"/>
                <w:sz w:val="19"/>
                <w:szCs w:val="19"/>
              </w:rPr>
              <w:t xml:space="preserve">Chromatin accessibility</w:t>
            </w:r>
          </w:p>
        </w:tc>
        <w:tc>
          <w:tcPr>
            <w:tcW w:type="dxa" w:w="2200"/>
            <w:tcMar>
              <w:top w:type="dxa" w:w="40"/>
              <w:left w:type="dxa" w:w="90"/>
              <w:bottom w:type="dxa" w:w="40"/>
              <w:right w:type="dxa" w:w="90"/>
            </w:tcMar>
          </w:tcPr>
          <w:p>
            <w:r>
              <w:rPr>
                <w:b w:val="false"/>
                <w:bCs w:val="false"/>
                <w:sz w:val="19"/>
                <w:szCs w:val="19"/>
              </w:rPr>
              <w:t xml:space="preserve">0.49</w:t>
            </w:r>
          </w:p>
        </w:tc>
        <w:tc>
          <w:tcPr>
            <w:tcW w:type="dxa" w:w="3000"/>
            <w:tcMar>
              <w:top w:type="dxa" w:w="40"/>
              <w:left w:type="dxa" w:w="90"/>
              <w:bottom w:type="dxa" w:w="40"/>
              <w:right w:type="dxa" w:w="90"/>
            </w:tcMar>
          </w:tcPr>
          <w:p>
            <w:r>
              <w:rPr>
                <w:b w:val="false"/>
                <w:bCs w:val="false"/>
                <w:sz w:val="19"/>
                <w:szCs w:val="19"/>
              </w:rPr>
              <w:t xml:space="preserve">the most predictable, least code-like</w:t>
            </w:r>
          </w:p>
        </w:tc>
      </w:tr>
    </w:tbl>
    <w:p>
      <w:pPr>
        <w:spacing w:after="80"/>
      </w:pPr>
    </w:p>
    <w:p>
      <w:pPr>
        <w:pStyle w:val="Heading2"/>
        <w:spacing w:after="80" w:before="170"/>
      </w:pPr>
      <w:r>
        <w:rPr>
          <w:b/>
          <w:bCs/>
        </w:rPr>
        <w:t xml:space="preserve">3b. Per-kingdom constant β_K — the lineage gain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400"/>
        <w:gridCol w:w="1800"/>
        <w:gridCol w:w="4200"/>
      </w:tblGrid>
      <w:tr>
        <w:trPr>
          <w:tblHeader/>
        </w:trPr>
        <w:tc>
          <w:tcPr>
            <w:tcW w:type="dxa" w:w="3400"/>
            <w:shd w:fill="D9E2F3" w:color="auto" w:val="clear"/>
            <w:tcMar>
              <w:top w:type="dxa" w:w="40"/>
              <w:left w:type="dxa" w:w="90"/>
              <w:bottom w:type="dxa" w:w="40"/>
              <w:right w:type="dxa" w:w="90"/>
            </w:tcMar>
          </w:tcPr>
          <w:p>
            <w:r>
              <w:rPr>
                <w:b/>
                <w:bCs/>
                <w:sz w:val="19"/>
                <w:szCs w:val="19"/>
              </w:rPr>
              <w:t xml:space="preserve">Kingdom</w:t>
            </w:r>
          </w:p>
        </w:tc>
        <w:tc>
          <w:tcPr>
            <w:tcW w:type="dxa" w:w="1800"/>
            <w:shd w:fill="D9E2F3" w:color="auto" w:val="clear"/>
            <w:tcMar>
              <w:top w:type="dxa" w:w="40"/>
              <w:left w:type="dxa" w:w="90"/>
              <w:bottom w:type="dxa" w:w="40"/>
              <w:right w:type="dxa" w:w="90"/>
            </w:tcMar>
          </w:tcPr>
          <w:p>
            <w:r>
              <w:rPr>
                <w:b/>
                <w:bCs/>
                <w:sz w:val="19"/>
                <w:szCs w:val="19"/>
              </w:rPr>
              <w:t xml:space="preserve">β_K</w:t>
            </w:r>
          </w:p>
        </w:tc>
        <w:tc>
          <w:tcPr>
            <w:tcW w:type="dxa" w:w="4200"/>
            <w:shd w:fill="D9E2F3" w:color="auto" w:val="clear"/>
            <w:tcMar>
              <w:top w:type="dxa" w:w="40"/>
              <w:left w:type="dxa" w:w="90"/>
              <w:bottom w:type="dxa" w:w="40"/>
              <w:right w:type="dxa" w:w="90"/>
            </w:tcMar>
          </w:tcPr>
          <w:p>
            <w:r>
              <w:rPr>
                <w:b/>
                <w:bCs/>
                <w:sz w:val="19"/>
                <w:szCs w:val="19"/>
              </w:rPr>
              <w:t xml:space="preserve">Reading</w:t>
            </w:r>
          </w:p>
        </w:tc>
      </w:tr>
      <w:tr>
        <w:tc>
          <w:tcPr>
            <w:tcW w:type="dxa" w:w="3400"/>
            <w:tcMar>
              <w:top w:type="dxa" w:w="40"/>
              <w:left w:type="dxa" w:w="90"/>
              <w:bottom w:type="dxa" w:w="40"/>
              <w:right w:type="dxa" w:w="90"/>
            </w:tcMar>
          </w:tcPr>
          <w:p>
            <w:r>
              <w:rPr>
                <w:b w:val="false"/>
                <w:bCs w:val="false"/>
                <w:sz w:val="19"/>
                <w:szCs w:val="19"/>
              </w:rPr>
              <w:t xml:space="preserve">Invertebrates</w:t>
            </w:r>
          </w:p>
        </w:tc>
        <w:tc>
          <w:tcPr>
            <w:tcW w:type="dxa" w:w="1800"/>
            <w:tcMar>
              <w:top w:type="dxa" w:w="40"/>
              <w:left w:type="dxa" w:w="90"/>
              <w:bottom w:type="dxa" w:w="40"/>
              <w:right w:type="dxa" w:w="90"/>
            </w:tcMar>
          </w:tcPr>
          <w:p>
            <w:r>
              <w:rPr>
                <w:b w:val="false"/>
                <w:bCs w:val="false"/>
                <w:sz w:val="19"/>
                <w:szCs w:val="19"/>
              </w:rPr>
              <w:t xml:space="preserve">1.14</w:t>
            </w:r>
          </w:p>
        </w:tc>
        <w:tc>
          <w:tcPr>
            <w:tcW w:type="dxa" w:w="4200"/>
            <w:tcMar>
              <w:top w:type="dxa" w:w="40"/>
              <w:left w:type="dxa" w:w="90"/>
              <w:bottom w:type="dxa" w:w="40"/>
              <w:right w:type="dxa" w:w="90"/>
            </w:tcMar>
          </w:tcPr>
          <w:p>
            <w:r>
              <w:rPr>
                <w:b w:val="false"/>
                <w:bCs w:val="false"/>
                <w:sz w:val="19"/>
                <w:szCs w:val="19"/>
              </w:rPr>
              <w:t xml:space="preserve">high overall gain (RNA + histone inheritance)</w:t>
            </w:r>
          </w:p>
        </w:tc>
      </w:tr>
      <w:tr>
        <w:tc>
          <w:tcPr>
            <w:tcW w:type="dxa" w:w="3400"/>
            <w:tcMar>
              <w:top w:type="dxa" w:w="40"/>
              <w:left w:type="dxa" w:w="90"/>
              <w:bottom w:type="dxa" w:w="40"/>
              <w:right w:type="dxa" w:w="90"/>
            </w:tcMar>
          </w:tcPr>
          <w:p>
            <w:r>
              <w:rPr>
                <w:b w:val="false"/>
                <w:bCs w:val="false"/>
                <w:sz w:val="19"/>
                <w:szCs w:val="19"/>
              </w:rPr>
              <w:t xml:space="preserve">Plants</w:t>
            </w:r>
          </w:p>
        </w:tc>
        <w:tc>
          <w:tcPr>
            <w:tcW w:type="dxa" w:w="1800"/>
            <w:tcMar>
              <w:top w:type="dxa" w:w="40"/>
              <w:left w:type="dxa" w:w="90"/>
              <w:bottom w:type="dxa" w:w="40"/>
              <w:right w:type="dxa" w:w="90"/>
            </w:tcMar>
          </w:tcPr>
          <w:p>
            <w:r>
              <w:rPr>
                <w:b w:val="false"/>
                <w:bCs w:val="false"/>
                <w:sz w:val="19"/>
                <w:szCs w:val="19"/>
              </w:rPr>
              <w:t xml:space="preserve">1.10</w:t>
            </w:r>
          </w:p>
        </w:tc>
        <w:tc>
          <w:tcPr>
            <w:tcW w:type="dxa" w:w="4200"/>
            <w:tcMar>
              <w:top w:type="dxa" w:w="40"/>
              <w:left w:type="dxa" w:w="90"/>
              <w:bottom w:type="dxa" w:w="40"/>
              <w:right w:type="dxa" w:w="90"/>
            </w:tcMar>
          </w:tcPr>
          <w:p>
            <w:r>
              <w:rPr>
                <w:b w:val="false"/>
                <w:bCs w:val="false"/>
                <w:sz w:val="19"/>
                <w:szCs w:val="19"/>
              </w:rPr>
              <w:t xml:space="preserve">strong methylation + RdDM/paramutation</w:t>
            </w:r>
          </w:p>
        </w:tc>
      </w:tr>
      <w:tr>
        <w:tc>
          <w:tcPr>
            <w:tcW w:type="dxa" w:w="3400"/>
            <w:tcMar>
              <w:top w:type="dxa" w:w="40"/>
              <w:left w:type="dxa" w:w="90"/>
              <w:bottom w:type="dxa" w:w="40"/>
              <w:right w:type="dxa" w:w="90"/>
            </w:tcMar>
          </w:tcPr>
          <w:p>
            <w:r>
              <w:rPr>
                <w:b w:val="false"/>
                <w:bCs w:val="false"/>
                <w:sz w:val="19"/>
                <w:szCs w:val="19"/>
              </w:rPr>
              <w:t xml:space="preserve">Fungi</w:t>
            </w:r>
          </w:p>
        </w:tc>
        <w:tc>
          <w:tcPr>
            <w:tcW w:type="dxa" w:w="1800"/>
            <w:tcMar>
              <w:top w:type="dxa" w:w="40"/>
              <w:left w:type="dxa" w:w="90"/>
              <w:bottom w:type="dxa" w:w="40"/>
              <w:right w:type="dxa" w:w="90"/>
            </w:tcMar>
          </w:tcPr>
          <w:p>
            <w:r>
              <w:rPr>
                <w:b w:val="false"/>
                <w:bCs w:val="false"/>
                <w:sz w:val="19"/>
                <w:szCs w:val="19"/>
              </w:rPr>
              <w:t xml:space="preserve">1.02</w:t>
            </w:r>
          </w:p>
        </w:tc>
        <w:tc>
          <w:tcPr>
            <w:tcW w:type="dxa" w:w="4200"/>
            <w:tcMar>
              <w:top w:type="dxa" w:w="40"/>
              <w:left w:type="dxa" w:w="90"/>
              <w:bottom w:type="dxa" w:w="40"/>
              <w:right w:type="dxa" w:w="90"/>
            </w:tcMar>
          </w:tcPr>
          <w:p>
            <w:r>
              <w:rPr>
                <w:b w:val="false"/>
                <w:bCs w:val="false"/>
                <w:sz w:val="19"/>
                <w:szCs w:val="19"/>
              </w:rPr>
              <w:t xml:space="preserve">near the grand mean</w:t>
            </w:r>
          </w:p>
        </w:tc>
      </w:tr>
      <w:tr>
        <w:tc>
          <w:tcPr>
            <w:tcW w:type="dxa" w:w="3400"/>
            <w:tcMar>
              <w:top w:type="dxa" w:w="40"/>
              <w:left w:type="dxa" w:w="90"/>
              <w:bottom w:type="dxa" w:w="40"/>
              <w:right w:type="dxa" w:w="90"/>
            </w:tcMar>
          </w:tcPr>
          <w:p>
            <w:r>
              <w:rPr>
                <w:b w:val="false"/>
                <w:bCs w:val="false"/>
                <w:sz w:val="19"/>
                <w:szCs w:val="19"/>
              </w:rPr>
              <w:t xml:space="preserve">Mammals</w:t>
            </w:r>
          </w:p>
        </w:tc>
        <w:tc>
          <w:tcPr>
            <w:tcW w:type="dxa" w:w="1800"/>
            <w:tcMar>
              <w:top w:type="dxa" w:w="40"/>
              <w:left w:type="dxa" w:w="90"/>
              <w:bottom w:type="dxa" w:w="40"/>
              <w:right w:type="dxa" w:w="90"/>
            </w:tcMar>
          </w:tcPr>
          <w:p>
            <w:r>
              <w:rPr>
                <w:b w:val="false"/>
                <w:bCs w:val="false"/>
                <w:sz w:val="19"/>
                <w:szCs w:val="19"/>
              </w:rPr>
              <w:t xml:space="preserve">0.98</w:t>
            </w:r>
          </w:p>
        </w:tc>
        <w:tc>
          <w:tcPr>
            <w:tcW w:type="dxa" w:w="4200"/>
            <w:tcMar>
              <w:top w:type="dxa" w:w="40"/>
              <w:left w:type="dxa" w:w="90"/>
              <w:bottom w:type="dxa" w:w="40"/>
              <w:right w:type="dxa" w:w="90"/>
            </w:tcMar>
          </w:tcPr>
          <w:p>
            <w:r>
              <w:rPr>
                <w:b w:val="false"/>
                <w:bCs w:val="false"/>
                <w:sz w:val="19"/>
                <w:szCs w:val="19"/>
              </w:rPr>
              <w:t xml:space="preserve">near the grand mean</w:t>
            </w:r>
          </w:p>
        </w:tc>
      </w:tr>
      <w:tr>
        <w:tc>
          <w:tcPr>
            <w:tcW w:type="dxa" w:w="3400"/>
            <w:tcMar>
              <w:top w:type="dxa" w:w="40"/>
              <w:left w:type="dxa" w:w="90"/>
              <w:bottom w:type="dxa" w:w="40"/>
              <w:right w:type="dxa" w:w="90"/>
            </w:tcMar>
          </w:tcPr>
          <w:p>
            <w:r>
              <w:rPr>
                <w:b w:val="false"/>
                <w:bCs w:val="false"/>
                <w:sz w:val="19"/>
                <w:szCs w:val="19"/>
              </w:rPr>
              <w:t xml:space="preserve">Bacteria</w:t>
            </w:r>
          </w:p>
        </w:tc>
        <w:tc>
          <w:tcPr>
            <w:tcW w:type="dxa" w:w="1800"/>
            <w:tcMar>
              <w:top w:type="dxa" w:w="40"/>
              <w:left w:type="dxa" w:w="90"/>
              <w:bottom w:type="dxa" w:w="40"/>
              <w:right w:type="dxa" w:w="90"/>
            </w:tcMar>
          </w:tcPr>
          <w:p>
            <w:r>
              <w:rPr>
                <w:b w:val="false"/>
                <w:bCs w:val="false"/>
                <w:sz w:val="19"/>
                <w:szCs w:val="19"/>
              </w:rPr>
              <w:t xml:space="preserve">0.80</w:t>
            </w:r>
          </w:p>
        </w:tc>
        <w:tc>
          <w:tcPr>
            <w:tcW w:type="dxa" w:w="4200"/>
            <w:tcMar>
              <w:top w:type="dxa" w:w="40"/>
              <w:left w:type="dxa" w:w="90"/>
              <w:bottom w:type="dxa" w:w="40"/>
              <w:right w:type="dxa" w:w="90"/>
            </w:tcMar>
          </w:tcPr>
          <w:p>
            <w:r>
              <w:rPr>
                <w:b w:val="false"/>
                <w:bCs w:val="false"/>
                <w:sz w:val="19"/>
                <w:szCs w:val="19"/>
              </w:rPr>
              <w:t xml:space="preserve">methylation-centric, few layers</w:t>
            </w:r>
          </w:p>
        </w:tc>
      </w:tr>
    </w:tbl>
    <w:p>
      <w:pPr>
        <w:spacing w:after="80"/>
      </w:pPr>
    </w:p>
    <w:p>
      <w:pPr>
        <w:spacing w:after="150" w:line="276"/>
      </w:pPr>
      <w:r>
        <w:t xml:space="preserve">So, for example, predicted codeness of repressive marks in plants ≈ C0 × α(repressive) × β(plants) = 0.252 × 1.54 × 1.10 ≈ 0.43, close to the observed 0.41.</w:t>
      </w:r>
    </w:p>
    <w:p>
      <w:pPr>
        <w:spacing w:after="40" w:before="120"/>
        <w:jc w:val="center"/>
      </w:pPr>
      <w:r>
        <w:drawing>
          <wp:inline distT="0" distB="0" distL="0" distR="0">
            <wp:extent cx="590550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1847850"/>
                    </a:xfrm>
                    <a:prstGeom prst="rect">
                      <a:avLst/>
                    </a:prstGeom>
                  </pic:spPr>
                </pic:pic>
              </a:graphicData>
            </a:graphic>
          </wp:inline>
        </w:drawing>
      </w:r>
    </w:p>
    <w:p>
      <w:pPr>
        <w:spacing w:after="180"/>
      </w:pPr>
      <w:r>
        <w:rPr>
          <w:i/>
          <w:iCs/>
          <w:color w:val="5B6B7A"/>
          <w:sz w:val="18"/>
          <w:szCs w:val="18"/>
        </w:rPr>
        <w:t xml:space="preserve">Figure. (A) The separable law fits the index (R² = 0.957). (B) The universal layer constant α_L. (C) Whole-epigenome codeness fusing the dominant code with the echoes.</w:t>
      </w:r>
    </w:p>
    <w:p>
      <w:pPr>
        <w:pStyle w:val="Heading1"/>
        <w:spacing w:after="110" w:before="260"/>
      </w:pPr>
      <w:r>
        <w:rPr>
          <w:b/>
          <w:bCs/>
        </w:rPr>
        <w:t xml:space="preserve">4. Fusing the code with the echoes: whole-epigenome codeness</w:t>
      </w:r>
    </w:p>
    <w:p>
      <w:pPr>
        <w:spacing w:after="150" w:line="276"/>
      </w:pPr>
      <w:r>
        <w:t xml:space="preserve">To combine all seven layers into one number — a "system codeness" per kingdom — we treat each layer’s codeness as its chance of transmitting heritable code and combine the layers. With a </w:t>
      </w:r>
      <w:r>
        <w:rPr>
          <w:b/>
          <w:bCs/>
        </w:rPr>
        <w:t xml:space="preserve">redundancy parameter ρ</w:t>
      </w:r>
      <w:r>
        <w:t xml:space="preserve"> interpolating between fully independent layers (ρ = 1) and fully redundant layers (ρ = 0, only the dominant layer counts):</w:t>
      </w:r>
    </w:p>
    <w:p>
      <w:pPr>
        <w:spacing w:after="120" w:before="80"/>
        <w:jc w:val="center"/>
      </w:pPr>
      <w:r>
        <w:rPr>
          <w:rFonts w:ascii="Consolas" w:cs="Consolas" w:eastAsia="Consolas" w:hAnsi="Consolas"/>
          <w:b/>
          <w:bCs/>
          <w:color w:val="102A43"/>
          <w:sz w:val="24"/>
          <w:szCs w:val="24"/>
        </w:rPr>
        <w:t xml:space="preserve">C_system = C_dominant + ρ · [ (1 − ∏_L (1−C_L))  −  C_dominant ]</w:t>
      </w:r>
    </w:p>
    <w:p>
      <w:pPr>
        <w:spacing w:after="150" w:line="276"/>
      </w:pPr>
      <w:r>
        <w:t xml:space="preserve">At ρ = 1 this is the independent "OR" combination 1 − ∏(1−C_L); at ρ = 0 it is just the dominant self-copying code. Sweeping ρ shows how much the answer depends on the redundancy assumption:</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2600"/>
        <w:gridCol w:w="1500"/>
        <w:gridCol w:w="1500"/>
        <w:gridCol w:w="1500"/>
        <w:gridCol w:w="1500"/>
        <w:gridCol w:w="1200"/>
      </w:tblGrid>
      <w:tr>
        <w:trPr>
          <w:tblHeader/>
        </w:trPr>
        <w:tc>
          <w:tcPr>
            <w:tcW w:type="dxa" w:w="2600"/>
            <w:shd w:fill="D9E2F3" w:color="auto" w:val="clear"/>
            <w:tcMar>
              <w:top w:type="dxa" w:w="40"/>
              <w:left w:type="dxa" w:w="90"/>
              <w:bottom w:type="dxa" w:w="40"/>
              <w:right w:type="dxa" w:w="90"/>
            </w:tcMar>
          </w:tcPr>
          <w:p>
            <w:r>
              <w:rPr>
                <w:b/>
                <w:bCs/>
                <w:sz w:val="19"/>
                <w:szCs w:val="19"/>
              </w:rPr>
              <w:t xml:space="preserve">Kingdom</w:t>
            </w:r>
          </w:p>
        </w:tc>
        <w:tc>
          <w:tcPr>
            <w:tcW w:type="dxa" w:w="1500"/>
            <w:shd w:fill="D9E2F3" w:color="auto" w:val="clear"/>
            <w:tcMar>
              <w:top w:type="dxa" w:w="40"/>
              <w:left w:type="dxa" w:w="90"/>
              <w:bottom w:type="dxa" w:w="40"/>
              <w:right w:type="dxa" w:w="90"/>
            </w:tcMar>
          </w:tcPr>
          <w:p>
            <w:r>
              <w:rPr>
                <w:b/>
                <w:bCs/>
                <w:sz w:val="19"/>
                <w:szCs w:val="19"/>
              </w:rPr>
              <w:t xml:space="preserve">ρ=0</w:t>
            </w:r>
          </w:p>
        </w:tc>
        <w:tc>
          <w:tcPr>
            <w:tcW w:type="dxa" w:w="1500"/>
            <w:shd w:fill="D9E2F3" w:color="auto" w:val="clear"/>
            <w:tcMar>
              <w:top w:type="dxa" w:w="40"/>
              <w:left w:type="dxa" w:w="90"/>
              <w:bottom w:type="dxa" w:w="40"/>
              <w:right w:type="dxa" w:w="90"/>
            </w:tcMar>
          </w:tcPr>
          <w:p>
            <w:r>
              <w:rPr>
                <w:b/>
                <w:bCs/>
                <w:sz w:val="19"/>
                <w:szCs w:val="19"/>
              </w:rPr>
              <w:t xml:space="preserve">ρ=0.25</w:t>
            </w:r>
          </w:p>
        </w:tc>
        <w:tc>
          <w:tcPr>
            <w:tcW w:type="dxa" w:w="1500"/>
            <w:shd w:fill="D9E2F3" w:color="auto" w:val="clear"/>
            <w:tcMar>
              <w:top w:type="dxa" w:w="40"/>
              <w:left w:type="dxa" w:w="90"/>
              <w:bottom w:type="dxa" w:w="40"/>
              <w:right w:type="dxa" w:w="90"/>
            </w:tcMar>
          </w:tcPr>
          <w:p>
            <w:r>
              <w:rPr>
                <w:b/>
                <w:bCs/>
                <w:sz w:val="19"/>
                <w:szCs w:val="19"/>
              </w:rPr>
              <w:t xml:space="preserve">ρ=0.5</w:t>
            </w:r>
          </w:p>
        </w:tc>
        <w:tc>
          <w:tcPr>
            <w:tcW w:type="dxa" w:w="1500"/>
            <w:shd w:fill="D9E2F3" w:color="auto" w:val="clear"/>
            <w:tcMar>
              <w:top w:type="dxa" w:w="40"/>
              <w:left w:type="dxa" w:w="90"/>
              <w:bottom w:type="dxa" w:w="40"/>
              <w:right w:type="dxa" w:w="90"/>
            </w:tcMar>
          </w:tcPr>
          <w:p>
            <w:r>
              <w:rPr>
                <w:b/>
                <w:bCs/>
                <w:sz w:val="19"/>
                <w:szCs w:val="19"/>
              </w:rPr>
              <w:t xml:space="preserve">ρ=0.75</w:t>
            </w:r>
          </w:p>
        </w:tc>
        <w:tc>
          <w:tcPr>
            <w:tcW w:type="dxa" w:w="1200"/>
            <w:shd w:fill="D9E2F3" w:color="auto" w:val="clear"/>
            <w:tcMar>
              <w:top w:type="dxa" w:w="40"/>
              <w:left w:type="dxa" w:w="90"/>
              <w:bottom w:type="dxa" w:w="40"/>
              <w:right w:type="dxa" w:w="90"/>
            </w:tcMar>
          </w:tcPr>
          <w:p>
            <w:r>
              <w:rPr>
                <w:b/>
                <w:bCs/>
                <w:sz w:val="19"/>
                <w:szCs w:val="19"/>
              </w:rPr>
              <w:t xml:space="preserve">ρ=1</w:t>
            </w:r>
          </w:p>
        </w:tc>
      </w:tr>
      <w:tr>
        <w:tc>
          <w:tcPr>
            <w:tcW w:type="dxa" w:w="2600"/>
            <w:tcMar>
              <w:top w:type="dxa" w:w="40"/>
              <w:left w:type="dxa" w:w="90"/>
              <w:bottom w:type="dxa" w:w="40"/>
              <w:right w:type="dxa" w:w="90"/>
            </w:tcMar>
          </w:tcPr>
          <w:p>
            <w:r>
              <w:rPr>
                <w:b w:val="false"/>
                <w:bCs w:val="false"/>
                <w:sz w:val="19"/>
                <w:szCs w:val="19"/>
              </w:rPr>
              <w:t xml:space="preserve">Bacteria</w:t>
            </w:r>
          </w:p>
        </w:tc>
        <w:tc>
          <w:tcPr>
            <w:tcW w:type="dxa" w:w="1500"/>
            <w:tcMar>
              <w:top w:type="dxa" w:w="40"/>
              <w:left w:type="dxa" w:w="90"/>
              <w:bottom w:type="dxa" w:w="40"/>
              <w:right w:type="dxa" w:w="90"/>
            </w:tcMar>
          </w:tcPr>
          <w:p>
            <w:r>
              <w:rPr>
                <w:b w:val="false"/>
                <w:bCs w:val="false"/>
                <w:sz w:val="19"/>
                <w:szCs w:val="19"/>
              </w:rPr>
              <w:t xml:space="preserve">0.525</w:t>
            </w:r>
          </w:p>
        </w:tc>
        <w:tc>
          <w:tcPr>
            <w:tcW w:type="dxa" w:w="1500"/>
            <w:tcMar>
              <w:top w:type="dxa" w:w="40"/>
              <w:left w:type="dxa" w:w="90"/>
              <w:bottom w:type="dxa" w:w="40"/>
              <w:right w:type="dxa" w:w="90"/>
            </w:tcMar>
          </w:tcPr>
          <w:p>
            <w:r>
              <w:rPr>
                <w:b w:val="false"/>
                <w:bCs w:val="false"/>
                <w:sz w:val="19"/>
                <w:szCs w:val="19"/>
              </w:rPr>
              <w:t xml:space="preserve">0.540</w:t>
            </w:r>
          </w:p>
        </w:tc>
        <w:tc>
          <w:tcPr>
            <w:tcW w:type="dxa" w:w="1500"/>
            <w:tcMar>
              <w:top w:type="dxa" w:w="40"/>
              <w:left w:type="dxa" w:w="90"/>
              <w:bottom w:type="dxa" w:w="40"/>
              <w:right w:type="dxa" w:w="90"/>
            </w:tcMar>
          </w:tcPr>
          <w:p>
            <w:r>
              <w:rPr>
                <w:b w:val="false"/>
                <w:bCs w:val="false"/>
                <w:sz w:val="19"/>
                <w:szCs w:val="19"/>
              </w:rPr>
              <w:t xml:space="preserve">0.555</w:t>
            </w:r>
          </w:p>
        </w:tc>
        <w:tc>
          <w:tcPr>
            <w:tcW w:type="dxa" w:w="1500"/>
            <w:tcMar>
              <w:top w:type="dxa" w:w="40"/>
              <w:left w:type="dxa" w:w="90"/>
              <w:bottom w:type="dxa" w:w="40"/>
              <w:right w:type="dxa" w:w="90"/>
            </w:tcMar>
          </w:tcPr>
          <w:p>
            <w:r>
              <w:rPr>
                <w:b w:val="false"/>
                <w:bCs w:val="false"/>
                <w:sz w:val="19"/>
                <w:szCs w:val="19"/>
              </w:rPr>
              <w:t xml:space="preserve">0.569</w:t>
            </w:r>
          </w:p>
        </w:tc>
        <w:tc>
          <w:tcPr>
            <w:tcW w:type="dxa" w:w="1200"/>
            <w:tcMar>
              <w:top w:type="dxa" w:w="40"/>
              <w:left w:type="dxa" w:w="90"/>
              <w:bottom w:type="dxa" w:w="40"/>
              <w:right w:type="dxa" w:w="90"/>
            </w:tcMar>
          </w:tcPr>
          <w:p>
            <w:r>
              <w:rPr>
                <w:b w:val="false"/>
                <w:bCs w:val="false"/>
                <w:sz w:val="19"/>
                <w:szCs w:val="19"/>
              </w:rPr>
              <w:t xml:space="preserve">0.584</w:t>
            </w:r>
          </w:p>
        </w:tc>
      </w:tr>
      <w:tr>
        <w:tc>
          <w:tcPr>
            <w:tcW w:type="dxa" w:w="2600"/>
            <w:tcMar>
              <w:top w:type="dxa" w:w="40"/>
              <w:left w:type="dxa" w:w="90"/>
              <w:bottom w:type="dxa" w:w="40"/>
              <w:right w:type="dxa" w:w="90"/>
            </w:tcMar>
          </w:tcPr>
          <w:p>
            <w:r>
              <w:rPr>
                <w:b w:val="false"/>
                <w:bCs w:val="false"/>
                <w:sz w:val="19"/>
                <w:szCs w:val="19"/>
              </w:rPr>
              <w:t xml:space="preserve">Fungi</w:t>
            </w:r>
          </w:p>
        </w:tc>
        <w:tc>
          <w:tcPr>
            <w:tcW w:type="dxa" w:w="1500"/>
            <w:tcMar>
              <w:top w:type="dxa" w:w="40"/>
              <w:left w:type="dxa" w:w="90"/>
              <w:bottom w:type="dxa" w:w="40"/>
              <w:right w:type="dxa" w:w="90"/>
            </w:tcMar>
          </w:tcPr>
          <w:p>
            <w:r>
              <w:rPr>
                <w:b w:val="false"/>
                <w:bCs w:val="false"/>
                <w:sz w:val="19"/>
                <w:szCs w:val="19"/>
              </w:rPr>
              <w:t xml:space="preserve">0.528</w:t>
            </w:r>
          </w:p>
        </w:tc>
        <w:tc>
          <w:tcPr>
            <w:tcW w:type="dxa" w:w="1500"/>
            <w:tcMar>
              <w:top w:type="dxa" w:w="40"/>
              <w:left w:type="dxa" w:w="90"/>
              <w:bottom w:type="dxa" w:w="40"/>
              <w:right w:type="dxa" w:w="90"/>
            </w:tcMar>
          </w:tcPr>
          <w:p>
            <w:r>
              <w:rPr>
                <w:b w:val="false"/>
                <w:bCs w:val="false"/>
                <w:sz w:val="19"/>
                <w:szCs w:val="19"/>
              </w:rPr>
              <w:t xml:space="preserve">0.625</w:t>
            </w:r>
          </w:p>
        </w:tc>
        <w:tc>
          <w:tcPr>
            <w:tcW w:type="dxa" w:w="1500"/>
            <w:tcMar>
              <w:top w:type="dxa" w:w="40"/>
              <w:left w:type="dxa" w:w="90"/>
              <w:bottom w:type="dxa" w:w="40"/>
              <w:right w:type="dxa" w:w="90"/>
            </w:tcMar>
          </w:tcPr>
          <w:p>
            <w:r>
              <w:rPr>
                <w:b w:val="false"/>
                <w:bCs w:val="false"/>
                <w:sz w:val="19"/>
                <w:szCs w:val="19"/>
              </w:rPr>
              <w:t xml:space="preserve">0.722</w:t>
            </w:r>
          </w:p>
        </w:tc>
        <w:tc>
          <w:tcPr>
            <w:tcW w:type="dxa" w:w="1500"/>
            <w:tcMar>
              <w:top w:type="dxa" w:w="40"/>
              <w:left w:type="dxa" w:w="90"/>
              <w:bottom w:type="dxa" w:w="40"/>
              <w:right w:type="dxa" w:w="90"/>
            </w:tcMar>
          </w:tcPr>
          <w:p>
            <w:r>
              <w:rPr>
                <w:b w:val="false"/>
                <w:bCs w:val="false"/>
                <w:sz w:val="19"/>
                <w:szCs w:val="19"/>
              </w:rPr>
              <w:t xml:space="preserve">0.819</w:t>
            </w:r>
          </w:p>
        </w:tc>
        <w:tc>
          <w:tcPr>
            <w:tcW w:type="dxa" w:w="1200"/>
            <w:tcMar>
              <w:top w:type="dxa" w:w="40"/>
              <w:left w:type="dxa" w:w="90"/>
              <w:bottom w:type="dxa" w:w="40"/>
              <w:right w:type="dxa" w:w="90"/>
            </w:tcMar>
          </w:tcPr>
          <w:p>
            <w:r>
              <w:rPr>
                <w:b w:val="false"/>
                <w:bCs w:val="false"/>
                <w:sz w:val="19"/>
                <w:szCs w:val="19"/>
              </w:rPr>
              <w:t xml:space="preserve">0.917</w:t>
            </w:r>
          </w:p>
        </w:tc>
      </w:tr>
      <w:tr>
        <w:tc>
          <w:tcPr>
            <w:tcW w:type="dxa" w:w="2600"/>
            <w:tcMar>
              <w:top w:type="dxa" w:w="40"/>
              <w:left w:type="dxa" w:w="90"/>
              <w:bottom w:type="dxa" w:w="40"/>
              <w:right w:type="dxa" w:w="90"/>
            </w:tcMar>
          </w:tcPr>
          <w:p>
            <w:r>
              <w:rPr>
                <w:b w:val="false"/>
                <w:bCs w:val="false"/>
                <w:sz w:val="19"/>
                <w:szCs w:val="19"/>
              </w:rPr>
              <w:t xml:space="preserve">Plants</w:t>
            </w:r>
          </w:p>
        </w:tc>
        <w:tc>
          <w:tcPr>
            <w:tcW w:type="dxa" w:w="1500"/>
            <w:tcMar>
              <w:top w:type="dxa" w:w="40"/>
              <w:left w:type="dxa" w:w="90"/>
              <w:bottom w:type="dxa" w:w="40"/>
              <w:right w:type="dxa" w:w="90"/>
            </w:tcMar>
          </w:tcPr>
          <w:p>
            <w:r>
              <w:rPr>
                <w:b w:val="false"/>
                <w:bCs w:val="false"/>
                <w:sz w:val="19"/>
                <w:szCs w:val="19"/>
              </w:rPr>
              <w:t xml:space="preserve">0.681</w:t>
            </w:r>
          </w:p>
        </w:tc>
        <w:tc>
          <w:tcPr>
            <w:tcW w:type="dxa" w:w="1500"/>
            <w:tcMar>
              <w:top w:type="dxa" w:w="40"/>
              <w:left w:type="dxa" w:w="90"/>
              <w:bottom w:type="dxa" w:w="40"/>
              <w:right w:type="dxa" w:w="90"/>
            </w:tcMar>
          </w:tcPr>
          <w:p>
            <w:r>
              <w:rPr>
                <w:b w:val="false"/>
                <w:bCs w:val="false"/>
                <w:sz w:val="19"/>
                <w:szCs w:val="19"/>
              </w:rPr>
              <w:t xml:space="preserve">0.748</w:t>
            </w:r>
          </w:p>
        </w:tc>
        <w:tc>
          <w:tcPr>
            <w:tcW w:type="dxa" w:w="1500"/>
            <w:tcMar>
              <w:top w:type="dxa" w:w="40"/>
              <w:left w:type="dxa" w:w="90"/>
              <w:bottom w:type="dxa" w:w="40"/>
              <w:right w:type="dxa" w:w="90"/>
            </w:tcMar>
          </w:tcPr>
          <w:p>
            <w:r>
              <w:rPr>
                <w:b w:val="false"/>
                <w:bCs w:val="false"/>
                <w:sz w:val="19"/>
                <w:szCs w:val="19"/>
              </w:rPr>
              <w:t xml:space="preserve">0.815</w:t>
            </w:r>
          </w:p>
        </w:tc>
        <w:tc>
          <w:tcPr>
            <w:tcW w:type="dxa" w:w="1500"/>
            <w:tcMar>
              <w:top w:type="dxa" w:w="40"/>
              <w:left w:type="dxa" w:w="90"/>
              <w:bottom w:type="dxa" w:w="40"/>
              <w:right w:type="dxa" w:w="90"/>
            </w:tcMar>
          </w:tcPr>
          <w:p>
            <w:r>
              <w:rPr>
                <w:b w:val="false"/>
                <w:bCs w:val="false"/>
                <w:sz w:val="19"/>
                <w:szCs w:val="19"/>
              </w:rPr>
              <w:t xml:space="preserve">0.881</w:t>
            </w:r>
          </w:p>
        </w:tc>
        <w:tc>
          <w:tcPr>
            <w:tcW w:type="dxa" w:w="1200"/>
            <w:tcMar>
              <w:top w:type="dxa" w:w="40"/>
              <w:left w:type="dxa" w:w="90"/>
              <w:bottom w:type="dxa" w:w="40"/>
              <w:right w:type="dxa" w:w="90"/>
            </w:tcMar>
          </w:tcPr>
          <w:p>
            <w:r>
              <w:rPr>
                <w:b w:val="false"/>
                <w:bCs w:val="false"/>
                <w:sz w:val="19"/>
                <w:szCs w:val="19"/>
              </w:rPr>
              <w:t xml:space="preserve">0.948</w:t>
            </w:r>
          </w:p>
        </w:tc>
      </w:tr>
      <w:tr>
        <w:tc>
          <w:tcPr>
            <w:tcW w:type="dxa" w:w="2600"/>
            <w:tcMar>
              <w:top w:type="dxa" w:w="40"/>
              <w:left w:type="dxa" w:w="90"/>
              <w:bottom w:type="dxa" w:w="40"/>
              <w:right w:type="dxa" w:w="90"/>
            </w:tcMar>
          </w:tcPr>
          <w:p>
            <w:r>
              <w:rPr>
                <w:b w:val="false"/>
                <w:bCs w:val="false"/>
                <w:sz w:val="19"/>
                <w:szCs w:val="19"/>
              </w:rPr>
              <w:t xml:space="preserve">Invertebrates</w:t>
            </w:r>
          </w:p>
        </w:tc>
        <w:tc>
          <w:tcPr>
            <w:tcW w:type="dxa" w:w="1500"/>
            <w:tcMar>
              <w:top w:type="dxa" w:w="40"/>
              <w:left w:type="dxa" w:w="90"/>
              <w:bottom w:type="dxa" w:w="40"/>
              <w:right w:type="dxa" w:w="90"/>
            </w:tcMar>
          </w:tcPr>
          <w:p>
            <w:r>
              <w:rPr>
                <w:b w:val="false"/>
                <w:bCs w:val="false"/>
                <w:sz w:val="19"/>
                <w:szCs w:val="19"/>
              </w:rPr>
              <w:t xml:space="preserve">0.446</w:t>
            </w:r>
          </w:p>
        </w:tc>
        <w:tc>
          <w:tcPr>
            <w:tcW w:type="dxa" w:w="1500"/>
            <w:tcMar>
              <w:top w:type="dxa" w:w="40"/>
              <w:left w:type="dxa" w:w="90"/>
              <w:bottom w:type="dxa" w:w="40"/>
              <w:right w:type="dxa" w:w="90"/>
            </w:tcMar>
          </w:tcPr>
          <w:p>
            <w:r>
              <w:rPr>
                <w:b w:val="false"/>
                <w:bCs w:val="false"/>
                <w:sz w:val="19"/>
                <w:szCs w:val="19"/>
              </w:rPr>
              <w:t xml:space="preserve">0.548</w:t>
            </w:r>
          </w:p>
        </w:tc>
        <w:tc>
          <w:tcPr>
            <w:tcW w:type="dxa" w:w="1500"/>
            <w:tcMar>
              <w:top w:type="dxa" w:w="40"/>
              <w:left w:type="dxa" w:w="90"/>
              <w:bottom w:type="dxa" w:w="40"/>
              <w:right w:type="dxa" w:w="90"/>
            </w:tcMar>
          </w:tcPr>
          <w:p>
            <w:r>
              <w:rPr>
                <w:b w:val="false"/>
                <w:bCs w:val="false"/>
                <w:sz w:val="19"/>
                <w:szCs w:val="19"/>
              </w:rPr>
              <w:t xml:space="preserve">0.651</w:t>
            </w:r>
          </w:p>
        </w:tc>
        <w:tc>
          <w:tcPr>
            <w:tcW w:type="dxa" w:w="1500"/>
            <w:tcMar>
              <w:top w:type="dxa" w:w="40"/>
              <w:left w:type="dxa" w:w="90"/>
              <w:bottom w:type="dxa" w:w="40"/>
              <w:right w:type="dxa" w:w="90"/>
            </w:tcMar>
          </w:tcPr>
          <w:p>
            <w:r>
              <w:rPr>
                <w:b w:val="false"/>
                <w:bCs w:val="false"/>
                <w:sz w:val="19"/>
                <w:szCs w:val="19"/>
              </w:rPr>
              <w:t xml:space="preserve">0.753</w:t>
            </w:r>
          </w:p>
        </w:tc>
        <w:tc>
          <w:tcPr>
            <w:tcW w:type="dxa" w:w="1200"/>
            <w:tcMar>
              <w:top w:type="dxa" w:w="40"/>
              <w:left w:type="dxa" w:w="90"/>
              <w:bottom w:type="dxa" w:w="40"/>
              <w:right w:type="dxa" w:w="90"/>
            </w:tcMar>
          </w:tcPr>
          <w:p>
            <w:r>
              <w:rPr>
                <w:b w:val="false"/>
                <w:bCs w:val="false"/>
                <w:sz w:val="19"/>
                <w:szCs w:val="19"/>
              </w:rPr>
              <w:t xml:space="preserve">0.855</w:t>
            </w:r>
          </w:p>
        </w:tc>
      </w:tr>
      <w:tr>
        <w:tc>
          <w:tcPr>
            <w:tcW w:type="dxa" w:w="2600"/>
            <w:tcMar>
              <w:top w:type="dxa" w:w="40"/>
              <w:left w:type="dxa" w:w="90"/>
              <w:bottom w:type="dxa" w:w="40"/>
              <w:right w:type="dxa" w:w="90"/>
            </w:tcMar>
          </w:tcPr>
          <w:p>
            <w:r>
              <w:rPr>
                <w:b w:val="false"/>
                <w:bCs w:val="false"/>
                <w:sz w:val="19"/>
                <w:szCs w:val="19"/>
              </w:rPr>
              <w:t xml:space="preserve">Mammals</w:t>
            </w:r>
          </w:p>
        </w:tc>
        <w:tc>
          <w:tcPr>
            <w:tcW w:type="dxa" w:w="1500"/>
            <w:tcMar>
              <w:top w:type="dxa" w:w="40"/>
              <w:left w:type="dxa" w:w="90"/>
              <w:bottom w:type="dxa" w:w="40"/>
              <w:right w:type="dxa" w:w="90"/>
            </w:tcMar>
          </w:tcPr>
          <w:p>
            <w:r>
              <w:rPr>
                <w:b w:val="false"/>
                <w:bCs w:val="false"/>
                <w:sz w:val="19"/>
                <w:szCs w:val="19"/>
              </w:rPr>
              <w:t xml:space="preserve">0.563</w:t>
            </w:r>
          </w:p>
        </w:tc>
        <w:tc>
          <w:tcPr>
            <w:tcW w:type="dxa" w:w="1500"/>
            <w:tcMar>
              <w:top w:type="dxa" w:w="40"/>
              <w:left w:type="dxa" w:w="90"/>
              <w:bottom w:type="dxa" w:w="40"/>
              <w:right w:type="dxa" w:w="90"/>
            </w:tcMar>
          </w:tcPr>
          <w:p>
            <w:r>
              <w:rPr>
                <w:b w:val="false"/>
                <w:bCs w:val="false"/>
                <w:sz w:val="19"/>
                <w:szCs w:val="19"/>
              </w:rPr>
              <w:t xml:space="preserve">0.652</w:t>
            </w:r>
          </w:p>
        </w:tc>
        <w:tc>
          <w:tcPr>
            <w:tcW w:type="dxa" w:w="1500"/>
            <w:tcMar>
              <w:top w:type="dxa" w:w="40"/>
              <w:left w:type="dxa" w:w="90"/>
              <w:bottom w:type="dxa" w:w="40"/>
              <w:right w:type="dxa" w:w="90"/>
            </w:tcMar>
          </w:tcPr>
          <w:p>
            <w:r>
              <w:rPr>
                <w:b w:val="false"/>
                <w:bCs w:val="false"/>
                <w:sz w:val="19"/>
                <w:szCs w:val="19"/>
              </w:rPr>
              <w:t xml:space="preserve">0.740</w:t>
            </w:r>
          </w:p>
        </w:tc>
        <w:tc>
          <w:tcPr>
            <w:tcW w:type="dxa" w:w="1500"/>
            <w:tcMar>
              <w:top w:type="dxa" w:w="40"/>
              <w:left w:type="dxa" w:w="90"/>
              <w:bottom w:type="dxa" w:w="40"/>
              <w:right w:type="dxa" w:w="90"/>
            </w:tcMar>
          </w:tcPr>
          <w:p>
            <w:r>
              <w:rPr>
                <w:b w:val="false"/>
                <w:bCs w:val="false"/>
                <w:sz w:val="19"/>
                <w:szCs w:val="19"/>
              </w:rPr>
              <w:t xml:space="preserve">0.828</w:t>
            </w:r>
          </w:p>
        </w:tc>
        <w:tc>
          <w:tcPr>
            <w:tcW w:type="dxa" w:w="1200"/>
            <w:tcMar>
              <w:top w:type="dxa" w:w="40"/>
              <w:left w:type="dxa" w:w="90"/>
              <w:bottom w:type="dxa" w:w="40"/>
              <w:right w:type="dxa" w:w="90"/>
            </w:tcMar>
          </w:tcPr>
          <w:p>
            <w:r>
              <w:rPr>
                <w:b w:val="false"/>
                <w:bCs w:val="false"/>
                <w:sz w:val="19"/>
                <w:szCs w:val="19"/>
              </w:rPr>
              <w:t xml:space="preserve">0.916</w:t>
            </w:r>
          </w:p>
        </w:tc>
      </w:tr>
    </w:tbl>
    <w:p>
      <w:pPr>
        <w:spacing w:after="80"/>
      </w:pPr>
    </w:p>
    <w:p>
      <w:pPr>
        <w:spacing w:after="150" w:line="276"/>
      </w:pPr>
      <w:r>
        <w:rPr>
          <w:b/>
          <w:bCs/>
        </w:rPr>
        <w:t xml:space="preserve">Sensitivity verdict.</w:t>
      </w:r>
      <w:r>
        <w:t xml:space="preserve"> The </w:t>
      </w:r>
      <w:r>
        <w:rPr>
          <w:i/>
          <w:iCs/>
        </w:rPr>
        <w:t xml:space="preserve">magnitude</w:t>
      </w:r>
      <w:r>
        <w:t xml:space="preserve"> of whole-epigenome codeness is strongly sensitive to ρ (it moves by ±0.13 to ±0.20 for the multi-layer kingdoms), so a single C_system number should not be over-interpreted. What is </w:t>
      </w:r>
      <w:r>
        <w:rPr>
          <w:b/>
          <w:bCs/>
        </w:rPr>
        <w:t xml:space="preserve">robust</w:t>
      </w:r>
      <w:r>
        <w:t xml:space="preserve"> across ρ is (i) the </w:t>
      </w:r>
      <w:r>
        <w:rPr>
          <w:b/>
          <w:bCs/>
        </w:rPr>
        <w:t xml:space="preserve">ranking of kingdoms</w:t>
      </w:r>
      <w:r>
        <w:t xml:space="preserve"> — plants highest, bacteria lowest, at essentially every ρ — and (ii) the </w:t>
      </w:r>
      <w:r>
        <w:rPr>
          <w:b/>
          <w:bCs/>
        </w:rPr>
        <w:t xml:space="preserve">dominant-layer floor</w:t>
      </w:r>
      <w:r>
        <w:t xml:space="preserve"> (DNA methylation, or repressive marks in invertebrates). Honest practice: report the ranking and the floor, and give C_system as a ρ-dependent band, not a point value.</w:t>
      </w:r>
    </w:p>
    <w:p>
      <w:pPr>
        <w:pStyle w:val="Heading1"/>
        <w:spacing w:after="110" w:before="260"/>
      </w:pPr>
      <w:r>
        <w:rPr>
          <w:b/>
          <w:bCs/>
        </w:rPr>
        <w:t xml:space="preserve">5. Why this is appealing — and what it would mean if true</w:t>
      </w:r>
    </w:p>
    <w:p>
      <w:pPr>
        <w:spacing w:after="150" w:line="276"/>
      </w:pPr>
      <w:r>
        <w:t xml:space="preserve">The picture is unusually clean: a </w:t>
      </w:r>
      <w:r>
        <w:rPr>
          <w:b/>
          <w:bCs/>
        </w:rPr>
        <w:t xml:space="preserve">universal layer physics</w:t>
      </w:r>
      <w:r>
        <w:t xml:space="preserve"> (α_L) rescaled by a </w:t>
      </w:r>
      <w:r>
        <w:rPr>
          <w:b/>
          <w:bCs/>
        </w:rPr>
        <w:t xml:space="preserve">lineage gain</w:t>
      </w:r>
      <w:r>
        <w:t xml:space="preserve"> (β_K), broken only by </w:t>
      </w:r>
      <w:r>
        <w:rPr>
          <w:b/>
          <w:bCs/>
        </w:rPr>
        <w:t xml:space="preserve">carrier substitution</w:t>
      </w:r>
      <w:r>
        <w:t xml:space="preserve"> (ε). It reframes "does an epigenetic code exist?" into a single separable law with interpretable constants, and it predicts that the </w:t>
      </w:r>
      <w:r>
        <w:rPr>
          <w:i/>
          <w:iCs/>
        </w:rPr>
        <w:t xml:space="preserve">ranking</w:t>
      </w:r>
      <w:r>
        <w:t xml:space="preserve"> of code-like layers should be conserved across life wherever the carrier is the same, while the whole system’s magnitude scales by lineage. That is a strong, teachable, and — crucially — falsifiable statement.</w:t>
      </w:r>
    </w:p>
    <w:p>
      <w:pPr>
        <w:pStyle w:val="Heading1"/>
        <w:spacing w:after="110" w:before="260"/>
      </w:pPr>
      <w:r>
        <w:rPr>
          <w:b/>
          <w:bCs/>
        </w:rPr>
        <w:t xml:space="preserve">6. Honest status: this is a hypothesis about the index, not yet a law of nature</w:t>
      </w:r>
    </w:p>
    <w:p>
      <w:pPr>
        <w:spacing w:after="150" w:line="276"/>
      </w:pPr>
      <w:r>
        <w:t xml:space="preserve">The high R² is </w:t>
      </w:r>
      <w:r>
        <w:rPr>
          <w:b/>
          <w:bCs/>
        </w:rPr>
        <w:t xml:space="preserve">partly built in</w:t>
      </w:r>
      <w:r>
        <w:t xml:space="preserve">. About two-thirds of the cross-kingdom cells were </w:t>
      </w:r>
      <w:r>
        <w:rPr>
          <w:i/>
          <w:iCs/>
        </w:rPr>
        <w:t xml:space="preserve">transferred</w:t>
      </w:r>
      <w:r>
        <w:t xml:space="preserve"> from mammalian values because organism-specific data existed only for methylation, repressive marks, and small RNA. Transferred cells reuse the same layer value across kingdoms, which mechanically produces separability. Therefore:</w:t>
      </w:r>
    </w:p>
    <w:p>
      <w:pPr>
        <w:spacing w:after="90" w:line="276"/>
      </w:pPr>
      <w:r>
        <w:rPr>
          <w:b/>
          <w:bCs/>
          <w:color w:val="0B6FB8"/>
        </w:rPr>
        <w:t xml:space="preserve">1. </w:t>
      </w:r>
      <w:r>
        <w:t xml:space="preserve">The separable fit is, at this stage, a compact </w:t>
      </w:r>
      <w:r>
        <w:rPr>
          <w:b/>
          <w:bCs/>
        </w:rPr>
        <w:t xml:space="preserve">description of our index</w:t>
      </w:r>
      <w:r>
        <w:t xml:space="preserve">, and its high R² reflects our construction as much as biology.</w:t>
      </w:r>
    </w:p>
    <w:p>
      <w:pPr>
        <w:spacing w:after="90" w:line="276"/>
      </w:pPr>
      <w:r>
        <w:rPr>
          <w:b/>
          <w:bCs/>
          <w:color w:val="0B6FB8"/>
        </w:rPr>
        <w:t xml:space="preserve">2. </w:t>
      </w:r>
      <w:r>
        <w:t xml:space="preserve">The </w:t>
      </w:r>
      <w:r>
        <w:rPr>
          <w:b/>
          <w:bCs/>
        </w:rPr>
        <w:t xml:space="preserve">informative</w:t>
      </w:r>
      <w:r>
        <w:t xml:space="preserve"> part is the ~4% interaction ε, because it comes from the organism-anchored (independently varied) cells — and it lands exactly on the known carrier switches.</w:t>
      </w:r>
    </w:p>
    <w:p>
      <w:pPr>
        <w:spacing w:after="90" w:line="276"/>
      </w:pPr>
      <w:r>
        <w:rPr>
          <w:b/>
          <w:bCs/>
          <w:color w:val="0B6FB8"/>
        </w:rPr>
        <w:t xml:space="preserve">3. </w:t>
      </w:r>
      <w:r>
        <w:t xml:space="preserve">The underlying index still rests on many elicited parameters; only mammalian methylation heritability and the readability–persistence relationship are primary-data-grounded.</w:t>
      </w:r>
    </w:p>
    <w:p>
      <w:pPr>
        <w:spacing w:after="90" w:line="276"/>
      </w:pPr>
      <w:r>
        <w:rPr>
          <w:b/>
          <w:bCs/>
          <w:color w:val="0B6FB8"/>
        </w:rPr>
        <w:t xml:space="preserve">4. </w:t>
      </w:r>
      <w:r>
        <w:t xml:space="preserve">Conclusion: treat the general codeness model as a </w:t>
      </w:r>
      <w:r>
        <w:rPr>
          <w:b/>
          <w:bCs/>
        </w:rPr>
        <w:t xml:space="preserve">hypothesis</w:t>
      </w:r>
      <w:r>
        <w:t xml:space="preserve"> with a clear falsification path (§7) and a concrete data-collection plan (§8).</w:t>
      </w:r>
    </w:p>
    <w:p>
      <w:pPr>
        <w:pStyle w:val="Heading1"/>
        <w:spacing w:after="110" w:before="260"/>
      </w:pPr>
      <w:r>
        <w:rPr>
          <w:b/>
          <w:bCs/>
        </w:rPr>
        <w:t xml:space="preserve">7. Falsification plan — predictions that would break the model</w:t>
      </w:r>
    </w:p>
    <w:p>
      <w:pPr>
        <w:spacing w:after="150" w:line="276"/>
      </w:pPr>
      <w:r>
        <w:t xml:space="preserve">The model makes sharp predictions once every cell is independently measured (§8). Any of these failing would falsify it:</w:t>
      </w:r>
    </w:p>
    <w:p>
      <w:pPr>
        <w:spacing w:after="90" w:line="276"/>
      </w:pPr>
      <w:r>
        <w:rPr>
          <w:b/>
          <w:bCs/>
          <w:color w:val="0B6FB8"/>
        </w:rPr>
        <w:t xml:space="preserve">1. </w:t>
      </w:r>
      <w:r>
        <w:rPr>
          <w:b/>
          <w:bCs/>
        </w:rPr>
        <w:t xml:space="preserve">Universal ranking (α_L).</w:t>
      </w:r>
      <w:r>
        <w:t xml:space="preserve"> Independently measured, the layer ranking should be conserved across kingdoms that share a carrier: Spearman correlation of per-kingdom layer rankings with α_L should stay high (pre-register, e.g., ρ ≥ 0.7). If a methylation-using kingdom’s measured ranking is uncorrelated with α_L, the model fails.</w:t>
      </w:r>
    </w:p>
    <w:p>
      <w:pPr>
        <w:spacing w:after="90" w:line="276"/>
      </w:pPr>
      <w:r>
        <w:rPr>
          <w:b/>
          <w:bCs/>
          <w:color w:val="0B6FB8"/>
        </w:rPr>
        <w:t xml:space="preserve">2. </w:t>
      </w:r>
      <w:r>
        <w:rPr>
          <w:b/>
          <w:bCs/>
        </w:rPr>
        <w:t xml:space="preserve">Single per-kingdom scalar (β_K).</w:t>
      </w:r>
      <w:r>
        <w:t xml:space="preserve"> After dividing out α_L, each kingdom’s residual should be an (approximately) constant scaling across layers. If strong layer-specific kingdom effects appear in methylation-using kingdoms (large ε away from carrier switches), separability fails.</w:t>
      </w:r>
    </w:p>
    <w:p>
      <w:pPr>
        <w:spacing w:after="90" w:line="276"/>
      </w:pPr>
      <w:r>
        <w:rPr>
          <w:b/>
          <w:bCs/>
          <w:color w:val="0B6FB8"/>
        </w:rPr>
        <w:t xml:space="preserve">3. </w:t>
      </w:r>
      <w:r>
        <w:rPr>
          <w:b/>
          <w:bCs/>
        </w:rPr>
        <w:t xml:space="preserve">Interaction confined to carrier switches.</w:t>
      </w:r>
      <w:r>
        <w:t xml:space="preserve"> Large ε should appear only where the carrier changes (5mC-absent lineages, RNA/histone-dominant systems). Large ε in a "boring" cell (e.g., activating marks in fungi) would falsify the clean interpretation.</w:t>
      </w:r>
    </w:p>
    <w:p>
      <w:pPr>
        <w:spacing w:after="90" w:line="276"/>
      </w:pPr>
      <w:r>
        <w:rPr>
          <w:b/>
          <w:bCs/>
          <w:color w:val="0B6FB8"/>
        </w:rPr>
        <w:t xml:space="preserve">4. </w:t>
      </w:r>
      <w:r>
        <w:rPr>
          <w:b/>
          <w:bCs/>
        </w:rPr>
        <w:t xml:space="preserve">Quantitative threshold.</w:t>
      </w:r>
      <w:r>
        <w:t xml:space="preserve"> On a fully, independently measured matrix, the separable model should retain </w:t>
      </w:r>
      <w:r>
        <w:rPr>
          <w:b/>
          <w:bCs/>
        </w:rPr>
        <w:t xml:space="preserve">R² ≥ 0.80</w:t>
      </w:r>
      <w:r>
        <w:t xml:space="preserve"> (pre-registered). Below that, reject the general law and report the index as intrinsically non-separable.</w:t>
      </w:r>
    </w:p>
    <w:p>
      <w:pPr>
        <w:spacing w:after="90" w:line="276"/>
      </w:pPr>
      <w:r>
        <w:rPr>
          <w:b/>
          <w:bCs/>
          <w:color w:val="0B6FB8"/>
        </w:rPr>
        <w:t xml:space="preserve">5. </w:t>
      </w:r>
      <w:r>
        <w:rPr>
          <w:b/>
          <w:bCs/>
        </w:rPr>
        <w:t xml:space="preserve">Methylation dominance.</w:t>
      </w:r>
      <w:r>
        <w:t xml:space="preserve"> α(methylation) should remain the largest layer constant wherever 5mC exists. If an independently measured kingdom puts another layer above methylation (outside carrier-switch lineages), the "methylation as the default code" claim fails.</w:t>
      </w:r>
    </w:p>
    <w:p>
      <w:pPr>
        <w:pStyle w:val="Heading1"/>
        <w:spacing w:after="110" w:before="260"/>
      </w:pPr>
      <w:r>
        <w:rPr>
          <w:b/>
          <w:bCs/>
        </w:rPr>
        <w:t xml:space="preserve">8. Data-collection plan — how to test separability independently</w:t>
      </w:r>
    </w:p>
    <w:p>
      <w:pPr>
        <w:spacing w:after="150" w:line="276"/>
      </w:pPr>
      <w:r>
        <w:t xml:space="preserve">The goal is to replace the ~19 transferred cells with independently measured ones, so the fit is no longer built in. Each layer×kingdom cell needs its three axes measured in that organism: causality (K), predictability (P), and heritability / copying weight (c → H). Priority order: the transferred cells (activating marks, 3D, accessibility, histone variants across bacteria/fungi/plants/invertebrates), because those are what currently force artificial separability.</w:t>
      </w:r>
    </w:p>
    <w:p>
      <w:pPr>
        <w:pStyle w:val="Heading2"/>
        <w:spacing w:after="80" w:before="170"/>
      </w:pPr>
      <w:r>
        <w:rPr>
          <w:b/>
          <w:bCs/>
        </w:rPr>
        <w:t xml:space="preserve">8a. What to measure per axis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3300"/>
        <w:gridCol w:w="3500"/>
      </w:tblGrid>
      <w:tr>
        <w:trPr>
          <w:tblHeader/>
        </w:trPr>
        <w:tc>
          <w:tcPr>
            <w:tcW w:type="dxa" w:w="2600"/>
            <w:shd w:fill="D9E2F3" w:color="auto" w:val="clear"/>
            <w:tcMar>
              <w:top w:type="dxa" w:w="40"/>
              <w:left w:type="dxa" w:w="90"/>
              <w:bottom w:type="dxa" w:w="40"/>
              <w:right w:type="dxa" w:w="90"/>
            </w:tcMar>
          </w:tcPr>
          <w:p>
            <w:r>
              <w:rPr>
                <w:b/>
                <w:bCs/>
                <w:sz w:val="19"/>
                <w:szCs w:val="19"/>
              </w:rPr>
              <w:t xml:space="preserve">Axis</w:t>
            </w:r>
          </w:p>
        </w:tc>
        <w:tc>
          <w:tcPr>
            <w:tcW w:type="dxa" w:w="3300"/>
            <w:shd w:fill="D9E2F3" w:color="auto" w:val="clear"/>
            <w:tcMar>
              <w:top w:type="dxa" w:w="40"/>
              <w:left w:type="dxa" w:w="90"/>
              <w:bottom w:type="dxa" w:w="40"/>
              <w:right w:type="dxa" w:w="90"/>
            </w:tcMar>
          </w:tcPr>
          <w:p>
            <w:r>
              <w:rPr>
                <w:b/>
                <w:bCs/>
                <w:sz w:val="19"/>
                <w:szCs w:val="19"/>
              </w:rPr>
              <w:t xml:space="preserve">What it is</w:t>
            </w:r>
          </w:p>
        </w:tc>
        <w:tc>
          <w:tcPr>
            <w:tcW w:type="dxa" w:w="3500"/>
            <w:shd w:fill="D9E2F3" w:color="auto" w:val="clear"/>
            <w:tcMar>
              <w:top w:type="dxa" w:w="40"/>
              <w:left w:type="dxa" w:w="90"/>
              <w:bottom w:type="dxa" w:w="40"/>
              <w:right w:type="dxa" w:w="90"/>
            </w:tcMar>
          </w:tcPr>
          <w:p>
            <w:r>
              <w:rPr>
                <w:b/>
                <w:bCs/>
                <w:sz w:val="19"/>
                <w:szCs w:val="19"/>
              </w:rPr>
              <w:t xml:space="preserve">How to measure it per organism</w:t>
            </w:r>
          </w:p>
        </w:tc>
      </w:tr>
      <w:tr>
        <w:tc>
          <w:tcPr>
            <w:tcW w:type="dxa" w:w="2600"/>
            <w:tcMar>
              <w:top w:type="dxa" w:w="40"/>
              <w:left w:type="dxa" w:w="90"/>
              <w:bottom w:type="dxa" w:w="40"/>
              <w:right w:type="dxa" w:w="90"/>
            </w:tcMar>
          </w:tcPr>
          <w:p>
            <w:r>
              <w:rPr>
                <w:b w:val="false"/>
                <w:bCs w:val="false"/>
                <w:sz w:val="19"/>
                <w:szCs w:val="19"/>
              </w:rPr>
              <w:t xml:space="preserve">Causality K</w:t>
            </w:r>
          </w:p>
        </w:tc>
        <w:tc>
          <w:tcPr>
            <w:tcW w:type="dxa" w:w="3300"/>
            <w:tcMar>
              <w:top w:type="dxa" w:w="40"/>
              <w:left w:type="dxa" w:w="90"/>
              <w:bottom w:type="dxa" w:w="40"/>
              <w:right w:type="dxa" w:w="90"/>
            </w:tcMar>
          </w:tcPr>
          <w:p>
            <w:r>
              <w:rPr>
                <w:b w:val="false"/>
                <w:bCs w:val="false"/>
                <w:sz w:val="19"/>
                <w:szCs w:val="19"/>
              </w:rPr>
              <w:t xml:space="preserve">fraction of targets that change when the mark is perturbed</w:t>
            </w:r>
          </w:p>
        </w:tc>
        <w:tc>
          <w:tcPr>
            <w:tcW w:type="dxa" w:w="3500"/>
            <w:tcMar>
              <w:top w:type="dxa" w:w="40"/>
              <w:left w:type="dxa" w:w="90"/>
              <w:bottom w:type="dxa" w:w="40"/>
              <w:right w:type="dxa" w:w="90"/>
            </w:tcMar>
          </w:tcPr>
          <w:p>
            <w:r>
              <w:rPr>
                <w:b w:val="false"/>
                <w:bCs w:val="false"/>
                <w:sz w:val="19"/>
                <w:szCs w:val="19"/>
              </w:rPr>
              <w:t xml:space="preserve">degron / knockout / epigenome-editing + expression readout (RNA-seq)</w:t>
            </w:r>
          </w:p>
        </w:tc>
      </w:tr>
      <w:tr>
        <w:tc>
          <w:tcPr>
            <w:tcW w:type="dxa" w:w="2600"/>
            <w:tcMar>
              <w:top w:type="dxa" w:w="40"/>
              <w:left w:type="dxa" w:w="90"/>
              <w:bottom w:type="dxa" w:w="40"/>
              <w:right w:type="dxa" w:w="90"/>
            </w:tcMar>
          </w:tcPr>
          <w:p>
            <w:r>
              <w:rPr>
                <w:b w:val="false"/>
                <w:bCs w:val="false"/>
                <w:sz w:val="19"/>
                <w:szCs w:val="19"/>
              </w:rPr>
              <w:t xml:space="preserve">Predictability P</w:t>
            </w:r>
          </w:p>
        </w:tc>
        <w:tc>
          <w:tcPr>
            <w:tcW w:type="dxa" w:w="3300"/>
            <w:tcMar>
              <w:top w:type="dxa" w:w="40"/>
              <w:left w:type="dxa" w:w="90"/>
              <w:bottom w:type="dxa" w:w="40"/>
              <w:right w:type="dxa" w:w="90"/>
            </w:tcMar>
          </w:tcPr>
          <w:p>
            <w:r>
              <w:rPr>
                <w:b w:val="false"/>
                <w:bCs w:val="false"/>
                <w:sz w:val="19"/>
                <w:szCs w:val="19"/>
              </w:rPr>
              <w:t xml:space="preserve">accuracy of predicting the mark from DNA sequence</w:t>
            </w:r>
          </w:p>
        </w:tc>
        <w:tc>
          <w:tcPr>
            <w:tcW w:type="dxa" w:w="3500"/>
            <w:tcMar>
              <w:top w:type="dxa" w:w="40"/>
              <w:left w:type="dxa" w:w="90"/>
              <w:bottom w:type="dxa" w:w="40"/>
              <w:right w:type="dxa" w:w="90"/>
            </w:tcMar>
          </w:tcPr>
          <w:p>
            <w:r>
              <w:rPr>
                <w:b w:val="false"/>
                <w:bCs w:val="false"/>
                <w:sz w:val="19"/>
                <w:szCs w:val="19"/>
              </w:rPr>
              <w:t xml:space="preserve">train/evaluate a sequence→mark model on that organism’s genome</w:t>
            </w:r>
          </w:p>
        </w:tc>
      </w:tr>
      <w:tr>
        <w:tc>
          <w:tcPr>
            <w:tcW w:type="dxa" w:w="2600"/>
            <w:tcMar>
              <w:top w:type="dxa" w:w="40"/>
              <w:left w:type="dxa" w:w="90"/>
              <w:bottom w:type="dxa" w:w="40"/>
              <w:right w:type="dxa" w:w="90"/>
            </w:tcMar>
          </w:tcPr>
          <w:p>
            <w:r>
              <w:rPr>
                <w:b w:val="false"/>
                <w:bCs w:val="false"/>
                <w:sz w:val="19"/>
                <w:szCs w:val="19"/>
              </w:rPr>
              <w:t xml:space="preserve">Heritability H (via c)</w:t>
            </w:r>
          </w:p>
        </w:tc>
        <w:tc>
          <w:tcPr>
            <w:tcW w:type="dxa" w:w="3300"/>
            <w:tcMar>
              <w:top w:type="dxa" w:w="40"/>
              <w:left w:type="dxa" w:w="90"/>
              <w:bottom w:type="dxa" w:w="40"/>
              <w:right w:type="dxa" w:w="90"/>
            </w:tcMar>
          </w:tcPr>
          <w:p>
            <w:r>
              <w:rPr>
                <w:b w:val="false"/>
                <w:bCs w:val="false"/>
                <w:sz w:val="19"/>
                <w:szCs w:val="19"/>
              </w:rPr>
              <w:t xml:space="preserve">fidelity of mother→daughter transmission</w:t>
            </w:r>
          </w:p>
        </w:tc>
        <w:tc>
          <w:tcPr>
            <w:tcW w:type="dxa" w:w="3500"/>
            <w:tcMar>
              <w:top w:type="dxa" w:w="40"/>
              <w:left w:type="dxa" w:w="90"/>
              <w:bottom w:type="dxa" w:w="40"/>
              <w:right w:type="dxa" w:w="90"/>
            </w:tcMar>
          </w:tcPr>
          <w:p>
            <w:r>
              <w:rPr>
                <w:b w:val="false"/>
                <w:bCs w:val="false"/>
                <w:sz w:val="19"/>
                <w:szCs w:val="19"/>
              </w:rPr>
              <w:t xml:space="preserve">paired mother/daughter or persistence-after-withdrawal assay per layer</w:t>
            </w:r>
          </w:p>
        </w:tc>
      </w:tr>
    </w:tbl>
    <w:p>
      <w:pPr>
        <w:spacing w:after="80"/>
      </w:pPr>
    </w:p>
    <w:p>
      <w:pPr>
        <w:pStyle w:val="Heading2"/>
        <w:spacing w:after="80" w:before="170"/>
      </w:pPr>
      <w:r>
        <w:rPr>
          <w:b/>
          <w:bCs/>
        </w:rPr>
        <w:t xml:space="preserve">8b. Assay per layer (organism-specific)</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000"/>
        <w:gridCol w:w="6400"/>
      </w:tblGrid>
      <w:tr>
        <w:trPr>
          <w:tblHeader/>
        </w:trPr>
        <w:tc>
          <w:tcPr>
            <w:tcW w:type="dxa" w:w="3000"/>
            <w:shd w:fill="D9E2F3" w:color="auto" w:val="clear"/>
            <w:tcMar>
              <w:top w:type="dxa" w:w="40"/>
              <w:left w:type="dxa" w:w="90"/>
              <w:bottom w:type="dxa" w:w="40"/>
              <w:right w:type="dxa" w:w="90"/>
            </w:tcMar>
          </w:tcPr>
          <w:p>
            <w:r>
              <w:rPr>
                <w:b/>
                <w:bCs/>
                <w:sz w:val="19"/>
                <w:szCs w:val="19"/>
              </w:rPr>
              <w:t xml:space="preserve">Layer</w:t>
            </w:r>
          </w:p>
        </w:tc>
        <w:tc>
          <w:tcPr>
            <w:tcW w:type="dxa" w:w="6400"/>
            <w:shd w:fill="D9E2F3" w:color="auto" w:val="clear"/>
            <w:tcMar>
              <w:top w:type="dxa" w:w="40"/>
              <w:left w:type="dxa" w:w="90"/>
              <w:bottom w:type="dxa" w:w="40"/>
              <w:right w:type="dxa" w:w="90"/>
            </w:tcMar>
          </w:tcPr>
          <w:p>
            <w:r>
              <w:rPr>
                <w:b/>
                <w:bCs/>
                <w:sz w:val="19"/>
                <w:szCs w:val="19"/>
              </w:rPr>
              <w:t xml:space="preserve">Representative assays / data to generate or mine</w:t>
            </w:r>
          </w:p>
        </w:tc>
      </w:tr>
      <w:tr>
        <w:tc>
          <w:tcPr>
            <w:tcW w:type="dxa" w:w="3000"/>
            <w:tcMar>
              <w:top w:type="dxa" w:w="40"/>
              <w:left w:type="dxa" w:w="90"/>
              <w:bottom w:type="dxa" w:w="40"/>
              <w:right w:type="dxa" w:w="90"/>
            </w:tcMar>
          </w:tcPr>
          <w:p>
            <w:r>
              <w:rPr>
                <w:b w:val="false"/>
                <w:bCs w:val="false"/>
                <w:sz w:val="19"/>
                <w:szCs w:val="19"/>
              </w:rPr>
              <w:t xml:space="preserve">DNA methylation</w:t>
            </w:r>
          </w:p>
        </w:tc>
        <w:tc>
          <w:tcPr>
            <w:tcW w:type="dxa" w:w="6400"/>
            <w:tcMar>
              <w:top w:type="dxa" w:w="40"/>
              <w:left w:type="dxa" w:w="90"/>
              <w:bottom w:type="dxa" w:w="40"/>
              <w:right w:type="dxa" w:w="90"/>
            </w:tcMar>
          </w:tcPr>
          <w:p>
            <w:r>
              <w:rPr>
                <w:b w:val="false"/>
                <w:bCs w:val="false"/>
                <w:sz w:val="19"/>
                <w:szCs w:val="19"/>
              </w:rPr>
              <w:t xml:space="preserve">WGBS or Hammer-seq-style paired-strand sequencing; DNMT loss-of-function</w:t>
            </w:r>
          </w:p>
        </w:tc>
      </w:tr>
      <w:tr>
        <w:tc>
          <w:tcPr>
            <w:tcW w:type="dxa" w:w="3000"/>
            <w:tcMar>
              <w:top w:type="dxa" w:w="40"/>
              <w:left w:type="dxa" w:w="90"/>
              <w:bottom w:type="dxa" w:w="40"/>
              <w:right w:type="dxa" w:w="90"/>
            </w:tcMar>
          </w:tcPr>
          <w:p>
            <w:r>
              <w:rPr>
                <w:b w:val="false"/>
                <w:bCs w:val="false"/>
                <w:sz w:val="19"/>
                <w:szCs w:val="19"/>
              </w:rPr>
              <w:t xml:space="preserve">Histone (repressive)</w:t>
            </w:r>
          </w:p>
        </w:tc>
        <w:tc>
          <w:tcPr>
            <w:tcW w:type="dxa" w:w="6400"/>
            <w:tcMar>
              <w:top w:type="dxa" w:w="40"/>
              <w:left w:type="dxa" w:w="90"/>
              <w:bottom w:type="dxa" w:w="40"/>
              <w:right w:type="dxa" w:w="90"/>
            </w:tcMar>
          </w:tcPr>
          <w:p>
            <w:r>
              <w:rPr>
                <w:b w:val="false"/>
                <w:bCs w:val="false"/>
                <w:sz w:val="19"/>
                <w:szCs w:val="19"/>
              </w:rPr>
              <w:t xml:space="preserve">H3K9me3/H3K27me3 ChIP-seq; SUV39/PRC2 perturbation; transmission across division</w:t>
            </w:r>
          </w:p>
        </w:tc>
      </w:tr>
      <w:tr>
        <w:tc>
          <w:tcPr>
            <w:tcW w:type="dxa" w:w="3000"/>
            <w:tcMar>
              <w:top w:type="dxa" w:w="40"/>
              <w:left w:type="dxa" w:w="90"/>
              <w:bottom w:type="dxa" w:w="40"/>
              <w:right w:type="dxa" w:w="90"/>
            </w:tcMar>
          </w:tcPr>
          <w:p>
            <w:r>
              <w:rPr>
                <w:b w:val="false"/>
                <w:bCs w:val="false"/>
                <w:sz w:val="19"/>
                <w:szCs w:val="19"/>
              </w:rPr>
              <w:t xml:space="preserve">Histone (activating)</w:t>
            </w:r>
          </w:p>
        </w:tc>
        <w:tc>
          <w:tcPr>
            <w:tcW w:type="dxa" w:w="6400"/>
            <w:tcMar>
              <w:top w:type="dxa" w:w="40"/>
              <w:left w:type="dxa" w:w="90"/>
              <w:bottom w:type="dxa" w:w="40"/>
              <w:right w:type="dxa" w:w="90"/>
            </w:tcMar>
          </w:tcPr>
          <w:p>
            <w:r>
              <w:rPr>
                <w:b w:val="false"/>
                <w:bCs w:val="false"/>
                <w:sz w:val="19"/>
                <w:szCs w:val="19"/>
              </w:rPr>
              <w:t xml:space="preserve">H3K4me3/H3K27ac ChIP-seq; writer perturbation; sequence-predictability model</w:t>
            </w:r>
          </w:p>
        </w:tc>
      </w:tr>
      <w:tr>
        <w:tc>
          <w:tcPr>
            <w:tcW w:type="dxa" w:w="3000"/>
            <w:tcMar>
              <w:top w:type="dxa" w:w="40"/>
              <w:left w:type="dxa" w:w="90"/>
              <w:bottom w:type="dxa" w:w="40"/>
              <w:right w:type="dxa" w:w="90"/>
            </w:tcMar>
          </w:tcPr>
          <w:p>
            <w:r>
              <w:rPr>
                <w:b w:val="false"/>
                <w:bCs w:val="false"/>
                <w:sz w:val="19"/>
                <w:szCs w:val="19"/>
              </w:rPr>
              <w:t xml:space="preserve">3D genome</w:t>
            </w:r>
          </w:p>
        </w:tc>
        <w:tc>
          <w:tcPr>
            <w:tcW w:type="dxa" w:w="6400"/>
            <w:tcMar>
              <w:top w:type="dxa" w:w="40"/>
              <w:left w:type="dxa" w:w="90"/>
              <w:bottom w:type="dxa" w:w="40"/>
              <w:right w:type="dxa" w:w="90"/>
            </w:tcMar>
          </w:tcPr>
          <w:p>
            <w:r>
              <w:rPr>
                <w:b w:val="false"/>
                <w:bCs w:val="false"/>
                <w:sz w:val="19"/>
                <w:szCs w:val="19"/>
              </w:rPr>
              <w:t xml:space="preserve">Hi-C + cohesin/CTCF (or lineage analog) degron; mitotic Hi-C for heritability</w:t>
            </w:r>
          </w:p>
        </w:tc>
      </w:tr>
      <w:tr>
        <w:tc>
          <w:tcPr>
            <w:tcW w:type="dxa" w:w="3000"/>
            <w:tcMar>
              <w:top w:type="dxa" w:w="40"/>
              <w:left w:type="dxa" w:w="90"/>
              <w:bottom w:type="dxa" w:w="40"/>
              <w:right w:type="dxa" w:w="90"/>
            </w:tcMar>
          </w:tcPr>
          <w:p>
            <w:r>
              <w:rPr>
                <w:b w:val="false"/>
                <w:bCs w:val="false"/>
                <w:sz w:val="19"/>
                <w:szCs w:val="19"/>
              </w:rPr>
              <w:t xml:space="preserve">ncRNA guidance</w:t>
            </w:r>
          </w:p>
        </w:tc>
        <w:tc>
          <w:tcPr>
            <w:tcW w:type="dxa" w:w="6400"/>
            <w:tcMar>
              <w:top w:type="dxa" w:w="40"/>
              <w:left w:type="dxa" w:w="90"/>
              <w:bottom w:type="dxa" w:w="40"/>
              <w:right w:type="dxa" w:w="90"/>
            </w:tcMar>
          </w:tcPr>
          <w:p>
            <w:r>
              <w:rPr>
                <w:b w:val="false"/>
                <w:bCs w:val="false"/>
                <w:sz w:val="19"/>
                <w:szCs w:val="19"/>
              </w:rPr>
              <w:t xml:space="preserve">small-RNA-seq; Argonaute / RdDM mutants; transgenerational reporter assays</w:t>
            </w:r>
          </w:p>
        </w:tc>
      </w:tr>
      <w:tr>
        <w:tc>
          <w:tcPr>
            <w:tcW w:type="dxa" w:w="3000"/>
            <w:tcMar>
              <w:top w:type="dxa" w:w="40"/>
              <w:left w:type="dxa" w:w="90"/>
              <w:bottom w:type="dxa" w:w="40"/>
              <w:right w:type="dxa" w:w="90"/>
            </w:tcMar>
          </w:tcPr>
          <w:p>
            <w:r>
              <w:rPr>
                <w:b w:val="false"/>
                <w:bCs w:val="false"/>
                <w:sz w:val="19"/>
                <w:szCs w:val="19"/>
              </w:rPr>
              <w:t xml:space="preserve">Chromatin accessibility</w:t>
            </w:r>
          </w:p>
        </w:tc>
        <w:tc>
          <w:tcPr>
            <w:tcW w:type="dxa" w:w="6400"/>
            <w:tcMar>
              <w:top w:type="dxa" w:w="40"/>
              <w:left w:type="dxa" w:w="90"/>
              <w:bottom w:type="dxa" w:w="40"/>
              <w:right w:type="dxa" w:w="90"/>
            </w:tcMar>
          </w:tcPr>
          <w:p>
            <w:r>
              <w:rPr>
                <w:b w:val="false"/>
                <w:bCs w:val="false"/>
                <w:sz w:val="19"/>
                <w:szCs w:val="19"/>
              </w:rPr>
              <w:t xml:space="preserve">ATAC-seq; pioneer-TF perturbation; sequence-predictability model</w:t>
            </w:r>
          </w:p>
        </w:tc>
      </w:tr>
      <w:tr>
        <w:tc>
          <w:tcPr>
            <w:tcW w:type="dxa" w:w="3000"/>
            <w:tcMar>
              <w:top w:type="dxa" w:w="40"/>
              <w:left w:type="dxa" w:w="90"/>
              <w:bottom w:type="dxa" w:w="40"/>
              <w:right w:type="dxa" w:w="90"/>
            </w:tcMar>
          </w:tcPr>
          <w:p>
            <w:r>
              <w:rPr>
                <w:b w:val="false"/>
                <w:bCs w:val="false"/>
                <w:sz w:val="19"/>
                <w:szCs w:val="19"/>
              </w:rPr>
              <w:t xml:space="preserve">Histone variants</w:t>
            </w:r>
          </w:p>
        </w:tc>
        <w:tc>
          <w:tcPr>
            <w:tcW w:type="dxa" w:w="6400"/>
            <w:tcMar>
              <w:top w:type="dxa" w:w="40"/>
              <w:left w:type="dxa" w:w="90"/>
              <w:bottom w:type="dxa" w:w="40"/>
              <w:right w:type="dxa" w:w="90"/>
            </w:tcMar>
          </w:tcPr>
          <w:p>
            <w:r>
              <w:rPr>
                <w:b w:val="false"/>
                <w:bCs w:val="false"/>
                <w:sz w:val="19"/>
                <w:szCs w:val="19"/>
              </w:rPr>
              <w:t xml:space="preserve">CENP-A (or analog) ChIP-seq and loading-kinetics / quench-chase</w:t>
            </w:r>
          </w:p>
        </w:tc>
      </w:tr>
    </w:tbl>
    <w:p>
      <w:pPr>
        <w:spacing w:after="80"/>
      </w:pPr>
    </w:p>
    <w:p>
      <w:pPr>
        <w:pStyle w:val="Heading2"/>
        <w:spacing w:after="80" w:before="170"/>
      </w:pPr>
      <w:r>
        <w:rPr>
          <w:b/>
          <w:bCs/>
        </w:rPr>
        <w:t xml:space="preserve">8c. Sequence and cost strategy</w:t>
      </w:r>
    </w:p>
    <w:p>
      <w:pPr>
        <w:spacing w:after="90" w:line="276"/>
      </w:pPr>
      <w:r>
        <w:rPr>
          <w:b/>
          <w:bCs/>
          <w:color w:val="0B6FB8"/>
        </w:rPr>
        <w:t xml:space="preserve">1. </w:t>
      </w:r>
      <w:r>
        <w:t xml:space="preserve">Start with the four best-resourced non-mammalian models where many assays already exist in public archives: budding/fission yeast (fungi), </w:t>
      </w:r>
      <w:r>
        <w:rPr>
          <w:i/>
          <w:iCs/>
        </w:rPr>
        <w:t xml:space="preserve">Arabidopsis</w:t>
      </w:r>
      <w:r>
        <w:t xml:space="preserve"> (plants), </w:t>
      </w:r>
      <w:r>
        <w:rPr>
          <w:i/>
          <w:iCs/>
        </w:rPr>
        <w:t xml:space="preserve">C. elegans</w:t>
      </w:r>
      <w:r>
        <w:t xml:space="preserve"> and </w:t>
      </w:r>
      <w:r>
        <w:rPr>
          <w:i/>
          <w:iCs/>
        </w:rPr>
        <w:t xml:space="preserve">Drosophila</w:t>
      </w:r>
      <w:r>
        <w:t xml:space="preserve"> (invertebrates), and one bacterium (</w:t>
      </w:r>
      <w:r>
        <w:rPr>
          <w:i/>
          <w:iCs/>
        </w:rPr>
        <w:t xml:space="preserve">Caulobacter</w:t>
      </w:r>
      <w:r>
        <w:t xml:space="preserve">).</w:t>
      </w:r>
    </w:p>
    <w:p>
      <w:pPr>
        <w:spacing w:after="90" w:line="276"/>
      </w:pPr>
      <w:r>
        <w:rPr>
          <w:b/>
          <w:bCs/>
          <w:color w:val="0B6FB8"/>
        </w:rPr>
        <w:t xml:space="preserve">2. </w:t>
      </w:r>
      <w:r>
        <w:t xml:space="preserve">For each, mine existing perturbation + genomics datasets first (much of K and P can come from re-analysis, as we did for mammals); generate new data only for the missing heritability (c) cells, which are the scarcest.</w:t>
      </w:r>
    </w:p>
    <w:p>
      <w:pPr>
        <w:spacing w:after="90" w:line="276"/>
      </w:pPr>
      <w:r>
        <w:rPr>
          <w:b/>
          <w:bCs/>
          <w:color w:val="0B6FB8"/>
        </w:rPr>
        <w:t xml:space="preserve">3. </w:t>
      </w:r>
      <w:r>
        <w:t xml:space="preserve">Fill the matrix cell-by-cell, re-fitting the separable model after each batch, and watch R², the α ranking, and the ε map. Pre-register the thresholds in §7 before looking.</w:t>
      </w:r>
    </w:p>
    <w:p>
      <w:pPr>
        <w:spacing w:after="90" w:line="276"/>
      </w:pPr>
      <w:r>
        <w:rPr>
          <w:b/>
          <w:bCs/>
          <w:color w:val="0B6FB8"/>
        </w:rPr>
        <w:t xml:space="preserve">4. </w:t>
      </w:r>
      <w:r>
        <w:t xml:space="preserve">Deliverable: an independently measured 7×(≥5) codeness matrix, and a decision — separable law confirmed (R² ≥ 0.8, α conserved, ε = carrier switches) or rejected.</w:t>
      </w:r>
    </w:p>
    <w:p>
      <w:pPr>
        <w:pStyle w:val="Heading1"/>
        <w:spacing w:after="110" w:before="260"/>
      </w:pPr>
      <w:r>
        <w:rPr>
          <w:b/>
          <w:bCs/>
        </w:rPr>
        <w:t xml:space="preserve">Provenance</w:t>
      </w:r>
    </w:p>
    <w:p>
      <w:pPr>
        <w:spacing w:after="150" w:line="276"/>
      </w:pPr>
      <w:r>
        <w:t xml:space="preserve">Model fitted on the project’s v7 cross-kingdom codeness matrix; separable fit by least squares on log-codeness; redundancy sweep and figure generated 21 Sep 2026. All methods and the index itself are defined in the project manuscript and code (per-script self-tests, fixed random seeds). Constants and sensitivity values: general_codeness_model.json, general_codeness_redundancy.json.</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bb9beebe4a3b52b120ae8ae2f5bde758437d3e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General Codeness Model across the Tree of Life</dc:title>
  <dc:creator>Davis W. Cheng</dc:creator>
  <cp:lastModifiedBy>Un-named</cp:lastModifiedBy>
  <cp:revision>1</cp:revision>
  <dcterms:created xsi:type="dcterms:W3CDTF">2026-09-22T19:58:44.133Z</dcterms:created>
  <dcterms:modified xsi:type="dcterms:W3CDTF">2026-09-22T19:58:44.149Z</dcterms:modified>
</cp:coreProperties>
</file>

<file path=docProps/custom.xml><?xml version="1.0" encoding="utf-8"?>
<Properties xmlns="http://schemas.openxmlformats.org/officeDocument/2006/custom-properties" xmlns:vt="http://schemas.openxmlformats.org/officeDocument/2006/docPropsVTypes"/>
</file>