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35A11">
      <w:pPr>
        <w:widowControl/>
        <w:spacing w:before="156" w:beforeLines="50" w:after="156" w:afterLines="50" w:line="360" w:lineRule="auto"/>
        <w:jc w:val="center"/>
        <w:rPr>
          <w:rFonts w:ascii="Times New Roman" w:hAnsi="Times New Roman" w:eastAsia="宋体"/>
          <w:b/>
          <w:sz w:val="44"/>
          <w:szCs w:val="44"/>
        </w:rPr>
      </w:pPr>
      <w:bookmarkStart w:id="0" w:name="_Hlk189902777"/>
      <w:bookmarkStart w:id="1" w:name="OLE_LINK67"/>
      <w:r>
        <w:rPr>
          <w:rFonts w:hint="eastAsia" w:ascii="Times New Roman" w:hAnsi="Times New Roman" w:eastAsia="宋体"/>
          <w:b/>
          <w:sz w:val="44"/>
          <w:szCs w:val="44"/>
        </w:rPr>
        <w:t>Supplementary Material</w:t>
      </w:r>
      <w:r>
        <w:rPr>
          <w:rFonts w:ascii="Times New Roman" w:hAnsi="Times New Roman" w:eastAsia="宋体"/>
          <w:b/>
          <w:sz w:val="44"/>
          <w:szCs w:val="44"/>
        </w:rPr>
        <w:t xml:space="preserve"> </w:t>
      </w:r>
      <w:bookmarkEnd w:id="0"/>
      <w:bookmarkEnd w:id="1"/>
      <w:r>
        <w:rPr>
          <w:rFonts w:ascii="Times New Roman" w:hAnsi="Times New Roman" w:eastAsia="宋体"/>
          <w:b/>
          <w:sz w:val="44"/>
          <w:szCs w:val="44"/>
        </w:rPr>
        <w:t>for</w:t>
      </w:r>
    </w:p>
    <w:p w14:paraId="67F10F81">
      <w:pPr>
        <w:pStyle w:val="4"/>
        <w:bidi w:val="0"/>
        <w:rPr>
          <w:rFonts w:hint="eastAsia"/>
          <w:b/>
          <w:bCs/>
          <w:sz w:val="32"/>
          <w:szCs w:val="32"/>
        </w:rPr>
      </w:pPr>
      <w:r>
        <w:rPr>
          <w:rFonts w:hint="eastAsia"/>
          <w:b/>
          <w:bCs/>
          <w:sz w:val="32"/>
          <w:szCs w:val="32"/>
        </w:rPr>
        <w:t>Degradation and toxicity attenuation of persistent triazole contaminants by sequence-controlled ferrate(VI)–ozone oxidation</w:t>
      </w:r>
    </w:p>
    <w:p w14:paraId="20A8E920">
      <w:pPr>
        <w:pStyle w:val="4"/>
        <w:bidi w:val="0"/>
      </w:pPr>
      <w:bookmarkStart w:id="2" w:name="_GoBack"/>
      <w:bookmarkEnd w:id="2"/>
      <w:r>
        <w:rPr>
          <w:rFonts w:hint="eastAsia"/>
          <w:lang w:val="en-US" w:eastAsia="zh-CN"/>
        </w:rPr>
        <w:t>Text S1.</w:t>
      </w:r>
      <w:r>
        <w:t>Chemicals and reagents.</w:t>
      </w:r>
    </w:p>
    <w:p w14:paraId="10B61A15">
      <w:pPr>
        <w:bidi w:val="0"/>
      </w:pPr>
      <w:r>
        <w:t>Potassium ferrate (K</w:t>
      </w:r>
      <w:r>
        <w:rPr>
          <w:rFonts w:hint="eastAsia"/>
          <w:vertAlign w:val="subscript"/>
          <w:lang w:val="en-US" w:eastAsia="zh-CN"/>
        </w:rPr>
        <w:t>2</w:t>
      </w:r>
      <w:r>
        <w:t>FeO</w:t>
      </w:r>
      <w:r>
        <w:rPr>
          <w:rFonts w:hint="eastAsia"/>
          <w:vertAlign w:val="subscript"/>
          <w:lang w:val="en-US" w:eastAsia="zh-CN"/>
        </w:rPr>
        <w:t>4</w:t>
      </w:r>
      <w:r>
        <w:t>,</w:t>
      </w:r>
      <w:r>
        <w:rPr>
          <w:rFonts w:hint="eastAsia"/>
          <w:lang w:val="en-US" w:eastAsia="zh-CN"/>
        </w:rPr>
        <w:t xml:space="preserve"> </w:t>
      </w:r>
      <w:r>
        <w:t>purity</w:t>
      </w:r>
      <w:r>
        <w:rPr>
          <w:rFonts w:hint="eastAsia"/>
          <w:lang w:val="en-US" w:eastAsia="zh-CN"/>
        </w:rPr>
        <w:t xml:space="preserve"> </w:t>
      </w:r>
      <w:r>
        <w:t>≥</w:t>
      </w:r>
      <w:r>
        <w:rPr>
          <w:rFonts w:hint="eastAsia"/>
          <w:lang w:val="en-US" w:eastAsia="zh-CN"/>
        </w:rPr>
        <w:t xml:space="preserve"> </w:t>
      </w:r>
      <w:r>
        <w:t>95%) and 2,2′-azino-bis(3-ethylbenzothiazoline-6-sulfonic acid) diammonium salt (ABTS, C₁₈H₂₄N₆O₆S₄, purity ≥ 99%) were purchased from Shanghai Aladdin Reagent Co., Ltd., China. Fluconazole (C₁₃H₁₂F₂N₆O), tebuconazole (C₁₆H₂₂ClN₃O), phenyl methyl sulfoxide (PMSO, C₇H₈OS), sodium dihydrogen phosphate (NaH₂PO₄), disodium hydrogen phosphate (Na₂HPO₄), hydroxylamine hydrochloride (NH₂OH·HCl), acetonitrile (C₂H₃N), formic acid (CH₂O₂), and methanol (CH₄O) were purchased from Shanghai Macklin Biochemical Technology Co., Ltd., China. Acetonitrile, formic acid, and methanol were of chromatographic grade, whereas the other reagents purchased from this supplier were of analytical grade. Escherichia coli (E. coli, lyophilized powder; strain CMCC 44102) was used in the experiments. tert-Butanol (TBA, C₄H₁₀O), furfural (C₅H₆O₂), sodium chloride (NaCl), sodium hydroxide (NaOH), hydrogen chloride (HCl), 4-oxo-2,2,6,6-tetramethylpiperidin-1-oxyl (4-oxo-TEMPO, C₉H₁₆NO₂), and 5,5-dimethyl-1-pyrroline N-oxide (DMPO, C₆H₁₁NO) were purchased from Tianjin Xinbote Chemical Co., Ltd., China, and were of analytical grade. All chemicals and reagents were used as received without further purification.</w:t>
      </w:r>
    </w:p>
    <w:p w14:paraId="28B8ABC6">
      <w:pPr>
        <w:pStyle w:val="3"/>
        <w:bidi w:val="0"/>
      </w:pPr>
      <w:r>
        <w:t>Text S2. Analytical methods and quality assurance</w:t>
      </w:r>
    </w:p>
    <w:p w14:paraId="30EC3D33">
      <w:pPr>
        <w:pStyle w:val="4"/>
        <w:rPr>
          <w:rStyle w:val="21"/>
          <w:sz w:val="32"/>
          <w:szCs w:val="32"/>
        </w:rPr>
      </w:pPr>
      <w:r>
        <w:t>S2</w:t>
      </w:r>
      <w:r>
        <w:rPr>
          <w:rFonts w:hint="eastAsia"/>
          <w:lang w:val="en-US" w:eastAsia="zh-CN"/>
        </w:rPr>
        <w:t xml:space="preserve">.1 </w:t>
      </w:r>
      <w:r>
        <w:t>Determination of FLZ and TEB concentrations</w:t>
      </w:r>
    </w:p>
    <w:p w14:paraId="71F488B8">
      <w:pPr>
        <w:ind w:firstLine="480"/>
      </w:pPr>
      <w:r>
        <w:t>The concentrations of fluconazole (FLZ) and tebuconazole (TEB) were determined by UV–visible spectrophotometry. Stock solutions of FLZ and TEB were prepared and serially diluted with deionised water to obtain standard working solutions. Full-wavelength scans were first performed over 200–800 nm using deionised water as the reference to identify the characteristic absorption wavelengths. The absorbance of FLZ and TEB was subsequently measured at 261 nm and 326 nm, respectively.</w:t>
      </w:r>
    </w:p>
    <w:p w14:paraId="4D2DE7B7">
      <w:pPr>
        <w:ind w:firstLine="480"/>
      </w:pPr>
      <w:r>
        <w:t>Calibration curves were established by plotting absorbance against the corresponding standard concentrations. Prior to analysis, all samples were filtered through a 0.22 μm membrane and diluted, when necessary, to ensure that the concentrations fell within the linear range of the calibration curves. The concentrations of FLZ and TEB in the samples were then calculated from the corresponding calibration curves</w:t>
      </w:r>
    </w:p>
    <w:p w14:paraId="751F2E78">
      <w:pPr>
        <w:pStyle w:val="4"/>
        <w:rPr>
          <w:rFonts w:hint="eastAsia"/>
        </w:rPr>
      </w:pPr>
      <w:r>
        <w:t xml:space="preserve"> S2</w:t>
      </w:r>
      <w:r>
        <w:rPr>
          <w:rFonts w:hint="eastAsia"/>
          <w:lang w:val="en-US" w:eastAsia="zh-CN"/>
        </w:rPr>
        <w:t xml:space="preserve">.2 </w:t>
      </w:r>
      <w:r>
        <w:t xml:space="preserve">Determination of Fe(VI) </w:t>
      </w:r>
    </w:p>
    <w:p w14:paraId="4846AD60">
      <w:pPr>
        <w:ind w:firstLine="480"/>
      </w:pPr>
      <w:r>
        <w:t>The Fe(VI) concentration was determined using the 2,2-azino-bis(3-ethylbenzothiazoline-6-sulfonic acid) diammonium salt (ABTS) method. Fe(VI) rapidly reacts with ABTS to form a stable green radical cation (ABTS•⁺), which has a characteristic absorbance at 415 nm. Briefly, 5 mL of acetate/phosphate buffer solution (0.6 mol L⁻¹ acetate and 0.2 mol L⁻¹ phosphate, pH 4.2) and 1 mL of ABTS solution (1.82 mmol L⁻¹) were added to a 25 mL volumetric flask. The Fe(VI) sample was then added, and the mixture was diluted to 25 mL. After thorough mixing, the absorbance was measured at 415 nm with blank correction. The Fe(VI) concentration was calculated using the Beer–Lambert law according to Eq. (2-1):</w:t>
      </w:r>
    </w:p>
    <w:p w14:paraId="0D03F587">
      <w:pPr>
        <w:ind w:firstLine="480"/>
        <w:rPr>
          <w:rFonts w:hAnsi="Cambria Math"/>
          <w:i w:val="0"/>
        </w:rPr>
      </w:pPr>
      <m:oMathPara>
        <m:oMath>
          <m:sSub>
            <m:sSubPr>
              <m:ctrlPr>
                <w:rPr>
                  <w:rFonts w:ascii="Cambria Math" w:hAnsi="Cambria Math"/>
                </w:rPr>
              </m:ctrlPr>
            </m:sSubPr>
            <m:e>
              <m:r>
                <m:rPr>
                  <m:nor/>
                  <m:sty m:val="p"/>
                </m:rPr>
                <w:rPr>
                  <w:b w:val="0"/>
                  <w:i w:val="0"/>
                </w:rPr>
                <m:t>[Fe</m:t>
              </m:r>
              <m:d>
                <m:dPr>
                  <m:ctrlPr>
                    <w:rPr>
                      <w:rFonts w:ascii="Cambria Math" w:hAnsi="Cambria Math"/>
                    </w:rPr>
                  </m:ctrlPr>
                </m:dPr>
                <m:e>
                  <m:r>
                    <m:rPr>
                      <m:nor/>
                      <m:sty m:val="p"/>
                    </m:rPr>
                    <w:rPr>
                      <w:b w:val="0"/>
                      <w:i w:val="0"/>
                    </w:rPr>
                    <m:t>Ⅵ</m:t>
                  </m:r>
                  <m:ctrlPr>
                    <w:rPr>
                      <w:rFonts w:ascii="Cambria Math" w:hAnsi="Cambria Math"/>
                    </w:rPr>
                  </m:ctrlPr>
                </m:e>
              </m:d>
              <m:r>
                <m:rPr>
                  <m:nor/>
                  <m:sty m:val="p"/>
                </m:rPr>
                <w:rPr>
                  <w:b w:val="0"/>
                  <w:i w:val="0"/>
                </w:rPr>
                <m:t>]</m:t>
              </m:r>
              <m:ctrlPr>
                <w:rPr>
                  <w:rFonts w:ascii="Cambria Math" w:hAnsi="Cambria Math"/>
                </w:rPr>
              </m:ctrlPr>
            </m:e>
            <m:sub>
              <m:r>
                <m:rPr>
                  <m:nor/>
                  <m:sty m:val="p"/>
                </m:rPr>
                <w:rPr>
                  <w:b w:val="0"/>
                  <w:i w:val="0"/>
                </w:rPr>
                <m:t>sample</m:t>
              </m:r>
              <m:ctrlPr>
                <w:rPr>
                  <w:rFonts w:ascii="Cambria Math" w:hAnsi="Cambria Math"/>
                </w:rPr>
              </m:ctrlPr>
            </m:sub>
          </m:sSub>
          <m:r>
            <m:rPr>
              <m:nor/>
              <m:sty m:val="p"/>
            </m:rPr>
            <w:rPr>
              <w:b w:val="0"/>
              <w:i w:val="0"/>
            </w:rPr>
            <m:t xml:space="preserve"> = </m:t>
          </m:r>
          <m:f>
            <m:fPr>
              <m:ctrlPr>
                <w:rPr>
                  <w:rFonts w:ascii="Cambria Math" w:hAnsi="Cambria Math"/>
                </w:rPr>
              </m:ctrlPr>
            </m:fPr>
            <m:num>
              <m:sSubSup>
                <m:sSubSupPr>
                  <m:ctrlPr>
                    <w:rPr>
                      <w:rFonts w:ascii="Cambria Math" w:hAnsi="Cambria Math"/>
                    </w:rPr>
                  </m:ctrlPr>
                </m:sSubSupPr>
                <m:e>
                  <m:r>
                    <m:rPr>
                      <m:nor/>
                      <m:sty m:val="p"/>
                    </m:rPr>
                    <w:rPr>
                      <w:b w:val="0"/>
                      <w:i w:val="0"/>
                    </w:rPr>
                    <m:t>∆A</m:t>
                  </m:r>
                  <m:ctrlPr>
                    <w:rPr>
                      <w:rFonts w:ascii="Cambria Math" w:hAnsi="Cambria Math"/>
                    </w:rPr>
                  </m:ctrlPr>
                </m:e>
                <m:sub>
                  <m:r>
                    <m:rPr>
                      <m:nor/>
                      <m:sty m:val="p"/>
                    </m:rPr>
                    <w:rPr>
                      <w:b w:val="0"/>
                      <w:i w:val="0"/>
                    </w:rPr>
                    <m:t>l</m:t>
                  </m:r>
                  <m:ctrlPr>
                    <w:rPr>
                      <w:rFonts w:ascii="Cambria Math" w:hAnsi="Cambria Math"/>
                    </w:rPr>
                  </m:ctrlPr>
                </m:sub>
                <m:sup>
                  <m:r>
                    <m:rPr>
                      <m:nor/>
                      <m:sty m:val="p"/>
                    </m:rPr>
                    <w:rPr>
                      <w:b w:val="0"/>
                      <w:i w:val="0"/>
                    </w:rPr>
                    <m:t>415</m:t>
                  </m:r>
                  <m:ctrlPr>
                    <w:rPr>
                      <w:rFonts w:ascii="Cambria Math" w:hAnsi="Cambria Math"/>
                    </w:rPr>
                  </m:ctrlPr>
                </m:sup>
              </m:sSubSup>
              <m:sSub>
                <m:sSubPr>
                  <m:ctrlPr>
                    <w:rPr>
                      <w:rFonts w:ascii="Cambria Math" w:hAnsi="Cambria Math"/>
                    </w:rPr>
                  </m:ctrlPr>
                </m:sSubPr>
                <m:e>
                  <m:r>
                    <m:rPr>
                      <m:nor/>
                      <m:sty m:val="p"/>
                    </m:rPr>
                    <w:rPr>
                      <w:b w:val="0"/>
                      <w:i w:val="0"/>
                    </w:rPr>
                    <m:t>V</m:t>
                  </m:r>
                  <m:ctrlPr>
                    <w:rPr>
                      <w:rFonts w:ascii="Cambria Math" w:hAnsi="Cambria Math"/>
                    </w:rPr>
                  </m:ctrlPr>
                </m:e>
                <m:sub>
                  <m:r>
                    <m:rPr>
                      <m:nor/>
                      <m:sty m:val="p"/>
                    </m:rPr>
                    <w:rPr>
                      <w:b w:val="0"/>
                      <w:i w:val="0"/>
                    </w:rPr>
                    <m:t>final</m:t>
                  </m:r>
                  <m:ctrlPr>
                    <w:rPr>
                      <w:rFonts w:ascii="Cambria Math" w:hAnsi="Cambria Math"/>
                    </w:rPr>
                  </m:ctrlPr>
                </m:sub>
              </m:sSub>
              <m:ctrlPr>
                <w:rPr>
                  <w:rFonts w:ascii="Cambria Math" w:hAnsi="Cambria Math"/>
                </w:rPr>
              </m:ctrlPr>
            </m:num>
            <m:den>
              <m:sSub>
                <m:sSubPr>
                  <m:ctrlPr>
                    <w:rPr>
                      <w:rFonts w:ascii="Cambria Math" w:hAnsi="Cambria Math"/>
                    </w:rPr>
                  </m:ctrlPr>
                </m:sSubPr>
                <m:e>
                  <m:r>
                    <m:rPr>
                      <m:nor/>
                      <m:sty m:val="p"/>
                    </m:rPr>
                    <w:rPr>
                      <w:b w:val="0"/>
                      <w:i w:val="0"/>
                    </w:rPr>
                    <m:t>εlV</m:t>
                  </m:r>
                  <m:ctrlPr>
                    <w:rPr>
                      <w:rFonts w:ascii="Cambria Math" w:hAnsi="Cambria Math"/>
                    </w:rPr>
                  </m:ctrlPr>
                </m:e>
                <m:sub>
                  <m:r>
                    <m:rPr>
                      <m:nor/>
                      <m:sty m:val="p"/>
                    </m:rPr>
                    <w:rPr>
                      <w:b w:val="0"/>
                      <w:i w:val="0"/>
                    </w:rPr>
                    <m:t>sample</m:t>
                  </m:r>
                  <m:ctrlPr>
                    <w:rPr>
                      <w:rFonts w:ascii="Cambria Math" w:hAnsi="Cambria Math"/>
                    </w:rPr>
                  </m:ctrlPr>
                </m:sub>
              </m:sSub>
              <m:ctrlPr>
                <w:rPr>
                  <w:rFonts w:ascii="Cambria Math" w:hAnsi="Cambria Math"/>
                </w:rPr>
              </m:ctrlPr>
            </m:den>
          </m:f>
        </m:oMath>
      </m:oMathPara>
    </w:p>
    <w:p w14:paraId="6665BA0C">
      <w:pPr>
        <w:pStyle w:val="4"/>
      </w:pPr>
      <w:r>
        <w:t>S2.3 Determination of dissolved ozone</w:t>
      </w:r>
    </w:p>
    <w:p w14:paraId="21D6468D">
      <w:pPr>
        <w:bidi w:val="0"/>
        <w:rPr>
          <w:rFonts w:hint="eastAsia"/>
          <w:lang w:val="en-US" w:eastAsia="zh-CN"/>
        </w:rPr>
      </w:pPr>
      <w:r>
        <w:rPr>
          <w:rFonts w:hint="eastAsia"/>
          <w:lang w:val="en-US" w:eastAsia="zh-CN"/>
        </w:rPr>
        <w:t>Dissolved ozone concentration was determined using the indigo spectrophotometric method. Under acidic conditions, ozone rapidly oxidizes indigo, resulting in decolorization proportional to the amount of dissolved ozone. Water samples were collected immediately after ozonation and analyzed without prolonged storage to minimize ozone decomposition. The decrease in indigo absorbance was used to determine the dissolved ozone concentration according to the corresponding calibration relationship.</w:t>
      </w:r>
    </w:p>
    <w:p w14:paraId="0F3F9A97">
      <w:pPr>
        <w:bidi w:val="0"/>
        <w:rPr>
          <w:lang w:val="en-US" w:eastAsia="zh-CN"/>
        </w:rPr>
      </w:pPr>
      <w:r>
        <w:rPr>
          <w:rFonts w:hint="eastAsia"/>
          <w:lang w:val="en-US" w:eastAsia="zh-CN"/>
        </w:rPr>
        <w:t>Unless otherwise specified, the dissolved O₃ concentration used in the oxidation experiments was 10 mg L⁻¹.</w:t>
      </w:r>
      <w:r>
        <w:rPr>
          <w:lang w:val="en-US" w:eastAsia="zh-CN"/>
        </w:rPr>
        <w:t>Analysis of transformation products of triazole pollutants</w:t>
      </w:r>
    </w:p>
    <w:p w14:paraId="76628EA2">
      <w:pPr>
        <w:pStyle w:val="4"/>
        <w:bidi w:val="0"/>
      </w:pPr>
      <w:r>
        <w:t>S2.4 Total organic carbon analysis</w:t>
      </w:r>
    </w:p>
    <w:p w14:paraId="2BADC8E3">
      <w:pPr>
        <w:bidi w:val="0"/>
      </w:pPr>
      <w:r>
        <w:rPr>
          <w:rFonts w:hint="eastAsia"/>
        </w:rPr>
        <w:t>Total organic carbon (TOC) was measured using an LB-800 TOC analyzer. After sampling, residual oxidants were immediately quenched, and the samples were subsequently filtered before TOC determination. Each sample was analyzed under identical instrumental conditions.</w:t>
      </w:r>
    </w:p>
    <w:p w14:paraId="52EE7DCF">
      <w:pPr>
        <w:bidi w:val="0"/>
      </w:pPr>
      <w:r>
        <w:rPr>
          <w:rFonts w:hint="eastAsia"/>
        </w:rPr>
        <w:t>TOC removal efficiency was calculated as:</w:t>
      </w:r>
    </w:p>
    <w:p w14:paraId="368E7462">
      <w:pPr>
        <w:bidi w:val="0"/>
        <w:jc w:val="center"/>
        <w:rPr>
          <w:rFonts w:hint="eastAsia"/>
          <w:lang w:val="en-US" w:eastAsia="zh-CN"/>
        </w:rPr>
      </w:pPr>
      <w:r>
        <w:rPr>
          <w:rFonts w:hint="eastAsia"/>
          <w:lang w:val="en-US" w:eastAsia="zh-CN"/>
        </w:rPr>
        <w:t>TOC removal(%)=</w:t>
      </w:r>
      <m:oMath>
        <m:f>
          <m:fPr>
            <m:ctrlPr>
              <w:rPr>
                <w:rFonts w:ascii="Cambria Math" w:hAnsi="Cambria Math"/>
                <w:i/>
                <w:lang w:val="en-US"/>
              </w:rPr>
            </m:ctrlPr>
          </m:fPr>
          <m:num>
            <m:sSub>
              <m:sSubPr>
                <m:ctrlPr>
                  <w:rPr>
                    <w:rFonts w:ascii="Cambria Math" w:hAnsi="Cambria Math"/>
                    <w:i/>
                    <w:lang w:val="en-US"/>
                  </w:rPr>
                </m:ctrlPr>
              </m:sSubPr>
              <m:e>
                <m:r>
                  <m:rPr/>
                  <w:rPr>
                    <w:rFonts w:hint="default" w:ascii="Cambria Math" w:hAnsi="Cambria Math"/>
                    <w:lang w:val="en-US" w:eastAsia="zh-CN"/>
                  </w:rPr>
                  <m:t>TOC</m:t>
                </m:r>
                <m:ctrlPr>
                  <w:rPr>
                    <w:rFonts w:ascii="Cambria Math" w:hAnsi="Cambria Math"/>
                    <w:i/>
                    <w:lang w:val="en-US"/>
                  </w:rPr>
                </m:ctrlPr>
              </m:e>
              <m:sub>
                <m:r>
                  <m:rPr/>
                  <w:rPr>
                    <w:rFonts w:hint="default" w:ascii="Cambria Math" w:hAnsi="Cambria Math"/>
                    <w:lang w:val="en-US" w:eastAsia="zh-CN"/>
                  </w:rPr>
                  <m:t>0</m:t>
                </m:r>
                <m:ctrlPr>
                  <w:rPr>
                    <w:rFonts w:ascii="Cambria Math" w:hAnsi="Cambria Math"/>
                    <w:i/>
                    <w:lang w:val="en-US"/>
                  </w:rPr>
                </m:ctrlPr>
              </m:sub>
            </m:sSub>
            <m:r>
              <m:rPr/>
              <w:rPr>
                <w:rFonts w:hint="default" w:ascii="Cambria Math" w:hAnsi="Cambria Math"/>
                <w:lang w:val="en-US" w:eastAsia="zh-CN"/>
              </w:rPr>
              <m:t>−</m:t>
            </m:r>
            <m:sSub>
              <m:sSubPr>
                <m:ctrlPr>
                  <m:rPr/>
                  <w:rPr>
                    <w:rFonts w:hint="default" w:ascii="Cambria Math" w:hAnsi="Cambria Math"/>
                    <w:i/>
                    <w:lang w:val="en-US" w:eastAsia="zh-CN"/>
                  </w:rPr>
                </m:ctrlPr>
              </m:sSubPr>
              <m:e>
                <m:r>
                  <m:rPr/>
                  <w:rPr>
                    <w:rFonts w:hint="default" w:ascii="Cambria Math" w:hAnsi="Cambria Math"/>
                    <w:lang w:val="en-US" w:eastAsia="zh-CN"/>
                  </w:rPr>
                  <m:t>TOC</m:t>
                </m:r>
                <m:ctrlPr>
                  <m:rPr/>
                  <w:rPr>
                    <w:rFonts w:hint="default" w:ascii="Cambria Math" w:hAnsi="Cambria Math"/>
                    <w:i/>
                    <w:lang w:val="en-US" w:eastAsia="zh-CN"/>
                  </w:rPr>
                </m:ctrlPr>
              </m:e>
              <m:sub>
                <m:r>
                  <m:rPr/>
                  <w:rPr>
                    <w:rFonts w:hint="default" w:ascii="Cambria Math" w:hAnsi="Cambria Math"/>
                    <w:lang w:val="en-US" w:eastAsia="zh-CN"/>
                  </w:rPr>
                  <m:t>t</m:t>
                </m:r>
                <m:ctrlPr>
                  <m:rPr/>
                  <w:rPr>
                    <w:rFonts w:hint="default" w:ascii="Cambria Math" w:hAnsi="Cambria Math"/>
                    <w:i/>
                    <w:lang w:val="en-US" w:eastAsia="zh-CN"/>
                  </w:rPr>
                </m:ctrlPr>
              </m:sub>
            </m:sSub>
            <m:ctrlPr>
              <w:rPr>
                <w:rFonts w:ascii="Cambria Math" w:hAnsi="Cambria Math"/>
                <w:i/>
                <w:lang w:val="en-US"/>
              </w:rPr>
            </m:ctrlPr>
          </m:num>
          <m:den>
            <m:sSub>
              <m:sSubPr>
                <m:ctrlPr>
                  <w:rPr>
                    <w:rFonts w:ascii="Cambria Math" w:hAnsi="Cambria Math"/>
                    <w:i/>
                    <w:lang w:val="en-US"/>
                  </w:rPr>
                </m:ctrlPr>
              </m:sSubPr>
              <m:e>
                <m:r>
                  <m:rPr/>
                  <w:rPr>
                    <w:rFonts w:hint="default" w:ascii="Cambria Math" w:hAnsi="Cambria Math"/>
                    <w:lang w:val="en-US" w:eastAsia="zh-CN"/>
                  </w:rPr>
                  <m:t>TOC</m:t>
                </m:r>
                <m:ctrlPr>
                  <w:rPr>
                    <w:rFonts w:ascii="Cambria Math" w:hAnsi="Cambria Math"/>
                    <w:i/>
                    <w:lang w:val="en-US"/>
                  </w:rPr>
                </m:ctrlPr>
              </m:e>
              <m:sub>
                <m:r>
                  <m:rPr/>
                  <w:rPr>
                    <w:rFonts w:hint="default" w:ascii="Cambria Math" w:hAnsi="Cambria Math"/>
                    <w:lang w:val="en-US" w:eastAsia="zh-CN"/>
                  </w:rPr>
                  <m:t>0</m:t>
                </m:r>
                <m:ctrlPr>
                  <w:rPr>
                    <w:rFonts w:ascii="Cambria Math" w:hAnsi="Cambria Math"/>
                    <w:i/>
                    <w:lang w:val="en-US"/>
                  </w:rPr>
                </m:ctrlPr>
              </m:sub>
            </m:sSub>
            <m:ctrlPr>
              <w:rPr>
                <w:rFonts w:ascii="Cambria Math" w:hAnsi="Cambria Math"/>
                <w:i/>
                <w:lang w:val="en-US"/>
              </w:rPr>
            </m:ctrlPr>
          </m:den>
        </m:f>
      </m:oMath>
    </w:p>
    <w:p w14:paraId="5043BEB1">
      <w:pPr>
        <w:bidi w:val="0"/>
      </w:pPr>
      <w:r>
        <w:rPr>
          <w:rFonts w:hint="eastAsia"/>
        </w:rPr>
        <w:t>where TOC</w:t>
      </w:r>
      <w:r>
        <w:rPr>
          <w:rFonts w:hint="eastAsia"/>
          <w:vertAlign w:val="subscript"/>
        </w:rPr>
        <w:t>0</w:t>
      </w:r>
      <w:r>
        <w:rPr>
          <w:rFonts w:hint="eastAsia"/>
          <w:vertAlign w:val="subscript"/>
          <w:lang w:val="en-US" w:eastAsia="zh-CN"/>
        </w:rPr>
        <w:t xml:space="preserve"> </w:t>
      </w:r>
      <w:r>
        <w:rPr>
          <w:rFonts w:hint="eastAsia"/>
        </w:rPr>
        <w:t>and TO</w:t>
      </w:r>
      <w:r>
        <w:rPr>
          <w:rFonts w:hint="eastAsia"/>
          <w:lang w:val="en-US" w:eastAsia="zh-CN"/>
        </w:rPr>
        <w:t>0</w:t>
      </w:r>
      <w:r>
        <w:rPr>
          <w:rFonts w:hint="eastAsia"/>
        </w:rPr>
        <w:t>Ct represent the TOC concentrations before and after treatment, respectively.</w:t>
      </w:r>
    </w:p>
    <w:p w14:paraId="1F137121">
      <w:pPr>
        <w:pStyle w:val="4"/>
        <w:bidi w:val="0"/>
        <w:rPr>
          <w:lang w:val="en-US" w:eastAsia="zh-CN"/>
        </w:rPr>
      </w:pPr>
      <w:r>
        <w:t>S2.5 UHPLC–MS analysis of transformation products</w:t>
      </w:r>
    </w:p>
    <w:p w14:paraId="161A546C">
      <w:pPr>
        <w:ind w:firstLine="480"/>
      </w:pPr>
      <w:r>
        <w:t>Transformation products of FLZ and TEB were analysed by UHPLC–MS to elucidate degradation pathways during Fe(VI) oxidation. Samples were collected at 5, 10, and 30 min, immediately quenched with hydroxylamine hydrochloride, filtered through a 0.22 μm organic membrane, and extracted three times with dichloromethane. The combined organic extracts were dehydrated with 2 g of anhydrous sodium sulfate and concentrated to 4 mL by rotary evaporation prior to UHPLC–MS analysis.</w:t>
      </w:r>
    </w:p>
    <w:p w14:paraId="0B25643E">
      <w:pPr>
        <w:ind w:firstLine="480"/>
      </w:pPr>
      <w:r>
        <w:t>UHPLC–MS analysis was performed on a Dionex Ultimate 3000 UHPLC system equipped with a Zorbax Eclipse Plus C18 column (100 mm × 2.1 mm, 1.8 μm). The column temperature, flow rate, and injection volume were 35 °C, 0.3 mL min</w:t>
      </w:r>
      <w:r>
        <w:rPr>
          <w:rFonts w:ascii="Cambria Math" w:hAnsi="Cambria Math" w:cs="Cambria Math"/>
        </w:rPr>
        <w:t>⁻</w:t>
      </w:r>
      <w:r>
        <w:rPr>
          <w:rFonts w:hint="eastAsia" w:ascii="宋体" w:hAnsi="宋体" w:cs="宋体"/>
        </w:rPr>
        <w:t>¹</w:t>
      </w:r>
      <w:r>
        <w:t xml:space="preserve">, and 10 </w:t>
      </w:r>
      <w:r>
        <w:rPr>
          <w:rFonts w:hint="eastAsia" w:ascii="宋体" w:hAnsi="宋体" w:cs="宋体"/>
        </w:rPr>
        <w:t>μ</w:t>
      </w:r>
      <w:r>
        <w:t>L, respectively. The mobile phases were 5 mM ammonium formate with 0.1% formic acid in water (A) and methanol (B). Gradient elution was used with run times of 25 min for FLZ and 30 min for TEB. Mass spectra were acquired in positive electrospray ionisation mode (ESI</w:t>
      </w:r>
      <w:r>
        <w:rPr>
          <w:rFonts w:ascii="Cambria Math" w:hAnsi="Cambria Math" w:cs="Cambria Math"/>
        </w:rPr>
        <w:t>⁺</w:t>
      </w:r>
      <w:r>
        <w:t>) over an m/z range of 10–500. Transformation products were tentatively identified based on mass-to-charge ratios and fragmentation information.</w:t>
      </w:r>
    </w:p>
    <w:p w14:paraId="79207D78">
      <w:pPr>
        <w:pStyle w:val="4"/>
        <w:bidi w:val="0"/>
      </w:pPr>
      <w:r>
        <w:t>Text S3. EPR and scavenger experiments</w:t>
      </w:r>
    </w:p>
    <w:p w14:paraId="34834A0F">
      <w:pPr>
        <w:pStyle w:val="4"/>
        <w:bidi w:val="0"/>
      </w:pPr>
      <w:r>
        <w:t xml:space="preserve">S3.1 EPR measurements </w:t>
      </w:r>
    </w:p>
    <w:p w14:paraId="61A0D565">
      <w:pPr>
        <w:bidi w:val="0"/>
      </w:pPr>
      <w:r>
        <w:t>Reactive oxygen species generated in the Fe(VI)–O</w:t>
      </w:r>
      <w:r>
        <w:rPr>
          <w:rFonts w:hint="eastAsia"/>
          <w:vertAlign w:val="subscript"/>
          <w:lang w:val="en-US" w:eastAsia="zh-CN"/>
        </w:rPr>
        <w:t>3</w:t>
      </w:r>
      <w:r>
        <w:t xml:space="preserve"> system were characterized using electron paramagnetic resonance (EPR) spectroscopy. DMPO was used as the spin-trapping agent for •OH and •O</w:t>
      </w:r>
      <w:r>
        <w:rPr>
          <w:rFonts w:hint="eastAsia"/>
          <w:vertAlign w:val="subscript"/>
          <w:lang w:val="en-US" w:eastAsia="zh-CN"/>
        </w:rPr>
        <w:t>2</w:t>
      </w:r>
      <w:r>
        <w:t>⁻, whereas TEMP was used as the spin-trapping probe for ¹O₂. Reaction samples were mixed with the corresponding spin-trapping reagent and immediately transferred into quartz capillaries for EPR measurement.</w:t>
      </w:r>
    </w:p>
    <w:p w14:paraId="13A8E2FD">
      <w:pPr>
        <w:bidi w:val="0"/>
      </w:pPr>
      <w:r>
        <w:t>EPR spectra were recorded under the following conditions: center field, 3510 G; sweep width, 100 G; microwave power, 19.72 mW; microwave attenuation, 15 dB; microwave frequency, 9.83 GHz; sweep time, 46.08 s; modulation amplitude, 1 G; modulation frequency, 100 kHz; and number of scans, 10.</w:t>
      </w:r>
    </w:p>
    <w:p w14:paraId="074253C6">
      <w:pPr>
        <w:pStyle w:val="4"/>
        <w:bidi w:val="0"/>
      </w:pPr>
      <w:r>
        <w:t>S3.2 Scavenger experiments</w:t>
      </w:r>
    </w:p>
    <w:p w14:paraId="623F3BB9">
      <w:pPr>
        <w:bidi w:val="0"/>
      </w:pPr>
      <w:r>
        <w:t>Radical-scavenging experiments were conducted to evaluate the apparent contributions of different reactive oxygen species to FLZ and TEB degradation. Tert-butanol (TBA), p-benzoquinone (p-BQ), and L-histidine (L-His) were used as scavengers for •OH, •O</w:t>
      </w:r>
      <w:r>
        <w:rPr>
          <w:rFonts w:hint="eastAsia"/>
          <w:vertAlign w:val="subscript"/>
          <w:lang w:val="en-US" w:eastAsia="zh-CN"/>
        </w:rPr>
        <w:t>2</w:t>
      </w:r>
      <w:r>
        <w:t xml:space="preserve">⁻, and </w:t>
      </w:r>
      <w:r>
        <w:rPr>
          <w:rFonts w:hint="eastAsia"/>
          <w:vertAlign w:val="superscript"/>
          <w:lang w:val="en-US" w:eastAsia="zh-CN"/>
        </w:rPr>
        <w:t>1</w:t>
      </w:r>
      <w:r>
        <w:t>O</w:t>
      </w:r>
      <w:r>
        <w:rPr>
          <w:rFonts w:hint="eastAsia"/>
          <w:vertAlign w:val="subscript"/>
          <w:lang w:val="en-US" w:eastAsia="zh-CN"/>
        </w:rPr>
        <w:t>2</w:t>
      </w:r>
      <w:r>
        <w:t>, respectively. The concentrations of TBA, p-BQ, and L-His were 1 g L⁻</w:t>
      </w:r>
      <w:r>
        <w:rPr>
          <w:rFonts w:hint="eastAsia"/>
          <w:vertAlign w:val="superscript"/>
          <w:lang w:val="en-US" w:eastAsia="zh-CN"/>
        </w:rPr>
        <w:t>1</w:t>
      </w:r>
      <w:r>
        <w:t>, 10 mg L⁻</w:t>
      </w:r>
      <w:r>
        <w:rPr>
          <w:rFonts w:hint="eastAsia"/>
          <w:vertAlign w:val="superscript"/>
          <w:lang w:val="en-US" w:eastAsia="zh-CN"/>
        </w:rPr>
        <w:t>1</w:t>
      </w:r>
      <w:r>
        <w:t>, and 10 mg L⁻</w:t>
      </w:r>
      <w:r>
        <w:rPr>
          <w:rFonts w:hint="eastAsia"/>
          <w:vertAlign w:val="superscript"/>
          <w:lang w:val="en-US" w:eastAsia="zh-CN"/>
        </w:rPr>
        <w:t>1</w:t>
      </w:r>
      <w:r>
        <w:t>, respectively. All other experimental conditions were identical to those used in the staged Fe(VI)–O</w:t>
      </w:r>
      <w:r>
        <w:rPr>
          <w:rFonts w:hint="eastAsia"/>
          <w:vertAlign w:val="subscript"/>
          <w:lang w:val="en-US" w:eastAsia="zh-CN"/>
        </w:rPr>
        <w:t>3</w:t>
      </w:r>
      <w:r>
        <w:t xml:space="preserve"> degradation experiments.</w:t>
      </w:r>
    </w:p>
    <w:p w14:paraId="6F5A1825">
      <w:pPr>
        <w:bidi w:val="0"/>
      </w:pPr>
      <w:r>
        <w:t>Because radical scavengers are not completely species-selective and may additionally interfere with Fe(VI) transformation and ozone decomposition, the calculated values were interpreted as semi-quantitative apparent contributions rather than absolute reaction fractions.</w:t>
      </w:r>
    </w:p>
    <w:p w14:paraId="726EA923">
      <w:pPr>
        <w:pStyle w:val="4"/>
        <w:bidi w:val="0"/>
      </w:pPr>
      <w:r>
        <w:t>Text S4. DFT calculations and Fukui function analysis</w:t>
      </w:r>
    </w:p>
    <w:p w14:paraId="381D39F1">
      <w:pPr>
        <w:bidi w:val="0"/>
      </w:pPr>
      <w:r>
        <w:t>Density functional theory (DFT) calculations were performed to investigate the electronic structures and potential reactive sites of FLZ and TEB. Initial molecular geometries were constructed using GaussView and fully optimized using Gaussian 16 at the B3LYP/6-31G(d,p) level of theory. Vibrational frequency calculations were subsequently performed at the same theoretical level to confirm that the optimized structures corresponded to true minima on the potential-energy surface, as evidenced by the absence of imaginary frequencies.</w:t>
      </w:r>
    </w:p>
    <w:p w14:paraId="5E307898">
      <w:pPr>
        <w:bidi w:val="0"/>
      </w:pPr>
      <w:r>
        <w:t>Molecular electrostatic potential (MEP), highest occupied molecular orbital (HOMO), and lowest unoccupied molecular orbital (LUMO) distributions were analyzed to characterize the electronic properties of FLZ and TEB. Condensed Fukui functions were further calculated to identify atomic sites susceptible to nucleophilic, electrophilic, and radical attack.</w:t>
      </w:r>
    </w:p>
    <w:p w14:paraId="1D0E8FDE">
      <w:pPr>
        <w:bidi w:val="0"/>
      </w:pPr>
      <w:r>
        <w:t>Using atomic electron populations P</w:t>
      </w:r>
      <w:r>
        <w:rPr>
          <w:vertAlign w:val="subscript"/>
        </w:rPr>
        <w:t>k</w:t>
      </w:r>
      <w:r>
        <w:t>​, the condensed Fukui functions were defined as:</w:t>
      </w:r>
    </w:p>
    <w:p w14:paraId="2B580C9D">
      <w:pPr>
        <w:bidi w:val="0"/>
        <m:rPr/>
        <w:rPr>
          <w:rFonts w:hint="default" w:hAnsi="Cambria Math"/>
          <w:i w:val="0"/>
          <w:lang w:val="en-US" w:eastAsia="zh-CN"/>
        </w:rPr>
      </w:pPr>
      <m:oMathPara>
        <m:oMath>
          <m:sSubSup>
            <m:sSubSupPr>
              <m:ctrlPr>
                <w:rPr>
                  <w:rFonts w:ascii="Cambria Math" w:hAnsi="Cambria Math"/>
                  <w:i/>
                </w:rPr>
              </m:ctrlPr>
            </m:sSubSupPr>
            <m:e>
              <m:r>
                <m:rPr/>
                <w:rPr>
                  <w:rFonts w:hint="default" w:ascii="Cambria Math" w:hAnsi="Cambria Math"/>
                  <w:lang w:val="en-US" w:eastAsia="zh-CN"/>
                </w:rPr>
                <m:t>f</m:t>
              </m:r>
              <m:ctrlPr>
                <w:rPr>
                  <w:rFonts w:ascii="Cambria Math" w:hAnsi="Cambria Math"/>
                  <w:i/>
                </w:rPr>
              </m:ctrlPr>
            </m:e>
            <m:sub>
              <m:r>
                <m:rPr/>
                <w:rPr>
                  <w:rFonts w:hint="default" w:ascii="Cambria Math" w:hAnsi="Cambria Math"/>
                  <w:lang w:val="en-US" w:eastAsia="zh-CN"/>
                </w:rPr>
                <m:t>k</m:t>
              </m:r>
              <m:ctrlPr>
                <w:rPr>
                  <w:rFonts w:ascii="Cambria Math" w:hAnsi="Cambria Math"/>
                  <w:i/>
                </w:rPr>
              </m:ctrlPr>
            </m:sub>
            <m:sup>
              <m:r>
                <m:rPr/>
                <w:rPr>
                  <w:rFonts w:hint="default" w:ascii="Cambria Math" w:hAnsi="Cambria Math"/>
                  <w:lang w:val="en-US" w:eastAsia="zh-CN"/>
                </w:rPr>
                <m:t>+</m:t>
              </m:r>
              <m:ctrlPr>
                <w:rPr>
                  <w:rFonts w:ascii="Cambria Math" w:hAnsi="Cambria Math"/>
                  <w:i/>
                </w:rPr>
              </m:ctrlPr>
            </m:sup>
          </m:sSubSup>
          <m:r>
            <m:rPr/>
            <w:rPr>
              <w:rFonts w:hint="default" w:ascii="Cambria Math" w:hAnsi="Cambria Math"/>
              <w:lang w:val="en-US" w:eastAsia="zh-CN"/>
            </w:rPr>
            <m:t>=</m:t>
          </m:r>
          <m:sSub>
            <m:sSubPr>
              <m:ctrlPr>
                <m:rPr/>
                <w:rPr>
                  <w:rFonts w:hint="default" w:ascii="Cambria Math" w:hAnsi="Cambria Math"/>
                  <w:i/>
                  <w:lang w:val="en-US" w:eastAsia="zh-CN"/>
                </w:rPr>
              </m:ctrlPr>
            </m:sSubPr>
            <m:e>
              <m:r>
                <m:rPr/>
                <w:rPr>
                  <w:rFonts w:hint="default" w:ascii="Cambria Math" w:hAnsi="Cambria Math"/>
                  <w:lang w:val="en-US" w:eastAsia="zh-CN"/>
                </w:rPr>
                <m:t>P</m:t>
              </m:r>
              <m:ctrlPr>
                <m:rPr/>
                <w:rPr>
                  <w:rFonts w:hint="default" w:ascii="Cambria Math" w:hAnsi="Cambria Math"/>
                  <w:i/>
                  <w:lang w:val="en-US" w:eastAsia="zh-CN"/>
                </w:rPr>
              </m:ctrlPr>
            </m:e>
            <m:sub>
              <m:r>
                <m:rPr/>
                <w:rPr>
                  <w:rFonts w:hint="default" w:ascii="Cambria Math" w:hAnsi="Cambria Math"/>
                  <w:lang w:val="en-US" w:eastAsia="zh-CN"/>
                </w:rPr>
                <m:t>k</m:t>
              </m:r>
              <m:ctrlPr>
                <m:rPr/>
                <w:rPr>
                  <w:rFonts w:hint="default" w:ascii="Cambria Math" w:hAnsi="Cambria Math"/>
                  <w:i/>
                  <w:lang w:val="en-US" w:eastAsia="zh-CN"/>
                </w:rPr>
              </m:ctrlPr>
            </m:sub>
          </m:sSub>
          <m:r>
            <m:rPr/>
            <w:rPr>
              <w:rFonts w:hint="default" w:ascii="Cambria Math" w:hAnsi="Cambria Math"/>
              <w:lang w:val="en-US" w:eastAsia="zh-CN"/>
            </w:rPr>
            <m:t>(N+1)−</m:t>
          </m:r>
          <m:sSub>
            <m:sSubPr>
              <m:ctrlPr>
                <w:rPr>
                  <w:rFonts w:hint="default" w:ascii="Cambria Math" w:hAnsi="Cambria Math"/>
                  <w:i/>
                  <w:lang w:val="en-US" w:eastAsia="zh-CN"/>
                </w:rPr>
              </m:ctrlPr>
            </m:sSubPr>
            <m:e>
              <m:r>
                <m:rPr/>
                <w:rPr>
                  <w:rFonts w:hint="default" w:ascii="Cambria Math" w:hAnsi="Cambria Math"/>
                  <w:lang w:val="en-US" w:eastAsia="zh-CN"/>
                </w:rPr>
                <m:t>P</m:t>
              </m:r>
              <m:ctrlPr>
                <w:rPr>
                  <w:rFonts w:hint="default" w:ascii="Cambria Math" w:hAnsi="Cambria Math"/>
                  <w:i/>
                  <w:lang w:val="en-US" w:eastAsia="zh-CN"/>
                </w:rPr>
              </m:ctrlPr>
            </m:e>
            <m:sub>
              <m:r>
                <m:rPr/>
                <w:rPr>
                  <w:rFonts w:hint="default" w:ascii="Cambria Math" w:hAnsi="Cambria Math"/>
                  <w:lang w:val="en-US" w:eastAsia="zh-CN"/>
                </w:rPr>
                <m:t>k</m:t>
              </m:r>
              <m:ctrlPr>
                <w:rPr>
                  <w:rFonts w:hint="default" w:ascii="Cambria Math" w:hAnsi="Cambria Math"/>
                  <w:i/>
                  <w:lang w:val="en-US" w:eastAsia="zh-CN"/>
                </w:rPr>
              </m:ctrlPr>
            </m:sub>
          </m:sSub>
          <m:r>
            <m:rPr/>
            <w:rPr>
              <w:rFonts w:hint="default" w:ascii="Cambria Math" w:hAnsi="Cambria Math"/>
              <w:lang w:val="en-US" w:eastAsia="zh-CN"/>
            </w:rPr>
            <m:t>(N)</m:t>
          </m:r>
        </m:oMath>
      </m:oMathPara>
    </w:p>
    <w:p w14:paraId="4E4FE513">
      <w:pPr>
        <w:bidi w:val="0"/>
        <w:jc w:val="left"/>
        <m:rPr/>
        <w:rPr>
          <w:rFonts w:hint="default" w:hAnsi="Cambria Math"/>
          <w:i w:val="0"/>
          <w:lang w:val="en-US" w:eastAsia="zh-CN"/>
        </w:rPr>
      </w:pPr>
      <m:oMathPara>
        <m:oMath>
          <m:sSubSup>
            <m:sSubSupPr>
              <m:ctrlPr>
                <w:rPr>
                  <w:rFonts w:ascii="Cambria Math" w:hAnsi="Cambria Math"/>
                  <w:i/>
                </w:rPr>
              </m:ctrlPr>
            </m:sSubSupPr>
            <m:e>
              <m:r>
                <m:rPr/>
                <w:rPr>
                  <w:rFonts w:hint="default" w:ascii="Cambria Math" w:hAnsi="Cambria Math"/>
                  <w:lang w:val="en-US" w:eastAsia="zh-CN"/>
                </w:rPr>
                <m:t>f</m:t>
              </m:r>
              <m:ctrlPr>
                <w:rPr>
                  <w:rFonts w:ascii="Cambria Math" w:hAnsi="Cambria Math"/>
                  <w:i/>
                </w:rPr>
              </m:ctrlPr>
            </m:e>
            <m:sub>
              <m:r>
                <m:rPr/>
                <w:rPr>
                  <w:rFonts w:hint="default" w:ascii="Cambria Math" w:hAnsi="Cambria Math"/>
                  <w:lang w:val="en-US" w:eastAsia="zh-CN"/>
                </w:rPr>
                <m:t>k</m:t>
              </m:r>
              <m:ctrlPr>
                <w:rPr>
                  <w:rFonts w:ascii="Cambria Math" w:hAnsi="Cambria Math"/>
                  <w:i/>
                </w:rPr>
              </m:ctrlPr>
            </m:sub>
            <m:sup>
              <m:r>
                <m:rPr/>
                <w:rPr>
                  <w:rFonts w:hint="default" w:ascii="Cambria Math" w:hAnsi="Cambria Math"/>
                  <w:lang w:val="en-US" w:eastAsia="zh-CN"/>
                </w:rPr>
                <m:t>−</m:t>
              </m:r>
              <m:ctrlPr>
                <w:rPr>
                  <w:rFonts w:ascii="Cambria Math" w:hAnsi="Cambria Math"/>
                  <w:i/>
                </w:rPr>
              </m:ctrlPr>
            </m:sup>
          </m:sSubSup>
          <m:r>
            <m:rPr/>
            <w:rPr>
              <w:rFonts w:hint="default" w:ascii="Cambria Math" w:hAnsi="Cambria Math"/>
              <w:lang w:val="en-US" w:eastAsia="zh-CN"/>
            </w:rPr>
            <m:t>=</m:t>
          </m:r>
          <m:sSub>
            <m:sSubPr>
              <m:ctrlPr>
                <w:rPr>
                  <w:rFonts w:hint="default" w:ascii="Cambria Math" w:hAnsi="Cambria Math"/>
                  <w:i/>
                  <w:lang w:val="en-US" w:eastAsia="zh-CN"/>
                </w:rPr>
              </m:ctrlPr>
            </m:sSubPr>
            <m:e>
              <m:r>
                <m:rPr/>
                <w:rPr>
                  <w:rFonts w:hint="default" w:ascii="Cambria Math" w:hAnsi="Cambria Math"/>
                  <w:lang w:val="en-US" w:eastAsia="zh-CN"/>
                </w:rPr>
                <m:t>P</m:t>
              </m:r>
              <m:ctrlPr>
                <w:rPr>
                  <w:rFonts w:hint="default" w:ascii="Cambria Math" w:hAnsi="Cambria Math"/>
                  <w:i/>
                  <w:lang w:val="en-US" w:eastAsia="zh-CN"/>
                </w:rPr>
              </m:ctrlPr>
            </m:e>
            <m:sub>
              <m:r>
                <m:rPr/>
                <w:rPr>
                  <w:rFonts w:hint="default" w:ascii="Cambria Math" w:hAnsi="Cambria Math"/>
                  <w:lang w:val="en-US" w:eastAsia="zh-CN"/>
                </w:rPr>
                <m:t>k</m:t>
              </m:r>
              <m:ctrlPr>
                <w:rPr>
                  <w:rFonts w:hint="default" w:ascii="Cambria Math" w:hAnsi="Cambria Math"/>
                  <w:i/>
                  <w:lang w:val="en-US" w:eastAsia="zh-CN"/>
                </w:rPr>
              </m:ctrlPr>
            </m:sub>
          </m:sSub>
          <m:r>
            <m:rPr/>
            <w:rPr>
              <w:rFonts w:hint="default" w:ascii="Cambria Math" w:hAnsi="Cambria Math"/>
              <w:lang w:val="en-US" w:eastAsia="zh-CN"/>
            </w:rPr>
            <m:t>(N)−</m:t>
          </m:r>
          <m:sSub>
            <m:sSubPr>
              <m:ctrlPr>
                <w:rPr>
                  <w:rFonts w:hint="default" w:ascii="Cambria Math" w:hAnsi="Cambria Math"/>
                  <w:i/>
                  <w:lang w:val="en-US" w:eastAsia="zh-CN"/>
                </w:rPr>
              </m:ctrlPr>
            </m:sSubPr>
            <m:e>
              <m:r>
                <m:rPr/>
                <w:rPr>
                  <w:rFonts w:hint="default" w:ascii="Cambria Math" w:hAnsi="Cambria Math"/>
                  <w:lang w:val="en-US" w:eastAsia="zh-CN"/>
                </w:rPr>
                <m:t>P</m:t>
              </m:r>
              <m:ctrlPr>
                <w:rPr>
                  <w:rFonts w:hint="default" w:ascii="Cambria Math" w:hAnsi="Cambria Math"/>
                  <w:i/>
                  <w:lang w:val="en-US" w:eastAsia="zh-CN"/>
                </w:rPr>
              </m:ctrlPr>
            </m:e>
            <m:sub>
              <m:r>
                <m:rPr/>
                <w:rPr>
                  <w:rFonts w:hint="default" w:ascii="Cambria Math" w:hAnsi="Cambria Math"/>
                  <w:lang w:val="en-US" w:eastAsia="zh-CN"/>
                </w:rPr>
                <m:t>k</m:t>
              </m:r>
              <m:ctrlPr>
                <w:rPr>
                  <w:rFonts w:hint="default" w:ascii="Cambria Math" w:hAnsi="Cambria Math"/>
                  <w:i/>
                  <w:lang w:val="en-US" w:eastAsia="zh-CN"/>
                </w:rPr>
              </m:ctrlPr>
            </m:sub>
          </m:sSub>
          <m:r>
            <m:rPr/>
            <w:rPr>
              <w:rFonts w:hint="default" w:ascii="Cambria Math" w:hAnsi="Cambria Math"/>
              <w:lang w:val="en-US" w:eastAsia="zh-CN"/>
            </w:rPr>
            <m:t>(N−1)</m:t>
          </m:r>
        </m:oMath>
      </m:oMathPara>
    </w:p>
    <w:p w14:paraId="387CE4AE">
      <w:pPr>
        <w:bidi w:val="0"/>
        <w:jc w:val="left"/>
        <m:rPr/>
        <w:rPr>
          <w:rFonts w:hint="default" w:hAnsi="Cambria Math"/>
          <w:i w:val="0"/>
          <w:lang w:val="en-US" w:eastAsia="zh-CN"/>
        </w:rPr>
      </w:pPr>
      <m:oMathPara>
        <m:oMath>
          <m:sSubSup>
            <m:sSubSupPr>
              <m:ctrlPr>
                <w:rPr>
                  <w:rFonts w:ascii="Cambria Math" w:hAnsi="Cambria Math"/>
                  <w:i/>
                </w:rPr>
              </m:ctrlPr>
            </m:sSubSupPr>
            <m:e>
              <m:r>
                <m:rPr/>
                <w:rPr>
                  <w:rFonts w:hint="default" w:ascii="Cambria Math" w:hAnsi="Cambria Math"/>
                  <w:lang w:val="en-US" w:eastAsia="zh-CN"/>
                </w:rPr>
                <m:t>f</m:t>
              </m:r>
              <m:ctrlPr>
                <w:rPr>
                  <w:rFonts w:ascii="Cambria Math" w:hAnsi="Cambria Math"/>
                  <w:i/>
                </w:rPr>
              </m:ctrlPr>
            </m:e>
            <m:sub>
              <m:r>
                <m:rPr/>
                <w:rPr>
                  <w:rFonts w:hint="default" w:ascii="Cambria Math" w:hAnsi="Cambria Math"/>
                  <w:lang w:val="en-US" w:eastAsia="zh-CN"/>
                </w:rPr>
                <m:t>k</m:t>
              </m:r>
              <m:ctrlPr>
                <w:rPr>
                  <w:rFonts w:ascii="Cambria Math" w:hAnsi="Cambria Math"/>
                  <w:i/>
                </w:rPr>
              </m:ctrlPr>
            </m:sub>
            <m:sup>
              <m:r>
                <m:rPr/>
                <w:rPr>
                  <w:rFonts w:hint="default" w:ascii="Cambria Math" w:hAnsi="Cambria Math"/>
                  <w:lang w:val="en-US" w:eastAsia="zh-CN"/>
                </w:rPr>
                <m:t>0</m:t>
              </m:r>
              <m:ctrlPr>
                <w:rPr>
                  <w:rFonts w:ascii="Cambria Math" w:hAnsi="Cambria Math"/>
                  <w:i/>
                </w:rPr>
              </m:ctrlPr>
            </m:sup>
          </m:sSubSup>
          <m:r>
            <m:rPr/>
            <w:rPr>
              <w:rFonts w:hint="default" w:ascii="Cambria Math" w:hAnsi="Cambria Math"/>
              <w:lang w:val="en-US" w:eastAsia="zh-CN"/>
            </w:rPr>
            <m:t>=</m:t>
          </m:r>
          <m:f>
            <m:fPr>
              <m:ctrlPr>
                <m:rPr/>
                <w:rPr>
                  <w:rFonts w:hint="default" w:ascii="Cambria Math" w:hAnsi="Cambria Math"/>
                  <w:i/>
                  <w:lang w:val="en-US" w:eastAsia="zh-CN"/>
                </w:rPr>
              </m:ctrlPr>
            </m:fPr>
            <m:num>
              <m:sSub>
                <m:sSubPr>
                  <m:ctrlPr>
                    <w:rPr>
                      <w:rFonts w:hint="default" w:ascii="Cambria Math" w:hAnsi="Cambria Math"/>
                      <w:i/>
                      <w:lang w:val="en-US" w:eastAsia="zh-CN"/>
                    </w:rPr>
                  </m:ctrlPr>
                </m:sSubPr>
                <m:e>
                  <m:r>
                    <m:rPr/>
                    <w:rPr>
                      <w:rFonts w:hint="default" w:ascii="Cambria Math" w:hAnsi="Cambria Math"/>
                      <w:lang w:val="en-US" w:eastAsia="zh-CN"/>
                    </w:rPr>
                    <m:t>P</m:t>
                  </m:r>
                  <m:ctrlPr>
                    <w:rPr>
                      <w:rFonts w:hint="default" w:ascii="Cambria Math" w:hAnsi="Cambria Math"/>
                      <w:i/>
                      <w:lang w:val="en-US" w:eastAsia="zh-CN"/>
                    </w:rPr>
                  </m:ctrlPr>
                </m:e>
                <m:sub>
                  <m:r>
                    <m:rPr/>
                    <w:rPr>
                      <w:rFonts w:hint="default" w:ascii="Cambria Math" w:hAnsi="Cambria Math"/>
                      <w:lang w:val="en-US" w:eastAsia="zh-CN"/>
                    </w:rPr>
                    <m:t>k</m:t>
                  </m:r>
                  <m:ctrlPr>
                    <w:rPr>
                      <w:rFonts w:hint="default" w:ascii="Cambria Math" w:hAnsi="Cambria Math"/>
                      <w:i/>
                      <w:lang w:val="en-US" w:eastAsia="zh-CN"/>
                    </w:rPr>
                  </m:ctrlPr>
                </m:sub>
              </m:sSub>
              <m:r>
                <m:rPr/>
                <w:rPr>
                  <w:rFonts w:hint="default" w:ascii="Cambria Math" w:hAnsi="Cambria Math"/>
                  <w:lang w:val="en-US" w:eastAsia="zh-CN"/>
                </w:rPr>
                <m:t>(N+1)−</m:t>
              </m:r>
              <m:sSub>
                <m:sSubPr>
                  <m:ctrlPr>
                    <w:rPr>
                      <w:rFonts w:hint="default" w:ascii="Cambria Math" w:hAnsi="Cambria Math"/>
                      <w:i/>
                      <w:lang w:val="en-US" w:eastAsia="zh-CN"/>
                    </w:rPr>
                  </m:ctrlPr>
                </m:sSubPr>
                <m:e>
                  <m:r>
                    <m:rPr/>
                    <w:rPr>
                      <w:rFonts w:hint="default" w:ascii="Cambria Math" w:hAnsi="Cambria Math"/>
                      <w:lang w:val="en-US" w:eastAsia="zh-CN"/>
                    </w:rPr>
                    <m:t>P</m:t>
                  </m:r>
                  <m:ctrlPr>
                    <w:rPr>
                      <w:rFonts w:hint="default" w:ascii="Cambria Math" w:hAnsi="Cambria Math"/>
                      <w:i/>
                      <w:lang w:val="en-US" w:eastAsia="zh-CN"/>
                    </w:rPr>
                  </m:ctrlPr>
                </m:e>
                <m:sub>
                  <m:r>
                    <m:rPr/>
                    <w:rPr>
                      <w:rFonts w:hint="default" w:ascii="Cambria Math" w:hAnsi="Cambria Math"/>
                      <w:lang w:val="en-US" w:eastAsia="zh-CN"/>
                    </w:rPr>
                    <m:t>k</m:t>
                  </m:r>
                  <m:ctrlPr>
                    <w:rPr>
                      <w:rFonts w:hint="default" w:ascii="Cambria Math" w:hAnsi="Cambria Math"/>
                      <w:i/>
                      <w:lang w:val="en-US" w:eastAsia="zh-CN"/>
                    </w:rPr>
                  </m:ctrlPr>
                </m:sub>
              </m:sSub>
              <m:r>
                <m:rPr/>
                <w:rPr>
                  <w:rFonts w:hint="default" w:ascii="Cambria Math" w:hAnsi="Cambria Math"/>
                  <w:lang w:val="en-US" w:eastAsia="zh-CN"/>
                </w:rPr>
                <m:t>(N−1)</m:t>
              </m:r>
              <m:ctrlPr>
                <m:rPr/>
                <w:rPr>
                  <w:rFonts w:hint="default" w:ascii="Cambria Math" w:hAnsi="Cambria Math"/>
                  <w:i/>
                  <w:lang w:val="en-US" w:eastAsia="zh-CN"/>
                </w:rPr>
              </m:ctrlPr>
            </m:num>
            <m:den>
              <m:r>
                <m:rPr/>
                <w:rPr>
                  <w:rFonts w:hint="default" w:ascii="Cambria Math" w:hAnsi="Cambria Math"/>
                  <w:lang w:val="en-US" w:eastAsia="zh-CN"/>
                </w:rPr>
                <m:t>2</m:t>
              </m:r>
              <m:ctrlPr>
                <m:rPr/>
                <w:rPr>
                  <w:rFonts w:hint="default" w:ascii="Cambria Math" w:hAnsi="Cambria Math"/>
                  <w:i/>
                  <w:lang w:val="en-US" w:eastAsia="zh-CN"/>
                </w:rPr>
              </m:ctrlPr>
            </m:den>
          </m:f>
        </m:oMath>
      </m:oMathPara>
    </w:p>
    <w:p w14:paraId="42B3EE81">
      <w:pPr>
        <w:bidi w:val="0"/>
      </w:pPr>
      <w:r>
        <w:t>where N, N+1, and N−1 represent the neutral, anionic, and cationic states, respectively.</w:t>
      </w:r>
    </w:p>
    <w:p w14:paraId="1620E32F">
      <w:pPr>
        <w:bidi w:val="0"/>
      </w:pPr>
      <w:r>
        <w:t>The condensed dual descriptor (CDD) was calculated as:</w:t>
      </w:r>
    </w:p>
    <w:p w14:paraId="12BAE39F">
      <w:pPr>
        <w:bidi w:val="0"/>
        <w:rPr>
          <w:rFonts w:hint="eastAsia" w:eastAsia="宋体"/>
          <w:lang w:val="en-US" w:eastAsia="zh-CN"/>
        </w:rPr>
      </w:pPr>
      <m:oMathPara>
        <m:oMath>
          <m:sSub>
            <m:sSubPr>
              <m:ctrlPr>
                <w:rPr>
                  <w:rFonts w:ascii="Cambria Math" w:hAnsi="Cambria Math"/>
                  <w:i/>
                </w:rPr>
              </m:ctrlPr>
            </m:sSubPr>
            <m:e>
              <m:r>
                <m:rPr/>
                <w:rPr>
                  <w:rFonts w:hint="default" w:ascii="Cambria Math" w:hAnsi="Cambria Math"/>
                  <w:lang w:val="en-US" w:eastAsia="zh-CN"/>
                </w:rPr>
                <m:t>CDD</m:t>
              </m:r>
              <m:ctrlPr>
                <w:rPr>
                  <w:rFonts w:ascii="Cambria Math" w:hAnsi="Cambria Math"/>
                  <w:i/>
                </w:rPr>
              </m:ctrlPr>
            </m:e>
            <m:sub>
              <m:r>
                <m:rPr/>
                <w:rPr>
                  <w:rFonts w:hint="default" w:ascii="Cambria Math" w:hAnsi="Cambria Math"/>
                  <w:lang w:val="en-US" w:eastAsia="zh-CN"/>
                </w:rPr>
                <m:t>k</m:t>
              </m:r>
              <m:ctrlPr>
                <w:rPr>
                  <w:rFonts w:ascii="Cambria Math" w:hAnsi="Cambria Math"/>
                  <w:i/>
                </w:rPr>
              </m:ctrlPr>
            </m:sub>
          </m:sSub>
          <m:r>
            <m:rPr/>
            <w:rPr>
              <w:rFonts w:hint="default" w:ascii="Cambria Math" w:hAnsi="Cambria Math"/>
              <w:lang w:val="en-US" w:eastAsia="zh-CN"/>
            </w:rPr>
            <m:t>=</m:t>
          </m:r>
          <m:sSubSup>
            <m:sSubSupPr>
              <m:ctrlPr>
                <w:rPr>
                  <w:rFonts w:ascii="Cambria Math" w:hAnsi="Cambria Math"/>
                  <w:i/>
                </w:rPr>
              </m:ctrlPr>
            </m:sSubSupPr>
            <m:e>
              <m:r>
                <m:rPr/>
                <w:rPr>
                  <w:rFonts w:hint="default" w:ascii="Cambria Math" w:hAnsi="Cambria Math"/>
                  <w:lang w:val="en-US" w:eastAsia="zh-CN"/>
                </w:rPr>
                <m:t>f</m:t>
              </m:r>
              <m:ctrlPr>
                <w:rPr>
                  <w:rFonts w:ascii="Cambria Math" w:hAnsi="Cambria Math"/>
                  <w:i/>
                </w:rPr>
              </m:ctrlPr>
            </m:e>
            <m:sub>
              <m:r>
                <m:rPr/>
                <w:rPr>
                  <w:rFonts w:hint="default" w:ascii="Cambria Math" w:hAnsi="Cambria Math"/>
                  <w:lang w:val="en-US" w:eastAsia="zh-CN"/>
                </w:rPr>
                <m:t>k</m:t>
              </m:r>
              <m:ctrlPr>
                <w:rPr>
                  <w:rFonts w:ascii="Cambria Math" w:hAnsi="Cambria Math"/>
                  <w:i/>
                </w:rPr>
              </m:ctrlPr>
            </m:sub>
            <m:sup>
              <m:r>
                <m:rPr/>
                <w:rPr>
                  <w:rFonts w:hint="default" w:ascii="Cambria Math" w:hAnsi="Cambria Math"/>
                  <w:lang w:val="en-US" w:eastAsia="zh-CN"/>
                </w:rPr>
                <m:t>+</m:t>
              </m:r>
              <m:ctrlPr>
                <w:rPr>
                  <w:rFonts w:ascii="Cambria Math" w:hAnsi="Cambria Math"/>
                  <w:i/>
                </w:rPr>
              </m:ctrlPr>
            </m:sup>
          </m:sSubSup>
          <m:r>
            <m:rPr/>
            <w:rPr>
              <w:rFonts w:hint="default" w:ascii="Cambria Math" w:hAnsi="Cambria Math"/>
              <w:lang w:val="en-US" w:eastAsia="zh-CN"/>
            </w:rPr>
            <m:t>−</m:t>
          </m:r>
          <m:sSubSup>
            <m:sSubSupPr>
              <m:ctrlPr>
                <w:rPr>
                  <w:rFonts w:ascii="Cambria Math" w:hAnsi="Cambria Math"/>
                  <w:i/>
                </w:rPr>
              </m:ctrlPr>
            </m:sSubSupPr>
            <m:e>
              <m:r>
                <m:rPr/>
                <w:rPr>
                  <w:rFonts w:hint="default" w:ascii="Cambria Math" w:hAnsi="Cambria Math"/>
                  <w:lang w:val="en-US" w:eastAsia="zh-CN"/>
                </w:rPr>
                <m:t>f</m:t>
              </m:r>
              <m:ctrlPr>
                <w:rPr>
                  <w:rFonts w:ascii="Cambria Math" w:hAnsi="Cambria Math"/>
                  <w:i/>
                </w:rPr>
              </m:ctrlPr>
            </m:e>
            <m:sub>
              <m:r>
                <m:rPr/>
                <w:rPr>
                  <w:rFonts w:hint="default" w:ascii="Cambria Math" w:hAnsi="Cambria Math"/>
                  <w:lang w:val="en-US" w:eastAsia="zh-CN"/>
                </w:rPr>
                <m:t>k</m:t>
              </m:r>
              <m:ctrlPr>
                <w:rPr>
                  <w:rFonts w:ascii="Cambria Math" w:hAnsi="Cambria Math"/>
                  <w:i/>
                </w:rPr>
              </m:ctrlPr>
            </m:sub>
            <m:sup>
              <m:r>
                <m:rPr/>
                <w:rPr>
                  <w:rFonts w:hint="default" w:ascii="Cambria Math" w:hAnsi="Cambria Math"/>
                  <w:lang w:val="en-US" w:eastAsia="zh-CN"/>
                </w:rPr>
                <m:t>−</m:t>
              </m:r>
              <m:ctrlPr>
                <w:rPr>
                  <w:rFonts w:ascii="Cambria Math" w:hAnsi="Cambria Math"/>
                  <w:i/>
                </w:rPr>
              </m:ctrlPr>
            </m:sup>
          </m:sSubSup>
        </m:oMath>
      </m:oMathPara>
    </w:p>
    <w:p w14:paraId="0E533395">
      <w:pPr>
        <w:bidi w:val="0"/>
        <w:ind w:left="0" w:leftChars="0" w:firstLine="0" w:firstLineChars="0"/>
      </w:pPr>
    </w:p>
    <w:p w14:paraId="7DD0FF6B">
      <w:pPr>
        <w:bidi w:val="0"/>
      </w:pPr>
      <w:r>
        <w:t>Positive and negative CDD values indicate different local tendencies toward nucleophilic and electrophilic attack, respectively. These electronic descriptors were jointly interpreted with the experimentally detected transformation products to propose preferential degradation pathways.</w:t>
      </w:r>
    </w:p>
    <w:p w14:paraId="2B6B5C1A">
      <w:pPr>
        <w:pStyle w:val="4"/>
        <w:bidi w:val="0"/>
      </w:pPr>
      <w:r>
        <w:t>Text S5. Ecotoxicity assessment</w:t>
      </w:r>
    </w:p>
    <w:p w14:paraId="67B94F85">
      <w:pPr>
        <w:pStyle w:val="4"/>
        <w:bidi w:val="0"/>
      </w:pPr>
      <w:r>
        <w:t>S5.1 ECOSAR analysis</w:t>
      </w:r>
    </w:p>
    <w:p w14:paraId="41A736A7">
      <w:pPr>
        <w:bidi w:val="0"/>
      </w:pPr>
      <w:r>
        <w:t>Potential aquatic toxicity of FLZ, TEB, and their proposed transformation products was estimated using ECOSAR v2.0. Acute and chronic toxicity endpoints were predicted for fish, Daphnia, and green algae. The assessed endpoints included LC50, EC50, and chronic values (ChV), depending on the organism and corresponding ECOSAR output.</w:t>
      </w:r>
    </w:p>
    <w:p w14:paraId="4EC2FD13">
      <w:pPr>
        <w:bidi w:val="0"/>
      </w:pPr>
      <w:r>
        <w:t>ECOSAR predictions were used as screening-level indicators of potential ecological risk rather than as direct measures of effluent toxicity. Because structure-based predictions do not explicitly account for mixture effects among parent contaminants and transformation products, the predicted results were interpreted together with experimental bioassays.</w:t>
      </w:r>
    </w:p>
    <w:p w14:paraId="5AB1A753">
      <w:pPr>
        <w:pStyle w:val="4"/>
        <w:bidi w:val="0"/>
      </w:pPr>
      <w:r>
        <w:t>S5.2 E. coli toxicity assay</w:t>
      </w:r>
    </w:p>
    <w:p w14:paraId="12A89347">
      <w:pPr>
        <w:bidi w:val="0"/>
      </w:pPr>
      <w:r>
        <w:t>The LB agar medium was prepared by dissolving 1.8 g of casein tryptone, 0.9 g of yeast extract, and 1.8 g of NaCl in 180 mL of ultrapure water. After thorough mixing, 2.736 g of agar was added, and the resulting medium was autoclaved at 120 °C for 20 min. After cooling to an appropriate temperature, the medium was aseptically dispensed into sterile Petri dishes at a volume of 18 mL per dish to prepare the LB agar plates.</w:t>
      </w:r>
    </w:p>
    <w:p w14:paraId="184BE85F">
      <w:pPr>
        <w:bidi w:val="0"/>
      </w:pPr>
      <w:r>
        <w:t>Subsequently, E. coli was inoculated into 5 mL of LB broth and incubated at 37 °C with shaking at 180 rpm for 12 h until the bacterial cells reached the logarithmic growth phase. After cultivation, a 1 mL aliquot of the bacterial suspension was subjected to a series of tenfold dilutions for the subsequent exposure experiments. The bacterial suspensions were separately exposed to 1 mL of the catalytic-system-treated solutions, the FLZ stock solution, or the TEB stock solution. After treatment, 100 μL aliquots of the bacterial suspensions were evenly spread onto the surfaces of the LB agar plates. The plates were then incubated at 37 °C for 24 h, after which the colonies were counted and the viable bacterial concentrations were expressed as colony-forming units per milliliter (CFU/mL).</w:t>
      </w:r>
    </w:p>
    <w:p w14:paraId="660B237B">
      <w:pPr>
        <w:pStyle w:val="4"/>
        <w:bidi w:val="0"/>
      </w:pPr>
      <w:r>
        <w:t>S5.</w:t>
      </w:r>
      <w:r>
        <w:rPr>
          <w:rFonts w:hint="eastAsia"/>
          <w:lang w:val="en-US" w:eastAsia="zh-CN"/>
        </w:rPr>
        <w:t xml:space="preserve">3 </w:t>
      </w:r>
      <w:r>
        <w:t>Wheat seed germination toxicity experiments.</w:t>
      </w:r>
    </w:p>
    <w:p w14:paraId="19CFA3DD">
      <w:pPr>
        <w:bidi w:val="0"/>
      </w:pPr>
      <w:r>
        <w:t>Following dehulling, the wheat seeds were first treated with a 50% H₂SO₄ solution to soften the seed coat and subsequently disinfected with a 10% H₂O₂ solution for 10 min. The seeds were then thoroughly rinsed with deionized water and dried at room temperature prior to use. Two layers of sterile filter paper were placed at the bottom of each Petri dish to provide a uniform substrate for seed growth. Using sterile forceps, twenty treated wheat seeds were evenly distributed in each Petri dish, with sufficient spacing maintained between individual seeds to minimize mutual interference.</w:t>
      </w:r>
    </w:p>
    <w:p w14:paraId="28D5A9ED">
      <w:pPr>
        <w:bidi w:val="0"/>
      </w:pPr>
      <w:r>
        <w:t>Subsequently, 10 mL of the FLZ or TEB stock solution, or the corresponding solution obtained from the different catalytic treatment systems, was added to each Petri dish. An equivalent volume of deionized water was added to the control group. Each treatment was performed in triplicate to ensure the reliability and statistical significance of the experimental results. Throughout the incubation period, the Petri dishes were maintained at a constant temperature of 25 °C and exposed to 16 h of natural daylight per day to provide the photoperiod and energy required for seed germination and early growth.</w:t>
      </w:r>
    </w:p>
    <w:p w14:paraId="300D8F65">
      <w:pPr>
        <w:pStyle w:val="4"/>
        <w:bidi w:val="0"/>
      </w:pPr>
      <w:r>
        <w:t>S5.</w:t>
      </w:r>
      <w:r>
        <w:rPr>
          <w:rFonts w:hint="eastAsia"/>
          <w:lang w:val="en-US" w:eastAsia="zh-CN"/>
        </w:rPr>
        <w:t xml:space="preserve">4 </w:t>
      </w:r>
      <w:r>
        <w:t>Zebrafish embryonic developmental toxicity experiments.</w:t>
      </w:r>
    </w:p>
    <w:p w14:paraId="0368B98A">
      <w:pPr>
        <w:bidi w:val="0"/>
      </w:pPr>
      <w:r>
        <w:t>Reaction solutions obtained from the different treatment systems were collected and filtered through sterile 0.45 μm membrane filters prior to use. Healthy zebrafish embryos at 24 h post-fertilization (hpf) were exposed to the respective sample solutions. The embryos were maintained under standard culture conditions at 28 ± 0.5 °C with a photoperiod of 14 h light and 10 h darkness. An appropriate number of embryos was assigned to each treatment group, and a control group exposed to deionized water under otherwise identical conditions was included. Embryonic development was observed and recorded every 24 h using a stereomicroscope to evaluate the developmental toxicity of the different reaction solutions.</w:t>
      </w:r>
    </w:p>
    <w:p w14:paraId="32A4ADA3">
      <w:pPr>
        <w:bidi w:val="0"/>
      </w:pPr>
    </w:p>
    <w:p w14:paraId="05003EFD">
      <w:pPr>
        <w:bidi w:val="0"/>
      </w:pPr>
    </w:p>
    <w:p w14:paraId="5B8A42BA">
      <w:pPr>
        <w:ind w:firstLine="480"/>
      </w:pPr>
    </w:p>
    <w:p w14:paraId="6B23AF24">
      <w:pPr>
        <w:ind w:firstLine="48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中文标题">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0A2"/>
    <w:rsid w:val="000230A2"/>
    <w:rsid w:val="00092FA2"/>
    <w:rsid w:val="00093036"/>
    <w:rsid w:val="000B2A57"/>
    <w:rsid w:val="000C16F4"/>
    <w:rsid w:val="00124453"/>
    <w:rsid w:val="00211521"/>
    <w:rsid w:val="00222837"/>
    <w:rsid w:val="0029676E"/>
    <w:rsid w:val="002C05CB"/>
    <w:rsid w:val="00315BEF"/>
    <w:rsid w:val="00320CE5"/>
    <w:rsid w:val="0032780C"/>
    <w:rsid w:val="00335B40"/>
    <w:rsid w:val="003400BA"/>
    <w:rsid w:val="0034075A"/>
    <w:rsid w:val="0036121D"/>
    <w:rsid w:val="003D2CF4"/>
    <w:rsid w:val="00447FCA"/>
    <w:rsid w:val="004917AD"/>
    <w:rsid w:val="004C6960"/>
    <w:rsid w:val="004E5C98"/>
    <w:rsid w:val="005219EA"/>
    <w:rsid w:val="0057331A"/>
    <w:rsid w:val="00585685"/>
    <w:rsid w:val="005B175E"/>
    <w:rsid w:val="005D34A1"/>
    <w:rsid w:val="005F6729"/>
    <w:rsid w:val="00614FBB"/>
    <w:rsid w:val="00672390"/>
    <w:rsid w:val="0067799A"/>
    <w:rsid w:val="006A4598"/>
    <w:rsid w:val="00775167"/>
    <w:rsid w:val="007E088F"/>
    <w:rsid w:val="008A6158"/>
    <w:rsid w:val="008C704E"/>
    <w:rsid w:val="00930370"/>
    <w:rsid w:val="00953FA3"/>
    <w:rsid w:val="0095755A"/>
    <w:rsid w:val="00996986"/>
    <w:rsid w:val="009A273E"/>
    <w:rsid w:val="00A30896"/>
    <w:rsid w:val="00A37BF9"/>
    <w:rsid w:val="00A57B20"/>
    <w:rsid w:val="00AB1BCE"/>
    <w:rsid w:val="00AC38F2"/>
    <w:rsid w:val="00B1521E"/>
    <w:rsid w:val="00B65B89"/>
    <w:rsid w:val="00BA0BE4"/>
    <w:rsid w:val="00C35DED"/>
    <w:rsid w:val="00C60684"/>
    <w:rsid w:val="00CF0261"/>
    <w:rsid w:val="00D605A8"/>
    <w:rsid w:val="00DD24C2"/>
    <w:rsid w:val="00DD401A"/>
    <w:rsid w:val="00DE2E0F"/>
    <w:rsid w:val="00E72745"/>
    <w:rsid w:val="00F175EF"/>
    <w:rsid w:val="00F302DD"/>
    <w:rsid w:val="00FD5BE0"/>
    <w:rsid w:val="2BC565DB"/>
    <w:rsid w:val="46D805FE"/>
    <w:rsid w:val="67370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1"/>
      <w:lang w:val="en-US" w:eastAsia="zh-CN" w:bidi="ar-SA"/>
      <w14:ligatures w14:val="none"/>
    </w:rPr>
  </w:style>
  <w:style w:type="paragraph" w:styleId="2">
    <w:name w:val="heading 1"/>
    <w:basedOn w:val="1"/>
    <w:next w:val="1"/>
    <w:link w:val="20"/>
    <w:qFormat/>
    <w:uiPriority w:val="9"/>
    <w:pPr>
      <w:keepNext/>
      <w:keepLines/>
      <w:spacing w:before="480" w:after="80" w:line="240" w:lineRule="auto"/>
      <w:ind w:firstLine="0" w:firstLineChars="0"/>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3">
    <w:name w:val="heading 2"/>
    <w:basedOn w:val="1"/>
    <w:next w:val="1"/>
    <w:link w:val="21"/>
    <w:unhideWhenUsed/>
    <w:qFormat/>
    <w:uiPriority w:val="9"/>
    <w:pPr>
      <w:keepNext/>
      <w:keepLines/>
      <w:spacing w:before="160" w:after="80" w:line="240" w:lineRule="auto"/>
      <w:ind w:firstLine="0" w:firstLineChars="0"/>
      <w:outlineLvl w:val="1"/>
    </w:pPr>
    <w:rPr>
      <w:rFonts w:ascii="Times New Roman" w:hAnsi="Times New Roman" w:eastAsiaTheme="majorEastAsia" w:cstheme="majorBidi"/>
      <w:color w:val="000000" w:themeColor="text1"/>
      <w:sz w:val="40"/>
      <w:szCs w:val="40"/>
      <w14:textFill>
        <w14:solidFill>
          <w14:schemeClr w14:val="tx1"/>
        </w14:solidFill>
      </w14:textFill>
      <w14:ligatures w14:val="standardContextual"/>
    </w:rPr>
  </w:style>
  <w:style w:type="paragraph" w:styleId="4">
    <w:name w:val="heading 3"/>
    <w:basedOn w:val="1"/>
    <w:next w:val="1"/>
    <w:link w:val="22"/>
    <w:unhideWhenUsed/>
    <w:qFormat/>
    <w:uiPriority w:val="9"/>
    <w:pPr>
      <w:keepNext/>
      <w:keepLines/>
      <w:spacing w:before="160" w:after="80" w:line="240" w:lineRule="auto"/>
      <w:ind w:firstLine="0" w:firstLineChars="0"/>
      <w:outlineLvl w:val="2"/>
    </w:pPr>
    <w:rPr>
      <w:rFonts w:ascii="Times New Roman" w:hAnsi="Times New Roman" w:eastAsiaTheme="majorEastAsia" w:cstheme="majorBidi"/>
      <w:color w:val="000000" w:themeColor="text1"/>
      <w:sz w:val="32"/>
      <w:szCs w:val="32"/>
      <w14:textFill>
        <w14:solidFill>
          <w14:schemeClr w14:val="tx1"/>
        </w14:solidFill>
      </w14:textFill>
      <w14:ligatures w14:val="standardContextual"/>
    </w:rPr>
  </w:style>
  <w:style w:type="paragraph" w:styleId="5">
    <w:name w:val="heading 4"/>
    <w:basedOn w:val="1"/>
    <w:next w:val="1"/>
    <w:link w:val="23"/>
    <w:semiHidden/>
    <w:unhideWhenUsed/>
    <w:qFormat/>
    <w:uiPriority w:val="9"/>
    <w:pPr>
      <w:keepNext/>
      <w:keepLines/>
      <w:spacing w:before="80" w:after="40" w:line="240" w:lineRule="auto"/>
      <w:ind w:firstLine="0" w:firstLineChars="0"/>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6">
    <w:name w:val="heading 5"/>
    <w:basedOn w:val="1"/>
    <w:next w:val="1"/>
    <w:link w:val="24"/>
    <w:semiHidden/>
    <w:unhideWhenUsed/>
    <w:qFormat/>
    <w:uiPriority w:val="9"/>
    <w:pPr>
      <w:keepNext/>
      <w:keepLines/>
      <w:spacing w:before="80" w:after="40" w:line="240" w:lineRule="auto"/>
      <w:ind w:firstLine="0" w:firstLineChars="0"/>
      <w:outlineLvl w:val="4"/>
    </w:pPr>
    <w:rPr>
      <w:rFonts w:asciiTheme="minorHAnsi" w:hAnsiTheme="minorHAnsi" w:eastAsiaTheme="minorEastAsia" w:cstheme="majorBidi"/>
      <w:color w:val="2F5597" w:themeColor="accent1" w:themeShade="BF"/>
      <w:szCs w:val="24"/>
      <w14:ligatures w14:val="standardContextual"/>
    </w:rPr>
  </w:style>
  <w:style w:type="paragraph" w:styleId="7">
    <w:name w:val="heading 6"/>
    <w:basedOn w:val="1"/>
    <w:next w:val="1"/>
    <w:link w:val="25"/>
    <w:semiHidden/>
    <w:unhideWhenUsed/>
    <w:qFormat/>
    <w:uiPriority w:val="9"/>
    <w:pPr>
      <w:keepNext/>
      <w:keepLines/>
      <w:spacing w:before="40" w:line="240" w:lineRule="auto"/>
      <w:ind w:firstLine="0" w:firstLineChars="0"/>
      <w:outlineLvl w:val="5"/>
    </w:pPr>
    <w:rPr>
      <w:rFonts w:asciiTheme="minorHAnsi" w:hAnsiTheme="minorHAnsi" w:eastAsiaTheme="minorEastAsia" w:cstheme="majorBidi"/>
      <w:b/>
      <w:bCs/>
      <w:color w:val="2F5597" w:themeColor="accent1" w:themeShade="BF"/>
      <w:sz w:val="21"/>
      <w:szCs w:val="22"/>
      <w14:ligatures w14:val="standardContextual"/>
    </w:rPr>
  </w:style>
  <w:style w:type="paragraph" w:styleId="8">
    <w:name w:val="heading 7"/>
    <w:basedOn w:val="1"/>
    <w:next w:val="1"/>
    <w:link w:val="26"/>
    <w:semiHidden/>
    <w:unhideWhenUsed/>
    <w:qFormat/>
    <w:uiPriority w:val="9"/>
    <w:pPr>
      <w:keepNext/>
      <w:keepLines/>
      <w:spacing w:before="40" w:line="240" w:lineRule="auto"/>
      <w:ind w:firstLine="0" w:firstLineChars="0"/>
      <w:outlineLvl w:val="6"/>
    </w:pPr>
    <w:rPr>
      <w:rFonts w:asciiTheme="minorHAnsi" w:hAnsiTheme="minorHAnsi" w:eastAsiaTheme="minorEastAsia" w:cstheme="majorBidi"/>
      <w:b/>
      <w:bCs/>
      <w:color w:val="595959" w:themeColor="text1" w:themeTint="A6"/>
      <w:sz w:val="21"/>
      <w:szCs w:val="22"/>
      <w14:textFill>
        <w14:solidFill>
          <w14:schemeClr w14:val="tx1">
            <w14:lumMod w14:val="65000"/>
            <w14:lumOff w14:val="35000"/>
          </w14:schemeClr>
        </w14:solidFill>
      </w14:textFill>
      <w14:ligatures w14:val="standardContextual"/>
    </w:rPr>
  </w:style>
  <w:style w:type="paragraph" w:styleId="9">
    <w:name w:val="heading 8"/>
    <w:basedOn w:val="1"/>
    <w:next w:val="1"/>
    <w:link w:val="27"/>
    <w:semiHidden/>
    <w:unhideWhenUsed/>
    <w:qFormat/>
    <w:uiPriority w:val="9"/>
    <w:pPr>
      <w:keepNext/>
      <w:keepLines/>
      <w:spacing w:line="240" w:lineRule="auto"/>
      <w:ind w:firstLine="0" w:firstLineChars="0"/>
      <w:outlineLvl w:val="7"/>
    </w:pPr>
    <w:rPr>
      <w:rFonts w:asciiTheme="minorHAnsi" w:hAnsiTheme="minorHAnsi" w:eastAsiaTheme="minorEastAsia" w:cstheme="majorBidi"/>
      <w:color w:val="595959" w:themeColor="text1" w:themeTint="A6"/>
      <w:sz w:val="21"/>
      <w:szCs w:val="22"/>
      <w14:textFill>
        <w14:solidFill>
          <w14:schemeClr w14:val="tx1">
            <w14:lumMod w14:val="65000"/>
            <w14:lumOff w14:val="35000"/>
          </w14:schemeClr>
        </w14:solidFill>
      </w14:textFill>
      <w14:ligatures w14:val="standardContextual"/>
    </w:rPr>
  </w:style>
  <w:style w:type="paragraph" w:styleId="10">
    <w:name w:val="heading 9"/>
    <w:basedOn w:val="1"/>
    <w:next w:val="1"/>
    <w:link w:val="28"/>
    <w:semiHidden/>
    <w:unhideWhenUsed/>
    <w:qFormat/>
    <w:uiPriority w:val="9"/>
    <w:pPr>
      <w:keepNext/>
      <w:keepLines/>
      <w:spacing w:line="240" w:lineRule="auto"/>
      <w:ind w:firstLine="0" w:firstLineChars="0"/>
      <w:outlineLvl w:val="8"/>
    </w:pPr>
    <w:rPr>
      <w:rFonts w:asciiTheme="minorHAnsi" w:hAnsiTheme="minorHAnsi" w:eastAsiaTheme="majorEastAsia" w:cstheme="majorBidi"/>
      <w:color w:val="595959" w:themeColor="text1" w:themeTint="A6"/>
      <w:sz w:val="21"/>
      <w:szCs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14:ligatures w14:val="standardContextual"/>
    </w:rPr>
  </w:style>
  <w:style w:type="paragraph" w:styleId="12">
    <w:name w:val="header"/>
    <w:basedOn w:val="1"/>
    <w:link w:val="38"/>
    <w:unhideWhenUsed/>
    <w:qFormat/>
    <w:uiPriority w:val="99"/>
    <w:pP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14:ligatures w14:val="standardContextual"/>
    </w:rPr>
  </w:style>
  <w:style w:type="paragraph" w:styleId="13">
    <w:name w:val="Subtitle"/>
    <w:basedOn w:val="1"/>
    <w:next w:val="1"/>
    <w:link w:val="30"/>
    <w:qFormat/>
    <w:uiPriority w:val="11"/>
    <w:pPr>
      <w:spacing w:after="160" w:line="240"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rPr>
  </w:style>
  <w:style w:type="paragraph" w:styleId="15">
    <w:name w:val="Title"/>
    <w:basedOn w:val="1"/>
    <w:next w:val="1"/>
    <w:link w:val="29"/>
    <w:qFormat/>
    <w:uiPriority w:val="10"/>
    <w:pPr>
      <w:spacing w:after="80" w:line="240" w:lineRule="auto"/>
      <w:ind w:firstLine="0" w:firstLineChars="0"/>
      <w:contextualSpacing/>
      <w:jc w:val="center"/>
    </w:pPr>
    <w:rPr>
      <w:rFonts w:asciiTheme="majorHAnsi" w:hAnsiTheme="majorHAnsi" w:eastAsiaTheme="majorEastAsia" w:cstheme="majorBidi"/>
      <w:spacing w:val="-10"/>
      <w:kern w:val="28"/>
      <w:sz w:val="56"/>
      <w:szCs w:val="56"/>
      <w14:ligatures w14:val="standardContextual"/>
    </w:rPr>
  </w:style>
  <w:style w:type="character" w:styleId="18">
    <w:name w:val="Strong"/>
    <w:basedOn w:val="17"/>
    <w:qFormat/>
    <w:uiPriority w:val="22"/>
    <w:rPr>
      <w:b/>
      <w:bCs/>
    </w:rPr>
  </w:style>
  <w:style w:type="character" w:styleId="19">
    <w:name w:val="Emphasis"/>
    <w:basedOn w:val="17"/>
    <w:qFormat/>
    <w:uiPriority w:val="20"/>
    <w:rPr>
      <w:i/>
    </w:rPr>
  </w:style>
  <w:style w:type="character" w:customStyle="1" w:styleId="20">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7"/>
    <w:link w:val="3"/>
    <w:qFormat/>
    <w:uiPriority w:val="9"/>
    <w:rPr>
      <w:rFonts w:ascii="Times New Roman" w:hAnsi="Times New Roman" w:eastAsiaTheme="majorEastAsia" w:cstheme="majorBidi"/>
      <w:color w:val="000000" w:themeColor="text1"/>
      <w:sz w:val="40"/>
      <w:szCs w:val="40"/>
      <w14:textFill>
        <w14:solidFill>
          <w14:schemeClr w14:val="tx1"/>
        </w14:solidFill>
      </w14:textFill>
    </w:rPr>
  </w:style>
  <w:style w:type="character" w:customStyle="1" w:styleId="22">
    <w:name w:val="标题 3 字符"/>
    <w:basedOn w:val="17"/>
    <w:link w:val="4"/>
    <w:qFormat/>
    <w:uiPriority w:val="9"/>
    <w:rPr>
      <w:rFonts w:ascii="Times New Roman" w:hAnsi="Times New Roman" w:eastAsiaTheme="majorEastAsia" w:cstheme="majorBidi"/>
      <w:color w:val="000000" w:themeColor="text1"/>
      <w:sz w:val="32"/>
      <w:szCs w:val="32"/>
      <w14:textFill>
        <w14:solidFill>
          <w14:schemeClr w14:val="tx1"/>
        </w14:solidFill>
      </w14:textFill>
    </w:rPr>
  </w:style>
  <w:style w:type="character" w:customStyle="1" w:styleId="23">
    <w:name w:val="标题 4 字符"/>
    <w:basedOn w:val="17"/>
    <w:link w:val="5"/>
    <w:semiHidden/>
    <w:qFormat/>
    <w:uiPriority w:val="9"/>
    <w:rPr>
      <w:rFonts w:cstheme="majorBidi"/>
      <w:color w:val="2F5597" w:themeColor="accent1" w:themeShade="BF"/>
      <w:sz w:val="28"/>
      <w:szCs w:val="28"/>
    </w:rPr>
  </w:style>
  <w:style w:type="character" w:customStyle="1" w:styleId="24">
    <w:name w:val="标题 5 字符"/>
    <w:basedOn w:val="17"/>
    <w:link w:val="6"/>
    <w:semiHidden/>
    <w:qFormat/>
    <w:uiPriority w:val="9"/>
    <w:rPr>
      <w:rFonts w:cstheme="majorBidi"/>
      <w:color w:val="2F5597" w:themeColor="accent1" w:themeShade="BF"/>
      <w:sz w:val="24"/>
      <w:szCs w:val="24"/>
    </w:rPr>
  </w:style>
  <w:style w:type="character" w:customStyle="1" w:styleId="25">
    <w:name w:val="标题 6 字符"/>
    <w:basedOn w:val="17"/>
    <w:link w:val="7"/>
    <w:semiHidden/>
    <w:qFormat/>
    <w:uiPriority w:val="9"/>
    <w:rPr>
      <w:rFonts w:cstheme="majorBidi"/>
      <w:b/>
      <w:bCs/>
      <w:color w:val="2F5597" w:themeColor="accent1" w:themeShade="BF"/>
    </w:rPr>
  </w:style>
  <w:style w:type="character" w:customStyle="1" w:styleId="26">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line="240" w:lineRule="auto"/>
      <w:ind w:firstLine="0" w:firstLineChars="0"/>
      <w:jc w:val="center"/>
    </w:pPr>
    <w:rPr>
      <w:rFonts w:asciiTheme="minorHAnsi" w:hAnsiTheme="minorHAnsi" w:eastAsiaTheme="minorEastAsia" w:cstheme="minorBidi"/>
      <w:i/>
      <w:iCs/>
      <w:color w:val="404040" w:themeColor="text1" w:themeTint="BF"/>
      <w:sz w:val="21"/>
      <w:szCs w:val="22"/>
      <w14:textFill>
        <w14:solidFill>
          <w14:schemeClr w14:val="tx1">
            <w14:lumMod w14:val="75000"/>
            <w14:lumOff w14:val="25000"/>
          </w14:schemeClr>
        </w14:solidFill>
      </w14:textFill>
      <w14:ligatures w14:val="standardContextual"/>
    </w:rPr>
  </w:style>
  <w:style w:type="character" w:customStyle="1" w:styleId="32">
    <w:name w:val="引用 字符"/>
    <w:basedOn w:val="17"/>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spacing w:line="240" w:lineRule="auto"/>
      <w:ind w:left="720" w:firstLine="0" w:firstLineChars="0"/>
      <w:contextualSpacing/>
    </w:pPr>
    <w:rPr>
      <w:rFonts w:asciiTheme="minorHAnsi" w:hAnsiTheme="minorHAnsi" w:eastAsiaTheme="minorEastAsia" w:cstheme="minorBidi"/>
      <w:sz w:val="21"/>
      <w:szCs w:val="22"/>
      <w14:ligatures w14:val="standardContextual"/>
    </w:rPr>
  </w:style>
  <w:style w:type="character" w:customStyle="1" w:styleId="34">
    <w:name w:val="Intense Emphasis"/>
    <w:basedOn w:val="17"/>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line="240" w:lineRule="auto"/>
      <w:ind w:left="864" w:right="864" w:firstLine="0" w:firstLineChars="0"/>
      <w:jc w:val="center"/>
    </w:pPr>
    <w:rPr>
      <w:rFonts w:asciiTheme="minorHAnsi" w:hAnsiTheme="minorHAnsi" w:eastAsiaTheme="minorEastAsia" w:cstheme="minorBidi"/>
      <w:i/>
      <w:iCs/>
      <w:color w:val="2F5597" w:themeColor="accent1" w:themeShade="BF"/>
      <w:sz w:val="21"/>
      <w:szCs w:val="22"/>
      <w14:ligatures w14:val="standardContextual"/>
    </w:rPr>
  </w:style>
  <w:style w:type="character" w:customStyle="1" w:styleId="36">
    <w:name w:val="明显引用 字符"/>
    <w:basedOn w:val="17"/>
    <w:link w:val="35"/>
    <w:qFormat/>
    <w:uiPriority w:val="30"/>
    <w:rPr>
      <w:i/>
      <w:iCs/>
      <w:color w:val="2F5597" w:themeColor="accent1" w:themeShade="BF"/>
    </w:rPr>
  </w:style>
  <w:style w:type="character" w:customStyle="1" w:styleId="37">
    <w:name w:val="Intense Reference"/>
    <w:basedOn w:val="17"/>
    <w:qFormat/>
    <w:uiPriority w:val="32"/>
    <w:rPr>
      <w:b/>
      <w:bCs/>
      <w:smallCaps/>
      <w:color w:val="2F5597" w:themeColor="accent1" w:themeShade="BF"/>
      <w:spacing w:val="5"/>
    </w:rPr>
  </w:style>
  <w:style w:type="character" w:customStyle="1" w:styleId="38">
    <w:name w:val="页眉 字符"/>
    <w:basedOn w:val="17"/>
    <w:link w:val="12"/>
    <w:qFormat/>
    <w:uiPriority w:val="99"/>
    <w:rPr>
      <w:sz w:val="18"/>
      <w:szCs w:val="18"/>
    </w:rPr>
  </w:style>
  <w:style w:type="character" w:customStyle="1" w:styleId="39">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1690</Words>
  <Characters>9950</Characters>
  <Lines>98</Lines>
  <Paragraphs>23</Paragraphs>
  <TotalTime>22</TotalTime>
  <ScaleCrop>false</ScaleCrop>
  <LinksUpToDate>false</LinksUpToDate>
  <CharactersWithSpaces>11605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2026-04-27T08:22:00Z</dcterms:created>
  <dc:creator>菲 高</dc:creator>
  <cp:lastModifiedBy>达令</cp:lastModifiedBy>
  <dcterms:modified xsi:type="dcterms:W3CDTF">2026-09-12T13:57:19Z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eyJoZGlkIjoiYjYxY2Q1ZGViYmFhZDIwMzcxMThiMTk3MTFmZTI1MzQiLCJ1c2VySWQiOiI1NjgyMDQ0NDkifQ==</vt:lpwstr>
  </property>
  <property fmtid="{D5CDD505-2E9C-101B-9397-08002B2CF9AE}" pid="3" name="KSOProductBuildVer">
    <vt:lpwstr>2052-12.1.0.28505</vt:lpwstr>
  </property>
  <property fmtid="{D5CDD505-2E9C-101B-9397-08002B2CF9AE}" pid="4" name="ICV">
    <vt:lpwstr>0EECE29253C54D27ABE4FB971608E474_13</vt:lpwstr>
  </property>
</Properties>
</file>