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3785A">
      <w:pPr>
        <w:pStyle w:val="31"/>
      </w:pPr>
      <w:r>
        <w:t>Additional file 1</w:t>
      </w:r>
    </w:p>
    <w:p w14:paraId="005082C9">
      <w:pPr>
        <w:pStyle w:val="3"/>
      </w:pPr>
      <w:r>
        <w:t>Supplementary methods tables and figures</w:t>
      </w:r>
    </w:p>
    <w:p w14:paraId="4046EACB">
      <w:r>
        <w:t>Ultrasound Deep Learning for Distinguishing Benign Reactive from Hematologic Malignancy-Associated Cervical Lymphadenopathy in Children: Development and Validation</w:t>
      </w:r>
    </w:p>
    <w:p w14:paraId="670F9889">
      <w:r>
        <w:t>BMC Medical Imaging</w:t>
      </w:r>
    </w:p>
    <w:p w14:paraId="7232339E">
      <w:pPr>
        <w:pStyle w:val="3"/>
      </w:pPr>
      <w:r>
        <w:t>Supplementary methods</w:t>
      </w:r>
    </w:p>
    <w:p w14:paraId="4B908EDF">
      <w:r>
        <w:t>Ultrasound regions centered on the consensus lesion contour were resized to 384 x 384 pixels. A binary lesion mask was supplied as a fourth input channel to an ImageNet-pretrained EfficientNetV2-S network. Model selection, probability calibration, and operating-threshold selection were performed within the development data of each outer iteration. Related images were kept in the same fold. The manually agreed consensus masks were used during both training and outer-fold inference; automatic segmentation was not evaluated.</w:t>
      </w:r>
    </w:p>
    <w:p w14:paraId="24D9AB24">
      <w:pPr>
        <w:pStyle w:val="4"/>
      </w:pPr>
      <w:r>
        <w:t>Table S1. Outer-fold sample composition and model performance</w:t>
      </w:r>
    </w:p>
    <w:tbl>
      <w:tblPr>
        <w:tblStyle w:val="32"/>
        <w:tblW w:w="0" w:type="auto"/>
        <w:jc w:val="center"/>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Layout w:type="fixed"/>
        <w:tblCellMar>
          <w:top w:w="65" w:type="dxa"/>
          <w:left w:w="90" w:type="dxa"/>
          <w:bottom w:w="65" w:type="dxa"/>
          <w:right w:w="90" w:type="dxa"/>
        </w:tblCellMar>
      </w:tblPr>
      <w:tblGrid>
        <w:gridCol w:w="850"/>
        <w:gridCol w:w="1644"/>
        <w:gridCol w:w="1531"/>
        <w:gridCol w:w="1247"/>
        <w:gridCol w:w="1247"/>
        <w:gridCol w:w="1417"/>
        <w:gridCol w:w="1701"/>
      </w:tblGrid>
      <w:tr w14:paraId="74922597">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tblHeader/>
          <w:jc w:val="center"/>
        </w:trPr>
        <w:tc>
          <w:tcPr>
            <w:tcW w:w="850" w:type="dxa"/>
            <w:vAlign w:val="center"/>
          </w:tcPr>
          <w:p w14:paraId="41C2025B">
            <w:pPr>
              <w:keepNext/>
              <w:spacing w:after="0" w:line="276" w:lineRule="auto"/>
            </w:pPr>
            <w:r>
              <w:rPr>
                <w:b/>
                <w:sz w:val="20"/>
              </w:rPr>
              <w:t>Outer fold</w:t>
            </w:r>
          </w:p>
        </w:tc>
        <w:tc>
          <w:tcPr>
            <w:tcW w:w="1644" w:type="dxa"/>
            <w:vAlign w:val="center"/>
          </w:tcPr>
          <w:p w14:paraId="0543E0E8">
            <w:pPr>
              <w:keepNext/>
              <w:spacing w:after="0" w:line="276" w:lineRule="auto"/>
              <w:jc w:val="center"/>
            </w:pPr>
            <w:r>
              <w:rPr>
                <w:b/>
                <w:sz w:val="20"/>
              </w:rPr>
              <w:t>Model</w:t>
            </w:r>
          </w:p>
        </w:tc>
        <w:tc>
          <w:tcPr>
            <w:tcW w:w="1531" w:type="dxa"/>
            <w:vAlign w:val="center"/>
          </w:tcPr>
          <w:p w14:paraId="24B2058B">
            <w:pPr>
              <w:keepNext/>
              <w:spacing w:after="0" w:line="276" w:lineRule="auto"/>
              <w:jc w:val="center"/>
            </w:pPr>
            <w:r>
              <w:rPr>
                <w:b/>
                <w:sz w:val="20"/>
              </w:rPr>
              <w:t>Image groups</w:t>
            </w:r>
          </w:p>
        </w:tc>
        <w:tc>
          <w:tcPr>
            <w:tcW w:w="1247" w:type="dxa"/>
            <w:vAlign w:val="center"/>
          </w:tcPr>
          <w:p w14:paraId="093DE069">
            <w:pPr>
              <w:keepNext/>
              <w:spacing w:after="0" w:line="276" w:lineRule="auto"/>
              <w:jc w:val="center"/>
            </w:pPr>
            <w:r>
              <w:rPr>
                <w:b/>
                <w:sz w:val="20"/>
              </w:rPr>
              <w:t>Malignant</w:t>
            </w:r>
            <w:r>
              <w:rPr>
                <w:b/>
                <w:sz w:val="20"/>
              </w:rPr>
              <w:br w:type="textWrapping"/>
            </w:r>
            <w:r>
              <w:rPr>
                <w:b/>
                <w:sz w:val="20"/>
              </w:rPr>
              <w:t>(n)</w:t>
            </w:r>
          </w:p>
        </w:tc>
        <w:tc>
          <w:tcPr>
            <w:tcW w:w="1247" w:type="dxa"/>
            <w:vAlign w:val="center"/>
          </w:tcPr>
          <w:p w14:paraId="44F472A0">
            <w:pPr>
              <w:keepNext/>
              <w:spacing w:after="0" w:line="276" w:lineRule="auto"/>
              <w:jc w:val="center"/>
            </w:pPr>
            <w:r>
              <w:rPr>
                <w:b/>
                <w:sz w:val="20"/>
              </w:rPr>
              <w:t>Benign</w:t>
            </w:r>
            <w:r>
              <w:rPr>
                <w:b/>
                <w:sz w:val="20"/>
              </w:rPr>
              <w:br w:type="textWrapping"/>
            </w:r>
            <w:r>
              <w:rPr>
                <w:b/>
                <w:sz w:val="20"/>
              </w:rPr>
              <w:t>(n)</w:t>
            </w:r>
          </w:p>
        </w:tc>
        <w:tc>
          <w:tcPr>
            <w:tcW w:w="1417" w:type="dxa"/>
            <w:vAlign w:val="center"/>
          </w:tcPr>
          <w:p w14:paraId="27588B3A">
            <w:pPr>
              <w:keepNext/>
              <w:spacing w:after="0" w:line="276" w:lineRule="auto"/>
              <w:jc w:val="center"/>
            </w:pPr>
            <w:r>
              <w:rPr>
                <w:b/>
                <w:sz w:val="20"/>
              </w:rPr>
              <w:t>ROC AUC</w:t>
            </w:r>
          </w:p>
        </w:tc>
        <w:tc>
          <w:tcPr>
            <w:tcW w:w="1701" w:type="dxa"/>
            <w:vAlign w:val="center"/>
          </w:tcPr>
          <w:p w14:paraId="589E2081">
            <w:pPr>
              <w:keepNext/>
              <w:spacing w:after="0" w:line="276" w:lineRule="auto"/>
              <w:jc w:val="center"/>
            </w:pPr>
            <w:r>
              <w:rPr>
                <w:b/>
                <w:sz w:val="20"/>
              </w:rPr>
              <w:t>Refit epochs</w:t>
            </w:r>
          </w:p>
        </w:tc>
      </w:tr>
      <w:tr w14:paraId="695D6F8A">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850" w:type="dxa"/>
            <w:vAlign w:val="center"/>
          </w:tcPr>
          <w:p w14:paraId="0D2E25B6">
            <w:pPr>
              <w:keepNext/>
              <w:spacing w:after="0" w:line="276" w:lineRule="auto"/>
            </w:pPr>
            <w:r>
              <w:rPr>
                <w:b w:val="0"/>
                <w:sz w:val="20"/>
              </w:rPr>
              <w:t>1</w:t>
            </w:r>
          </w:p>
        </w:tc>
        <w:tc>
          <w:tcPr>
            <w:tcW w:w="1644" w:type="dxa"/>
            <w:vAlign w:val="center"/>
          </w:tcPr>
          <w:p w14:paraId="18E3E27D">
            <w:pPr>
              <w:keepNext/>
              <w:spacing w:after="0" w:line="276" w:lineRule="auto"/>
              <w:jc w:val="center"/>
            </w:pPr>
            <w:r>
              <w:rPr>
                <w:b w:val="0"/>
                <w:sz w:val="20"/>
              </w:rPr>
              <w:t>Base</w:t>
            </w:r>
          </w:p>
        </w:tc>
        <w:tc>
          <w:tcPr>
            <w:tcW w:w="1531" w:type="dxa"/>
            <w:vAlign w:val="center"/>
          </w:tcPr>
          <w:p w14:paraId="00D21F14">
            <w:pPr>
              <w:keepNext/>
              <w:spacing w:after="0" w:line="276" w:lineRule="auto"/>
              <w:jc w:val="center"/>
            </w:pPr>
            <w:r>
              <w:rPr>
                <w:b w:val="0"/>
                <w:sz w:val="20"/>
              </w:rPr>
              <w:t>112</w:t>
            </w:r>
          </w:p>
        </w:tc>
        <w:tc>
          <w:tcPr>
            <w:tcW w:w="1247" w:type="dxa"/>
            <w:vAlign w:val="center"/>
          </w:tcPr>
          <w:p w14:paraId="4E13ED42">
            <w:pPr>
              <w:keepNext/>
              <w:spacing w:after="0" w:line="276" w:lineRule="auto"/>
              <w:jc w:val="center"/>
            </w:pPr>
            <w:r>
              <w:rPr>
                <w:b w:val="0"/>
                <w:sz w:val="20"/>
              </w:rPr>
              <w:t>63</w:t>
            </w:r>
          </w:p>
        </w:tc>
        <w:tc>
          <w:tcPr>
            <w:tcW w:w="1247" w:type="dxa"/>
            <w:vAlign w:val="center"/>
          </w:tcPr>
          <w:p w14:paraId="1643F54A">
            <w:pPr>
              <w:keepNext/>
              <w:spacing w:after="0" w:line="276" w:lineRule="auto"/>
              <w:jc w:val="center"/>
            </w:pPr>
            <w:r>
              <w:rPr>
                <w:b w:val="0"/>
                <w:sz w:val="20"/>
              </w:rPr>
              <w:t>49</w:t>
            </w:r>
          </w:p>
        </w:tc>
        <w:tc>
          <w:tcPr>
            <w:tcW w:w="1417" w:type="dxa"/>
            <w:vAlign w:val="center"/>
          </w:tcPr>
          <w:p w14:paraId="6AAECB44">
            <w:pPr>
              <w:keepNext/>
              <w:spacing w:after="0" w:line="276" w:lineRule="auto"/>
              <w:jc w:val="center"/>
            </w:pPr>
            <w:r>
              <w:rPr>
                <w:b w:val="0"/>
                <w:sz w:val="20"/>
              </w:rPr>
              <w:t>0.916</w:t>
            </w:r>
          </w:p>
        </w:tc>
        <w:tc>
          <w:tcPr>
            <w:tcW w:w="1701" w:type="dxa"/>
            <w:vAlign w:val="center"/>
          </w:tcPr>
          <w:p w14:paraId="0A17E69F">
            <w:pPr>
              <w:keepNext/>
              <w:spacing w:after="0" w:line="276" w:lineRule="auto"/>
              <w:jc w:val="center"/>
            </w:pPr>
            <w:r>
              <w:rPr>
                <w:b w:val="0"/>
                <w:sz w:val="20"/>
              </w:rPr>
              <w:t>3</w:t>
            </w:r>
          </w:p>
        </w:tc>
      </w:tr>
      <w:tr w14:paraId="7B24A9E7">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850" w:type="dxa"/>
            <w:vAlign w:val="center"/>
          </w:tcPr>
          <w:p w14:paraId="35F62482">
            <w:pPr>
              <w:keepNext/>
              <w:spacing w:after="0" w:line="276" w:lineRule="auto"/>
            </w:pPr>
            <w:r>
              <w:rPr>
                <w:b w:val="0"/>
                <w:sz w:val="20"/>
              </w:rPr>
              <w:t>2</w:t>
            </w:r>
          </w:p>
        </w:tc>
        <w:tc>
          <w:tcPr>
            <w:tcW w:w="1644" w:type="dxa"/>
            <w:vAlign w:val="center"/>
          </w:tcPr>
          <w:p w14:paraId="241B39E2">
            <w:pPr>
              <w:keepNext/>
              <w:spacing w:after="0" w:line="276" w:lineRule="auto"/>
              <w:jc w:val="center"/>
            </w:pPr>
            <w:r>
              <w:rPr>
                <w:b w:val="0"/>
                <w:sz w:val="20"/>
              </w:rPr>
              <w:t>Base</w:t>
            </w:r>
          </w:p>
        </w:tc>
        <w:tc>
          <w:tcPr>
            <w:tcW w:w="1531" w:type="dxa"/>
            <w:vAlign w:val="center"/>
          </w:tcPr>
          <w:p w14:paraId="50E9F0E4">
            <w:pPr>
              <w:keepNext/>
              <w:spacing w:after="0" w:line="276" w:lineRule="auto"/>
              <w:jc w:val="center"/>
            </w:pPr>
            <w:r>
              <w:rPr>
                <w:b w:val="0"/>
                <w:sz w:val="20"/>
              </w:rPr>
              <w:t>112</w:t>
            </w:r>
          </w:p>
        </w:tc>
        <w:tc>
          <w:tcPr>
            <w:tcW w:w="1247" w:type="dxa"/>
            <w:vAlign w:val="center"/>
          </w:tcPr>
          <w:p w14:paraId="0889D997">
            <w:pPr>
              <w:keepNext/>
              <w:spacing w:after="0" w:line="276" w:lineRule="auto"/>
              <w:jc w:val="center"/>
            </w:pPr>
            <w:r>
              <w:rPr>
                <w:b w:val="0"/>
                <w:sz w:val="20"/>
              </w:rPr>
              <w:t>63</w:t>
            </w:r>
          </w:p>
        </w:tc>
        <w:tc>
          <w:tcPr>
            <w:tcW w:w="1247" w:type="dxa"/>
            <w:vAlign w:val="center"/>
          </w:tcPr>
          <w:p w14:paraId="5B2137B5">
            <w:pPr>
              <w:keepNext/>
              <w:spacing w:after="0" w:line="276" w:lineRule="auto"/>
              <w:jc w:val="center"/>
            </w:pPr>
            <w:r>
              <w:rPr>
                <w:b w:val="0"/>
                <w:sz w:val="20"/>
              </w:rPr>
              <w:t>49</w:t>
            </w:r>
          </w:p>
        </w:tc>
        <w:tc>
          <w:tcPr>
            <w:tcW w:w="1417" w:type="dxa"/>
            <w:vAlign w:val="center"/>
          </w:tcPr>
          <w:p w14:paraId="2666C0C6">
            <w:pPr>
              <w:keepNext/>
              <w:spacing w:after="0" w:line="276" w:lineRule="auto"/>
              <w:jc w:val="center"/>
            </w:pPr>
            <w:r>
              <w:rPr>
                <w:b w:val="0"/>
                <w:sz w:val="20"/>
              </w:rPr>
              <w:t>0.883</w:t>
            </w:r>
          </w:p>
        </w:tc>
        <w:tc>
          <w:tcPr>
            <w:tcW w:w="1701" w:type="dxa"/>
            <w:vAlign w:val="center"/>
          </w:tcPr>
          <w:p w14:paraId="1CD805ED">
            <w:pPr>
              <w:keepNext/>
              <w:spacing w:after="0" w:line="276" w:lineRule="auto"/>
              <w:jc w:val="center"/>
            </w:pPr>
            <w:r>
              <w:rPr>
                <w:b w:val="0"/>
                <w:sz w:val="20"/>
              </w:rPr>
              <w:t>3</w:t>
            </w:r>
          </w:p>
        </w:tc>
      </w:tr>
      <w:tr w14:paraId="4C3F4B7B">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850" w:type="dxa"/>
            <w:vAlign w:val="center"/>
          </w:tcPr>
          <w:p w14:paraId="5524CABA">
            <w:pPr>
              <w:keepNext/>
              <w:spacing w:after="0" w:line="276" w:lineRule="auto"/>
            </w:pPr>
            <w:r>
              <w:rPr>
                <w:b w:val="0"/>
                <w:sz w:val="20"/>
              </w:rPr>
              <w:t>3</w:t>
            </w:r>
          </w:p>
        </w:tc>
        <w:tc>
          <w:tcPr>
            <w:tcW w:w="1644" w:type="dxa"/>
            <w:vAlign w:val="center"/>
          </w:tcPr>
          <w:p w14:paraId="1B4296B2">
            <w:pPr>
              <w:keepNext/>
              <w:spacing w:after="0" w:line="276" w:lineRule="auto"/>
              <w:jc w:val="center"/>
            </w:pPr>
            <w:r>
              <w:rPr>
                <w:b w:val="0"/>
                <w:sz w:val="20"/>
              </w:rPr>
              <w:t>Label-smoothed</w:t>
            </w:r>
          </w:p>
        </w:tc>
        <w:tc>
          <w:tcPr>
            <w:tcW w:w="1531" w:type="dxa"/>
            <w:vAlign w:val="center"/>
          </w:tcPr>
          <w:p w14:paraId="219FC5A3">
            <w:pPr>
              <w:keepNext/>
              <w:spacing w:after="0" w:line="276" w:lineRule="auto"/>
              <w:jc w:val="center"/>
            </w:pPr>
            <w:r>
              <w:rPr>
                <w:b w:val="0"/>
                <w:sz w:val="20"/>
              </w:rPr>
              <w:t>112</w:t>
            </w:r>
          </w:p>
        </w:tc>
        <w:tc>
          <w:tcPr>
            <w:tcW w:w="1247" w:type="dxa"/>
            <w:vAlign w:val="center"/>
          </w:tcPr>
          <w:p w14:paraId="6B6DB6B3">
            <w:pPr>
              <w:keepNext/>
              <w:spacing w:after="0" w:line="276" w:lineRule="auto"/>
              <w:jc w:val="center"/>
            </w:pPr>
            <w:r>
              <w:rPr>
                <w:b w:val="0"/>
                <w:sz w:val="20"/>
              </w:rPr>
              <w:t>61</w:t>
            </w:r>
          </w:p>
        </w:tc>
        <w:tc>
          <w:tcPr>
            <w:tcW w:w="1247" w:type="dxa"/>
            <w:vAlign w:val="center"/>
          </w:tcPr>
          <w:p w14:paraId="18A14CB5">
            <w:pPr>
              <w:keepNext/>
              <w:spacing w:after="0" w:line="276" w:lineRule="auto"/>
              <w:jc w:val="center"/>
            </w:pPr>
            <w:r>
              <w:rPr>
                <w:b w:val="0"/>
                <w:sz w:val="20"/>
              </w:rPr>
              <w:t>51</w:t>
            </w:r>
          </w:p>
        </w:tc>
        <w:tc>
          <w:tcPr>
            <w:tcW w:w="1417" w:type="dxa"/>
            <w:vAlign w:val="center"/>
          </w:tcPr>
          <w:p w14:paraId="3BC0FEC3">
            <w:pPr>
              <w:keepNext/>
              <w:spacing w:after="0" w:line="276" w:lineRule="auto"/>
              <w:jc w:val="center"/>
            </w:pPr>
            <w:r>
              <w:rPr>
                <w:b w:val="0"/>
                <w:sz w:val="20"/>
              </w:rPr>
              <w:t>0.873</w:t>
            </w:r>
          </w:p>
        </w:tc>
        <w:tc>
          <w:tcPr>
            <w:tcW w:w="1701" w:type="dxa"/>
            <w:vAlign w:val="center"/>
          </w:tcPr>
          <w:p w14:paraId="06C28DE2">
            <w:pPr>
              <w:keepNext/>
              <w:spacing w:after="0" w:line="276" w:lineRule="auto"/>
              <w:jc w:val="center"/>
            </w:pPr>
            <w:r>
              <w:rPr>
                <w:b w:val="0"/>
                <w:sz w:val="20"/>
              </w:rPr>
              <w:t>4</w:t>
            </w:r>
          </w:p>
        </w:tc>
      </w:tr>
      <w:tr w14:paraId="7E106F42">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850" w:type="dxa"/>
            <w:vAlign w:val="center"/>
          </w:tcPr>
          <w:p w14:paraId="40984082">
            <w:pPr>
              <w:keepNext/>
              <w:spacing w:after="0" w:line="276" w:lineRule="auto"/>
            </w:pPr>
            <w:r>
              <w:rPr>
                <w:b w:val="0"/>
                <w:sz w:val="20"/>
              </w:rPr>
              <w:t>4</w:t>
            </w:r>
          </w:p>
        </w:tc>
        <w:tc>
          <w:tcPr>
            <w:tcW w:w="1644" w:type="dxa"/>
            <w:vAlign w:val="center"/>
          </w:tcPr>
          <w:p w14:paraId="44E2FA31">
            <w:pPr>
              <w:keepNext/>
              <w:spacing w:after="0" w:line="276" w:lineRule="auto"/>
              <w:jc w:val="center"/>
            </w:pPr>
            <w:r>
              <w:rPr>
                <w:b w:val="0"/>
                <w:sz w:val="20"/>
              </w:rPr>
              <w:t>Label-smoothed</w:t>
            </w:r>
          </w:p>
        </w:tc>
        <w:tc>
          <w:tcPr>
            <w:tcW w:w="1531" w:type="dxa"/>
            <w:vAlign w:val="center"/>
          </w:tcPr>
          <w:p w14:paraId="2DEE3050">
            <w:pPr>
              <w:keepNext/>
              <w:spacing w:after="0" w:line="276" w:lineRule="auto"/>
              <w:jc w:val="center"/>
            </w:pPr>
            <w:r>
              <w:rPr>
                <w:b w:val="0"/>
                <w:sz w:val="20"/>
              </w:rPr>
              <w:t>112</w:t>
            </w:r>
          </w:p>
        </w:tc>
        <w:tc>
          <w:tcPr>
            <w:tcW w:w="1247" w:type="dxa"/>
            <w:vAlign w:val="center"/>
          </w:tcPr>
          <w:p w14:paraId="309B9249">
            <w:pPr>
              <w:keepNext/>
              <w:spacing w:after="0" w:line="276" w:lineRule="auto"/>
              <w:jc w:val="center"/>
            </w:pPr>
            <w:r>
              <w:rPr>
                <w:b w:val="0"/>
                <w:sz w:val="20"/>
              </w:rPr>
              <w:t>61</w:t>
            </w:r>
          </w:p>
        </w:tc>
        <w:tc>
          <w:tcPr>
            <w:tcW w:w="1247" w:type="dxa"/>
            <w:vAlign w:val="center"/>
          </w:tcPr>
          <w:p w14:paraId="185A005B">
            <w:pPr>
              <w:keepNext/>
              <w:spacing w:after="0" w:line="276" w:lineRule="auto"/>
              <w:jc w:val="center"/>
            </w:pPr>
            <w:r>
              <w:rPr>
                <w:b w:val="0"/>
                <w:sz w:val="20"/>
              </w:rPr>
              <w:t>51</w:t>
            </w:r>
          </w:p>
        </w:tc>
        <w:tc>
          <w:tcPr>
            <w:tcW w:w="1417" w:type="dxa"/>
            <w:vAlign w:val="center"/>
          </w:tcPr>
          <w:p w14:paraId="137496F5">
            <w:pPr>
              <w:keepNext/>
              <w:spacing w:after="0" w:line="276" w:lineRule="auto"/>
              <w:jc w:val="center"/>
            </w:pPr>
            <w:r>
              <w:rPr>
                <w:b w:val="0"/>
                <w:sz w:val="20"/>
              </w:rPr>
              <w:t>0.801</w:t>
            </w:r>
          </w:p>
        </w:tc>
        <w:tc>
          <w:tcPr>
            <w:tcW w:w="1701" w:type="dxa"/>
            <w:vAlign w:val="center"/>
          </w:tcPr>
          <w:p w14:paraId="10DF424E">
            <w:pPr>
              <w:keepNext/>
              <w:spacing w:after="0" w:line="276" w:lineRule="auto"/>
              <w:jc w:val="center"/>
            </w:pPr>
            <w:r>
              <w:rPr>
                <w:b w:val="0"/>
                <w:sz w:val="20"/>
              </w:rPr>
              <w:t>7</w:t>
            </w:r>
          </w:p>
        </w:tc>
      </w:tr>
      <w:tr w14:paraId="0DA80E7F">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850" w:type="dxa"/>
            <w:vAlign w:val="center"/>
          </w:tcPr>
          <w:p w14:paraId="12B03273">
            <w:pPr>
              <w:keepNext w:val="0"/>
              <w:spacing w:after="0" w:line="276" w:lineRule="auto"/>
            </w:pPr>
            <w:r>
              <w:rPr>
                <w:b w:val="0"/>
                <w:sz w:val="20"/>
              </w:rPr>
              <w:t>5</w:t>
            </w:r>
          </w:p>
        </w:tc>
        <w:tc>
          <w:tcPr>
            <w:tcW w:w="1644" w:type="dxa"/>
            <w:vAlign w:val="center"/>
          </w:tcPr>
          <w:p w14:paraId="4F5756BD">
            <w:pPr>
              <w:keepNext w:val="0"/>
              <w:spacing w:after="0" w:line="276" w:lineRule="auto"/>
              <w:jc w:val="center"/>
            </w:pPr>
            <w:r>
              <w:rPr>
                <w:b w:val="0"/>
                <w:sz w:val="20"/>
              </w:rPr>
              <w:t>Label-smoothed</w:t>
            </w:r>
          </w:p>
        </w:tc>
        <w:tc>
          <w:tcPr>
            <w:tcW w:w="1531" w:type="dxa"/>
            <w:vAlign w:val="center"/>
          </w:tcPr>
          <w:p w14:paraId="0644446C">
            <w:pPr>
              <w:keepNext w:val="0"/>
              <w:spacing w:after="0" w:line="276" w:lineRule="auto"/>
              <w:jc w:val="center"/>
            </w:pPr>
            <w:r>
              <w:rPr>
                <w:b w:val="0"/>
                <w:sz w:val="20"/>
              </w:rPr>
              <w:t>111</w:t>
            </w:r>
          </w:p>
        </w:tc>
        <w:tc>
          <w:tcPr>
            <w:tcW w:w="1247" w:type="dxa"/>
            <w:vAlign w:val="center"/>
          </w:tcPr>
          <w:p w14:paraId="4F4246D7">
            <w:pPr>
              <w:keepNext w:val="0"/>
              <w:spacing w:after="0" w:line="276" w:lineRule="auto"/>
              <w:jc w:val="center"/>
            </w:pPr>
            <w:r>
              <w:rPr>
                <w:b w:val="0"/>
                <w:sz w:val="20"/>
              </w:rPr>
              <w:t>61</w:t>
            </w:r>
          </w:p>
        </w:tc>
        <w:tc>
          <w:tcPr>
            <w:tcW w:w="1247" w:type="dxa"/>
            <w:vAlign w:val="center"/>
          </w:tcPr>
          <w:p w14:paraId="3DAB8833">
            <w:pPr>
              <w:keepNext w:val="0"/>
              <w:spacing w:after="0" w:line="276" w:lineRule="auto"/>
              <w:jc w:val="center"/>
            </w:pPr>
            <w:r>
              <w:rPr>
                <w:b w:val="0"/>
                <w:sz w:val="20"/>
              </w:rPr>
              <w:t>50</w:t>
            </w:r>
          </w:p>
        </w:tc>
        <w:tc>
          <w:tcPr>
            <w:tcW w:w="1417" w:type="dxa"/>
            <w:vAlign w:val="center"/>
          </w:tcPr>
          <w:p w14:paraId="7646F842">
            <w:pPr>
              <w:keepNext w:val="0"/>
              <w:spacing w:after="0" w:line="276" w:lineRule="auto"/>
              <w:jc w:val="center"/>
            </w:pPr>
            <w:r>
              <w:rPr>
                <w:b w:val="0"/>
                <w:sz w:val="20"/>
              </w:rPr>
              <w:t>0.845</w:t>
            </w:r>
          </w:p>
        </w:tc>
        <w:tc>
          <w:tcPr>
            <w:tcW w:w="1701" w:type="dxa"/>
            <w:vAlign w:val="center"/>
          </w:tcPr>
          <w:p w14:paraId="471C13B3">
            <w:pPr>
              <w:keepNext w:val="0"/>
              <w:spacing w:after="0" w:line="276" w:lineRule="auto"/>
              <w:jc w:val="center"/>
            </w:pPr>
            <w:r>
              <w:rPr>
                <w:b w:val="0"/>
                <w:sz w:val="20"/>
              </w:rPr>
              <w:t>5</w:t>
            </w:r>
          </w:p>
        </w:tc>
      </w:tr>
    </w:tbl>
    <w:p w14:paraId="70E88456">
      <w:r>
        <w:t>ROC AUC, area under the receiver operating characteristic curve. Image groups, rather than patients, were the unit of analysis.</w:t>
      </w:r>
    </w:p>
    <w:p w14:paraId="31773A4A">
      <w:pPr>
        <w:pStyle w:val="4"/>
      </w:pPr>
      <w:r>
        <w:t>Table S2. Fold-specific calibration and operating thresholds</w:t>
      </w:r>
    </w:p>
    <w:tbl>
      <w:tblPr>
        <w:tblStyle w:val="32"/>
        <w:tblW w:w="0" w:type="auto"/>
        <w:jc w:val="center"/>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Layout w:type="fixed"/>
        <w:tblCellMar>
          <w:top w:w="65" w:type="dxa"/>
          <w:left w:w="90" w:type="dxa"/>
          <w:bottom w:w="65" w:type="dxa"/>
          <w:right w:w="90" w:type="dxa"/>
        </w:tblCellMar>
      </w:tblPr>
      <w:tblGrid>
        <w:gridCol w:w="907"/>
        <w:gridCol w:w="1531"/>
        <w:gridCol w:w="1644"/>
        <w:gridCol w:w="1701"/>
        <w:gridCol w:w="2098"/>
        <w:gridCol w:w="1757"/>
      </w:tblGrid>
      <w:tr w14:paraId="12D57138">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tblHeader/>
          <w:jc w:val="center"/>
        </w:trPr>
        <w:tc>
          <w:tcPr>
            <w:tcW w:w="907" w:type="dxa"/>
            <w:vAlign w:val="center"/>
          </w:tcPr>
          <w:p w14:paraId="1DA1B3F8">
            <w:pPr>
              <w:keepNext/>
              <w:spacing w:after="0" w:line="276" w:lineRule="auto"/>
            </w:pPr>
            <w:r>
              <w:rPr>
                <w:b/>
                <w:sz w:val="20"/>
              </w:rPr>
              <w:t>Outer fold</w:t>
            </w:r>
          </w:p>
        </w:tc>
        <w:tc>
          <w:tcPr>
            <w:tcW w:w="1531" w:type="dxa"/>
            <w:vAlign w:val="center"/>
          </w:tcPr>
          <w:p w14:paraId="406D0894">
            <w:pPr>
              <w:keepNext/>
              <w:spacing w:after="0" w:line="276" w:lineRule="auto"/>
              <w:jc w:val="center"/>
            </w:pPr>
            <w:r>
              <w:rPr>
                <w:b/>
                <w:sz w:val="20"/>
              </w:rPr>
              <w:t>Platt slope</w:t>
            </w:r>
          </w:p>
        </w:tc>
        <w:tc>
          <w:tcPr>
            <w:tcW w:w="1644" w:type="dxa"/>
            <w:vAlign w:val="center"/>
          </w:tcPr>
          <w:p w14:paraId="38D19AC6">
            <w:pPr>
              <w:keepNext/>
              <w:spacing w:after="0" w:line="276" w:lineRule="auto"/>
              <w:jc w:val="center"/>
            </w:pPr>
            <w:r>
              <w:rPr>
                <w:b/>
                <w:sz w:val="20"/>
              </w:rPr>
              <w:t>Platt intercept</w:t>
            </w:r>
          </w:p>
        </w:tc>
        <w:tc>
          <w:tcPr>
            <w:tcW w:w="1701" w:type="dxa"/>
            <w:vAlign w:val="center"/>
          </w:tcPr>
          <w:p w14:paraId="79C0D4F4">
            <w:pPr>
              <w:keepNext/>
              <w:spacing w:after="0" w:line="276" w:lineRule="auto"/>
              <w:jc w:val="center"/>
            </w:pPr>
            <w:r>
              <w:rPr>
                <w:b/>
                <w:sz w:val="20"/>
              </w:rPr>
              <w:t>Youden threshold</w:t>
            </w:r>
          </w:p>
        </w:tc>
        <w:tc>
          <w:tcPr>
            <w:tcW w:w="2098" w:type="dxa"/>
            <w:vAlign w:val="center"/>
          </w:tcPr>
          <w:p w14:paraId="2319F0B4">
            <w:pPr>
              <w:keepNext/>
              <w:spacing w:after="0" w:line="276" w:lineRule="auto"/>
              <w:jc w:val="center"/>
            </w:pPr>
            <w:r>
              <w:rPr>
                <w:b/>
                <w:sz w:val="20"/>
              </w:rPr>
              <w:t>Higher-sensitivity threshold</w:t>
            </w:r>
          </w:p>
        </w:tc>
        <w:tc>
          <w:tcPr>
            <w:tcW w:w="1757" w:type="dxa"/>
            <w:vAlign w:val="center"/>
          </w:tcPr>
          <w:p w14:paraId="43982718">
            <w:pPr>
              <w:keepNext/>
              <w:spacing w:after="0" w:line="276" w:lineRule="auto"/>
              <w:jc w:val="center"/>
            </w:pPr>
            <w:r>
              <w:rPr>
                <w:b/>
                <w:sz w:val="20"/>
              </w:rPr>
              <w:t>Test-time</w:t>
            </w:r>
            <w:r>
              <w:rPr>
                <w:b/>
                <w:sz w:val="20"/>
              </w:rPr>
              <w:br w:type="textWrapping"/>
            </w:r>
            <w:r>
              <w:rPr>
                <w:b/>
                <w:sz w:val="20"/>
              </w:rPr>
              <w:t>augmentation</w:t>
            </w:r>
          </w:p>
        </w:tc>
      </w:tr>
      <w:tr w14:paraId="31CFDD96">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907" w:type="dxa"/>
            <w:vAlign w:val="center"/>
          </w:tcPr>
          <w:p w14:paraId="17A4E288">
            <w:pPr>
              <w:keepNext/>
              <w:spacing w:after="0" w:line="276" w:lineRule="auto"/>
            </w:pPr>
            <w:r>
              <w:rPr>
                <w:b w:val="0"/>
                <w:sz w:val="20"/>
              </w:rPr>
              <w:t>1</w:t>
            </w:r>
          </w:p>
        </w:tc>
        <w:tc>
          <w:tcPr>
            <w:tcW w:w="1531" w:type="dxa"/>
            <w:vAlign w:val="center"/>
          </w:tcPr>
          <w:p w14:paraId="4A3FEB11">
            <w:pPr>
              <w:keepNext/>
              <w:spacing w:after="0" w:line="276" w:lineRule="auto"/>
              <w:jc w:val="center"/>
            </w:pPr>
            <w:r>
              <w:rPr>
                <w:b w:val="0"/>
                <w:sz w:val="20"/>
              </w:rPr>
              <w:t>1.171</w:t>
            </w:r>
          </w:p>
        </w:tc>
        <w:tc>
          <w:tcPr>
            <w:tcW w:w="1644" w:type="dxa"/>
            <w:vAlign w:val="center"/>
          </w:tcPr>
          <w:p w14:paraId="1DAE0053">
            <w:pPr>
              <w:keepNext/>
              <w:spacing w:after="0" w:line="276" w:lineRule="auto"/>
              <w:jc w:val="center"/>
            </w:pPr>
            <w:r>
              <w:rPr>
                <w:b w:val="0"/>
                <w:sz w:val="20"/>
              </w:rPr>
              <w:t>-0.035</w:t>
            </w:r>
          </w:p>
        </w:tc>
        <w:tc>
          <w:tcPr>
            <w:tcW w:w="1701" w:type="dxa"/>
            <w:vAlign w:val="center"/>
          </w:tcPr>
          <w:p w14:paraId="3E7131B9">
            <w:pPr>
              <w:keepNext/>
              <w:spacing w:after="0" w:line="276" w:lineRule="auto"/>
              <w:jc w:val="center"/>
            </w:pPr>
            <w:r>
              <w:rPr>
                <w:b w:val="0"/>
                <w:sz w:val="20"/>
              </w:rPr>
              <w:t>0.432</w:t>
            </w:r>
          </w:p>
        </w:tc>
        <w:tc>
          <w:tcPr>
            <w:tcW w:w="2098" w:type="dxa"/>
            <w:vAlign w:val="center"/>
          </w:tcPr>
          <w:p w14:paraId="5ECD64AC">
            <w:pPr>
              <w:keepNext/>
              <w:spacing w:after="0" w:line="276" w:lineRule="auto"/>
              <w:jc w:val="center"/>
            </w:pPr>
            <w:r>
              <w:rPr>
                <w:b w:val="0"/>
                <w:sz w:val="20"/>
              </w:rPr>
              <w:t>0.432</w:t>
            </w:r>
          </w:p>
        </w:tc>
        <w:tc>
          <w:tcPr>
            <w:tcW w:w="1757" w:type="dxa"/>
            <w:vAlign w:val="center"/>
          </w:tcPr>
          <w:p w14:paraId="483E75AA">
            <w:pPr>
              <w:keepNext/>
              <w:spacing w:after="0" w:line="276" w:lineRule="auto"/>
              <w:jc w:val="center"/>
            </w:pPr>
            <w:r>
              <w:rPr>
                <w:b w:val="0"/>
                <w:sz w:val="20"/>
              </w:rPr>
              <w:t>None</w:t>
            </w:r>
          </w:p>
        </w:tc>
      </w:tr>
      <w:tr w14:paraId="16F36B02">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907" w:type="dxa"/>
            <w:vAlign w:val="center"/>
          </w:tcPr>
          <w:p w14:paraId="556A9EE8">
            <w:pPr>
              <w:keepNext/>
              <w:spacing w:after="0" w:line="276" w:lineRule="auto"/>
            </w:pPr>
            <w:r>
              <w:rPr>
                <w:b w:val="0"/>
                <w:sz w:val="20"/>
              </w:rPr>
              <w:t>2</w:t>
            </w:r>
          </w:p>
        </w:tc>
        <w:tc>
          <w:tcPr>
            <w:tcW w:w="1531" w:type="dxa"/>
            <w:vAlign w:val="center"/>
          </w:tcPr>
          <w:p w14:paraId="2506EF58">
            <w:pPr>
              <w:keepNext/>
              <w:spacing w:after="0" w:line="276" w:lineRule="auto"/>
              <w:jc w:val="center"/>
            </w:pPr>
            <w:r>
              <w:rPr>
                <w:b w:val="0"/>
                <w:sz w:val="20"/>
              </w:rPr>
              <w:t>1.092</w:t>
            </w:r>
          </w:p>
        </w:tc>
        <w:tc>
          <w:tcPr>
            <w:tcW w:w="1644" w:type="dxa"/>
            <w:vAlign w:val="center"/>
          </w:tcPr>
          <w:p w14:paraId="1D0DC951">
            <w:pPr>
              <w:keepNext/>
              <w:spacing w:after="0" w:line="276" w:lineRule="auto"/>
              <w:jc w:val="center"/>
            </w:pPr>
            <w:r>
              <w:rPr>
                <w:b w:val="0"/>
                <w:sz w:val="20"/>
              </w:rPr>
              <w:t>-0.132</w:t>
            </w:r>
          </w:p>
        </w:tc>
        <w:tc>
          <w:tcPr>
            <w:tcW w:w="1701" w:type="dxa"/>
            <w:vAlign w:val="center"/>
          </w:tcPr>
          <w:p w14:paraId="17B71A0A">
            <w:pPr>
              <w:keepNext/>
              <w:spacing w:after="0" w:line="276" w:lineRule="auto"/>
              <w:jc w:val="center"/>
            </w:pPr>
            <w:r>
              <w:rPr>
                <w:b w:val="0"/>
                <w:sz w:val="20"/>
              </w:rPr>
              <w:t>0.579</w:t>
            </w:r>
          </w:p>
        </w:tc>
        <w:tc>
          <w:tcPr>
            <w:tcW w:w="2098" w:type="dxa"/>
            <w:vAlign w:val="center"/>
          </w:tcPr>
          <w:p w14:paraId="2B4A3F53">
            <w:pPr>
              <w:keepNext/>
              <w:spacing w:after="0" w:line="276" w:lineRule="auto"/>
              <w:jc w:val="center"/>
            </w:pPr>
            <w:r>
              <w:rPr>
                <w:b w:val="0"/>
                <w:sz w:val="20"/>
              </w:rPr>
              <w:t>0.442</w:t>
            </w:r>
          </w:p>
        </w:tc>
        <w:tc>
          <w:tcPr>
            <w:tcW w:w="1757" w:type="dxa"/>
            <w:vAlign w:val="center"/>
          </w:tcPr>
          <w:p w14:paraId="6CD7AA96">
            <w:pPr>
              <w:keepNext/>
              <w:spacing w:after="0" w:line="276" w:lineRule="auto"/>
              <w:jc w:val="center"/>
            </w:pPr>
            <w:r>
              <w:rPr>
                <w:b w:val="0"/>
                <w:sz w:val="20"/>
              </w:rPr>
              <w:t>None</w:t>
            </w:r>
          </w:p>
        </w:tc>
      </w:tr>
      <w:tr w14:paraId="58B9EBA1">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907" w:type="dxa"/>
            <w:vAlign w:val="center"/>
          </w:tcPr>
          <w:p w14:paraId="2FD2D1D7">
            <w:pPr>
              <w:keepNext/>
              <w:spacing w:after="0" w:line="276" w:lineRule="auto"/>
            </w:pPr>
            <w:r>
              <w:rPr>
                <w:b w:val="0"/>
                <w:sz w:val="20"/>
              </w:rPr>
              <w:t>3</w:t>
            </w:r>
          </w:p>
        </w:tc>
        <w:tc>
          <w:tcPr>
            <w:tcW w:w="1531" w:type="dxa"/>
            <w:vAlign w:val="center"/>
          </w:tcPr>
          <w:p w14:paraId="2E825219">
            <w:pPr>
              <w:keepNext/>
              <w:spacing w:after="0" w:line="276" w:lineRule="auto"/>
              <w:jc w:val="center"/>
            </w:pPr>
            <w:r>
              <w:rPr>
                <w:b w:val="0"/>
                <w:sz w:val="20"/>
              </w:rPr>
              <w:t>1.035</w:t>
            </w:r>
          </w:p>
        </w:tc>
        <w:tc>
          <w:tcPr>
            <w:tcW w:w="1644" w:type="dxa"/>
            <w:vAlign w:val="center"/>
          </w:tcPr>
          <w:p w14:paraId="5651CB77">
            <w:pPr>
              <w:keepNext/>
              <w:spacing w:after="0" w:line="276" w:lineRule="auto"/>
              <w:jc w:val="center"/>
            </w:pPr>
            <w:r>
              <w:rPr>
                <w:b w:val="0"/>
                <w:sz w:val="20"/>
              </w:rPr>
              <w:t>0.071</w:t>
            </w:r>
          </w:p>
        </w:tc>
        <w:tc>
          <w:tcPr>
            <w:tcW w:w="1701" w:type="dxa"/>
            <w:vAlign w:val="center"/>
          </w:tcPr>
          <w:p w14:paraId="7988A055">
            <w:pPr>
              <w:keepNext/>
              <w:spacing w:after="0" w:line="276" w:lineRule="auto"/>
              <w:jc w:val="center"/>
            </w:pPr>
            <w:r>
              <w:rPr>
                <w:b w:val="0"/>
                <w:sz w:val="20"/>
              </w:rPr>
              <w:t>0.529</w:t>
            </w:r>
          </w:p>
        </w:tc>
        <w:tc>
          <w:tcPr>
            <w:tcW w:w="2098" w:type="dxa"/>
            <w:vAlign w:val="center"/>
          </w:tcPr>
          <w:p w14:paraId="3CAB2686">
            <w:pPr>
              <w:keepNext/>
              <w:spacing w:after="0" w:line="276" w:lineRule="auto"/>
              <w:jc w:val="center"/>
            </w:pPr>
            <w:r>
              <w:rPr>
                <w:b w:val="0"/>
                <w:sz w:val="20"/>
              </w:rPr>
              <w:t>0.482</w:t>
            </w:r>
          </w:p>
        </w:tc>
        <w:tc>
          <w:tcPr>
            <w:tcW w:w="1757" w:type="dxa"/>
            <w:vAlign w:val="center"/>
          </w:tcPr>
          <w:p w14:paraId="45D5A2E2">
            <w:pPr>
              <w:keepNext/>
              <w:spacing w:after="0" w:line="276" w:lineRule="auto"/>
              <w:jc w:val="center"/>
            </w:pPr>
            <w:r>
              <w:rPr>
                <w:b w:val="0"/>
                <w:sz w:val="20"/>
              </w:rPr>
              <w:t>None</w:t>
            </w:r>
          </w:p>
        </w:tc>
      </w:tr>
      <w:tr w14:paraId="72E8B580">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907" w:type="dxa"/>
            <w:vAlign w:val="center"/>
          </w:tcPr>
          <w:p w14:paraId="36EC4979">
            <w:pPr>
              <w:keepNext/>
              <w:spacing w:after="0" w:line="276" w:lineRule="auto"/>
            </w:pPr>
            <w:r>
              <w:rPr>
                <w:b w:val="0"/>
                <w:sz w:val="20"/>
              </w:rPr>
              <w:t>4</w:t>
            </w:r>
          </w:p>
        </w:tc>
        <w:tc>
          <w:tcPr>
            <w:tcW w:w="1531" w:type="dxa"/>
            <w:vAlign w:val="center"/>
          </w:tcPr>
          <w:p w14:paraId="4C07DE82">
            <w:pPr>
              <w:keepNext/>
              <w:spacing w:after="0" w:line="276" w:lineRule="auto"/>
              <w:jc w:val="center"/>
            </w:pPr>
            <w:r>
              <w:rPr>
                <w:b w:val="0"/>
                <w:sz w:val="20"/>
              </w:rPr>
              <w:t>0.998</w:t>
            </w:r>
          </w:p>
        </w:tc>
        <w:tc>
          <w:tcPr>
            <w:tcW w:w="1644" w:type="dxa"/>
            <w:vAlign w:val="center"/>
          </w:tcPr>
          <w:p w14:paraId="7D901B2C">
            <w:pPr>
              <w:keepNext/>
              <w:spacing w:after="0" w:line="276" w:lineRule="auto"/>
              <w:jc w:val="center"/>
            </w:pPr>
            <w:r>
              <w:rPr>
                <w:b w:val="0"/>
                <w:sz w:val="20"/>
              </w:rPr>
              <w:t>-0.021</w:t>
            </w:r>
          </w:p>
        </w:tc>
        <w:tc>
          <w:tcPr>
            <w:tcW w:w="1701" w:type="dxa"/>
            <w:vAlign w:val="center"/>
          </w:tcPr>
          <w:p w14:paraId="2BC9A9CD">
            <w:pPr>
              <w:keepNext/>
              <w:spacing w:after="0" w:line="276" w:lineRule="auto"/>
              <w:jc w:val="center"/>
            </w:pPr>
            <w:r>
              <w:rPr>
                <w:b w:val="0"/>
                <w:sz w:val="20"/>
              </w:rPr>
              <w:t>0.489</w:t>
            </w:r>
          </w:p>
        </w:tc>
        <w:tc>
          <w:tcPr>
            <w:tcW w:w="2098" w:type="dxa"/>
            <w:vAlign w:val="center"/>
          </w:tcPr>
          <w:p w14:paraId="6734EE2A">
            <w:pPr>
              <w:keepNext/>
              <w:spacing w:after="0" w:line="276" w:lineRule="auto"/>
              <w:jc w:val="center"/>
            </w:pPr>
            <w:r>
              <w:rPr>
                <w:b w:val="0"/>
                <w:sz w:val="20"/>
              </w:rPr>
              <w:t>0.559</w:t>
            </w:r>
          </w:p>
        </w:tc>
        <w:tc>
          <w:tcPr>
            <w:tcW w:w="1757" w:type="dxa"/>
            <w:vAlign w:val="center"/>
          </w:tcPr>
          <w:p w14:paraId="30985FC8">
            <w:pPr>
              <w:keepNext/>
              <w:spacing w:after="0" w:line="276" w:lineRule="auto"/>
              <w:jc w:val="center"/>
            </w:pPr>
            <w:r>
              <w:rPr>
                <w:b w:val="0"/>
                <w:sz w:val="20"/>
              </w:rPr>
              <w:t>None</w:t>
            </w:r>
          </w:p>
        </w:tc>
      </w:tr>
      <w:tr w14:paraId="7F975E96">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907" w:type="dxa"/>
            <w:vAlign w:val="center"/>
          </w:tcPr>
          <w:p w14:paraId="61B2989B">
            <w:pPr>
              <w:keepNext w:val="0"/>
              <w:spacing w:after="0" w:line="276" w:lineRule="auto"/>
            </w:pPr>
            <w:r>
              <w:rPr>
                <w:b w:val="0"/>
                <w:sz w:val="20"/>
              </w:rPr>
              <w:t>5</w:t>
            </w:r>
          </w:p>
        </w:tc>
        <w:tc>
          <w:tcPr>
            <w:tcW w:w="1531" w:type="dxa"/>
            <w:vAlign w:val="center"/>
          </w:tcPr>
          <w:p w14:paraId="237CD30A">
            <w:pPr>
              <w:keepNext w:val="0"/>
              <w:spacing w:after="0" w:line="276" w:lineRule="auto"/>
              <w:jc w:val="center"/>
            </w:pPr>
            <w:r>
              <w:rPr>
                <w:b w:val="0"/>
                <w:sz w:val="20"/>
              </w:rPr>
              <w:t>1.036</w:t>
            </w:r>
          </w:p>
        </w:tc>
        <w:tc>
          <w:tcPr>
            <w:tcW w:w="1644" w:type="dxa"/>
            <w:vAlign w:val="center"/>
          </w:tcPr>
          <w:p w14:paraId="2E34198D">
            <w:pPr>
              <w:keepNext w:val="0"/>
              <w:spacing w:after="0" w:line="276" w:lineRule="auto"/>
              <w:jc w:val="center"/>
            </w:pPr>
            <w:r>
              <w:rPr>
                <w:b w:val="0"/>
                <w:sz w:val="20"/>
              </w:rPr>
              <w:t>0.178</w:t>
            </w:r>
          </w:p>
        </w:tc>
        <w:tc>
          <w:tcPr>
            <w:tcW w:w="1701" w:type="dxa"/>
            <w:vAlign w:val="center"/>
          </w:tcPr>
          <w:p w14:paraId="3EA6B95D">
            <w:pPr>
              <w:keepNext w:val="0"/>
              <w:spacing w:after="0" w:line="276" w:lineRule="auto"/>
              <w:jc w:val="center"/>
            </w:pPr>
            <w:r>
              <w:rPr>
                <w:b w:val="0"/>
                <w:sz w:val="20"/>
              </w:rPr>
              <w:t>0.549</w:t>
            </w:r>
          </w:p>
        </w:tc>
        <w:tc>
          <w:tcPr>
            <w:tcW w:w="2098" w:type="dxa"/>
            <w:vAlign w:val="center"/>
          </w:tcPr>
          <w:p w14:paraId="3E7665DC">
            <w:pPr>
              <w:keepNext w:val="0"/>
              <w:spacing w:after="0" w:line="276" w:lineRule="auto"/>
              <w:jc w:val="center"/>
            </w:pPr>
            <w:r>
              <w:rPr>
                <w:b w:val="0"/>
                <w:sz w:val="20"/>
              </w:rPr>
              <w:t>0.507</w:t>
            </w:r>
          </w:p>
        </w:tc>
        <w:tc>
          <w:tcPr>
            <w:tcW w:w="1757" w:type="dxa"/>
            <w:vAlign w:val="center"/>
          </w:tcPr>
          <w:p w14:paraId="5ED00362">
            <w:pPr>
              <w:keepNext w:val="0"/>
              <w:spacing w:after="0" w:line="276" w:lineRule="auto"/>
              <w:jc w:val="center"/>
            </w:pPr>
            <w:r>
              <w:rPr>
                <w:b w:val="0"/>
                <w:sz w:val="20"/>
              </w:rPr>
              <w:t>None</w:t>
            </w:r>
          </w:p>
        </w:tc>
      </w:tr>
    </w:tbl>
    <w:p w14:paraId="038EAA76">
      <w:r>
        <w:t>Calibration parameters and thresholds were estimated from the corresponding outer-fold development data and then applied without adjustment to the held-out outer test fold.</w:t>
      </w:r>
    </w:p>
    <w:p w14:paraId="3F70450B">
      <w:pPr>
        <w:pStyle w:val="4"/>
      </w:pPr>
      <w:r>
        <w:t>Table S3. Performance across the four underlying diagnoses</w:t>
      </w:r>
    </w:p>
    <w:tbl>
      <w:tblPr>
        <w:tblStyle w:val="32"/>
        <w:tblW w:w="0" w:type="auto"/>
        <w:jc w:val="center"/>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Layout w:type="fixed"/>
        <w:tblCellMar>
          <w:top w:w="65" w:type="dxa"/>
          <w:left w:w="90" w:type="dxa"/>
          <w:bottom w:w="65" w:type="dxa"/>
          <w:right w:w="90" w:type="dxa"/>
        </w:tblCellMar>
      </w:tblPr>
      <w:tblGrid>
        <w:gridCol w:w="2778"/>
        <w:gridCol w:w="3288"/>
        <w:gridCol w:w="1984"/>
        <w:gridCol w:w="1587"/>
      </w:tblGrid>
      <w:tr w14:paraId="288BD0E9">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tblHeader/>
          <w:jc w:val="center"/>
        </w:trPr>
        <w:tc>
          <w:tcPr>
            <w:tcW w:w="2778" w:type="dxa"/>
            <w:vAlign w:val="center"/>
          </w:tcPr>
          <w:p w14:paraId="0A7C5872">
            <w:pPr>
              <w:keepNext/>
              <w:spacing w:after="0" w:line="276" w:lineRule="auto"/>
            </w:pPr>
            <w:r>
              <w:rPr>
                <w:b/>
                <w:sz w:val="20"/>
              </w:rPr>
              <w:t>Malignant diagnosis</w:t>
            </w:r>
          </w:p>
        </w:tc>
        <w:tc>
          <w:tcPr>
            <w:tcW w:w="3288" w:type="dxa"/>
            <w:vAlign w:val="center"/>
          </w:tcPr>
          <w:p w14:paraId="0116C224">
            <w:pPr>
              <w:keepNext/>
              <w:spacing w:after="0" w:line="276" w:lineRule="auto"/>
              <w:jc w:val="center"/>
            </w:pPr>
            <w:r>
              <w:rPr>
                <w:b/>
                <w:sz w:val="20"/>
              </w:rPr>
              <w:t>Benign diagnosis</w:t>
            </w:r>
          </w:p>
        </w:tc>
        <w:tc>
          <w:tcPr>
            <w:tcW w:w="1984" w:type="dxa"/>
            <w:vAlign w:val="center"/>
          </w:tcPr>
          <w:p w14:paraId="105D1000">
            <w:pPr>
              <w:keepNext/>
              <w:spacing w:after="0" w:line="276" w:lineRule="auto"/>
              <w:jc w:val="center"/>
            </w:pPr>
            <w:r>
              <w:rPr>
                <w:b/>
                <w:sz w:val="20"/>
              </w:rPr>
              <w:t>Image groups</w:t>
            </w:r>
          </w:p>
        </w:tc>
        <w:tc>
          <w:tcPr>
            <w:tcW w:w="1587" w:type="dxa"/>
            <w:vAlign w:val="center"/>
          </w:tcPr>
          <w:p w14:paraId="5C004F07">
            <w:pPr>
              <w:keepNext/>
              <w:spacing w:after="0" w:line="276" w:lineRule="auto"/>
              <w:jc w:val="center"/>
            </w:pPr>
            <w:r>
              <w:rPr>
                <w:b/>
                <w:sz w:val="20"/>
              </w:rPr>
              <w:t>ROC AUC</w:t>
            </w:r>
          </w:p>
        </w:tc>
      </w:tr>
      <w:tr w14:paraId="02813F58">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2778" w:type="dxa"/>
            <w:vAlign w:val="center"/>
          </w:tcPr>
          <w:p w14:paraId="6BA5699F">
            <w:pPr>
              <w:keepNext/>
              <w:spacing w:after="0" w:line="276" w:lineRule="auto"/>
            </w:pPr>
            <w:r>
              <w:rPr>
                <w:b w:val="0"/>
                <w:sz w:val="20"/>
              </w:rPr>
              <w:t>Acute lymphoblastic leukemia</w:t>
            </w:r>
          </w:p>
        </w:tc>
        <w:tc>
          <w:tcPr>
            <w:tcW w:w="3288" w:type="dxa"/>
            <w:vAlign w:val="center"/>
          </w:tcPr>
          <w:p w14:paraId="03F3CE28">
            <w:pPr>
              <w:keepNext/>
              <w:spacing w:after="0" w:line="276" w:lineRule="auto"/>
              <w:jc w:val="center"/>
            </w:pPr>
            <w:r>
              <w:rPr>
                <w:b w:val="0"/>
                <w:sz w:val="20"/>
              </w:rPr>
              <w:t>EBV-associated lymphadenitis</w:t>
            </w:r>
          </w:p>
        </w:tc>
        <w:tc>
          <w:tcPr>
            <w:tcW w:w="1984" w:type="dxa"/>
            <w:vAlign w:val="center"/>
          </w:tcPr>
          <w:p w14:paraId="2E518430">
            <w:pPr>
              <w:keepNext/>
              <w:spacing w:after="0" w:line="276" w:lineRule="auto"/>
              <w:jc w:val="center"/>
            </w:pPr>
            <w:r>
              <w:rPr>
                <w:b w:val="0"/>
                <w:sz w:val="20"/>
              </w:rPr>
              <w:t>260</w:t>
            </w:r>
          </w:p>
        </w:tc>
        <w:tc>
          <w:tcPr>
            <w:tcW w:w="1587" w:type="dxa"/>
            <w:vAlign w:val="center"/>
          </w:tcPr>
          <w:p w14:paraId="45CCB58B">
            <w:pPr>
              <w:keepNext/>
              <w:spacing w:after="0" w:line="276" w:lineRule="auto"/>
              <w:jc w:val="center"/>
            </w:pPr>
            <w:r>
              <w:rPr>
                <w:b w:val="0"/>
                <w:sz w:val="20"/>
              </w:rPr>
              <w:t>0.839</w:t>
            </w:r>
          </w:p>
        </w:tc>
      </w:tr>
      <w:tr w14:paraId="5F75DFCC">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2778" w:type="dxa"/>
            <w:vAlign w:val="center"/>
          </w:tcPr>
          <w:p w14:paraId="1A4EA461">
            <w:pPr>
              <w:keepNext/>
              <w:spacing w:after="0" w:line="276" w:lineRule="auto"/>
            </w:pPr>
            <w:r>
              <w:rPr>
                <w:b w:val="0"/>
                <w:sz w:val="20"/>
              </w:rPr>
              <w:t>Acute lymphoblastic leukemia</w:t>
            </w:r>
          </w:p>
        </w:tc>
        <w:tc>
          <w:tcPr>
            <w:tcW w:w="3288" w:type="dxa"/>
            <w:vAlign w:val="center"/>
          </w:tcPr>
          <w:p w14:paraId="5B3B8766">
            <w:pPr>
              <w:keepNext/>
              <w:spacing w:after="0" w:line="276" w:lineRule="auto"/>
              <w:jc w:val="center"/>
            </w:pPr>
            <w:r>
              <w:rPr>
                <w:b w:val="0"/>
                <w:sz w:val="20"/>
              </w:rPr>
              <w:t>Nonspecific reactive hyperplasia</w:t>
            </w:r>
          </w:p>
        </w:tc>
        <w:tc>
          <w:tcPr>
            <w:tcW w:w="1984" w:type="dxa"/>
            <w:vAlign w:val="center"/>
          </w:tcPr>
          <w:p w14:paraId="3CABD671">
            <w:pPr>
              <w:keepNext/>
              <w:spacing w:after="0" w:line="276" w:lineRule="auto"/>
              <w:jc w:val="center"/>
            </w:pPr>
            <w:r>
              <w:rPr>
                <w:b w:val="0"/>
                <w:sz w:val="20"/>
              </w:rPr>
              <w:t>294</w:t>
            </w:r>
          </w:p>
        </w:tc>
        <w:tc>
          <w:tcPr>
            <w:tcW w:w="1587" w:type="dxa"/>
            <w:vAlign w:val="center"/>
          </w:tcPr>
          <w:p w14:paraId="3B4E4A84">
            <w:pPr>
              <w:keepNext/>
              <w:spacing w:after="0" w:line="276" w:lineRule="auto"/>
              <w:jc w:val="center"/>
            </w:pPr>
            <w:r>
              <w:rPr>
                <w:b w:val="0"/>
                <w:sz w:val="20"/>
              </w:rPr>
              <w:t>0.852</w:t>
            </w:r>
          </w:p>
        </w:tc>
      </w:tr>
      <w:tr w14:paraId="029F9457">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2778" w:type="dxa"/>
            <w:vAlign w:val="center"/>
          </w:tcPr>
          <w:p w14:paraId="5A80D967">
            <w:pPr>
              <w:keepNext/>
              <w:spacing w:after="0" w:line="276" w:lineRule="auto"/>
            </w:pPr>
            <w:r>
              <w:rPr>
                <w:b w:val="0"/>
                <w:sz w:val="20"/>
              </w:rPr>
              <w:t>Lymphoma</w:t>
            </w:r>
          </w:p>
        </w:tc>
        <w:tc>
          <w:tcPr>
            <w:tcW w:w="3288" w:type="dxa"/>
            <w:vAlign w:val="center"/>
          </w:tcPr>
          <w:p w14:paraId="05DB4585">
            <w:pPr>
              <w:keepNext/>
              <w:spacing w:after="0" w:line="276" w:lineRule="auto"/>
              <w:jc w:val="center"/>
            </w:pPr>
            <w:r>
              <w:rPr>
                <w:b w:val="0"/>
                <w:sz w:val="20"/>
              </w:rPr>
              <w:t>EBV-associated lymphadenitis</w:t>
            </w:r>
          </w:p>
        </w:tc>
        <w:tc>
          <w:tcPr>
            <w:tcW w:w="1984" w:type="dxa"/>
            <w:vAlign w:val="center"/>
          </w:tcPr>
          <w:p w14:paraId="3F42491C">
            <w:pPr>
              <w:keepNext/>
              <w:spacing w:after="0" w:line="276" w:lineRule="auto"/>
              <w:jc w:val="center"/>
            </w:pPr>
            <w:r>
              <w:rPr>
                <w:b w:val="0"/>
                <w:sz w:val="20"/>
              </w:rPr>
              <w:t>265</w:t>
            </w:r>
          </w:p>
        </w:tc>
        <w:tc>
          <w:tcPr>
            <w:tcW w:w="1587" w:type="dxa"/>
            <w:vAlign w:val="center"/>
          </w:tcPr>
          <w:p w14:paraId="11F1FEC1">
            <w:pPr>
              <w:keepNext/>
              <w:spacing w:after="0" w:line="276" w:lineRule="auto"/>
              <w:jc w:val="center"/>
            </w:pPr>
            <w:r>
              <w:rPr>
                <w:b w:val="0"/>
                <w:sz w:val="20"/>
              </w:rPr>
              <w:t>0.876</w:t>
            </w:r>
          </w:p>
        </w:tc>
      </w:tr>
      <w:tr w14:paraId="16421440">
        <w:tblPrEx>
          <w:tblBorders>
            <w:top w:val="single" w:color="B0B0B0" w:sz="4" w:space="0"/>
            <w:left w:val="single" w:color="B0B0B0" w:sz="4" w:space="0"/>
            <w:bottom w:val="single" w:color="B0B0B0" w:sz="4" w:space="0"/>
            <w:right w:val="single" w:color="B0B0B0" w:sz="4" w:space="0"/>
            <w:insideH w:val="single" w:color="B0B0B0" w:sz="4" w:space="0"/>
            <w:insideV w:val="single" w:color="B0B0B0" w:sz="4" w:space="0"/>
          </w:tblBorders>
          <w:tblCellMar>
            <w:top w:w="65" w:type="dxa"/>
            <w:left w:w="90" w:type="dxa"/>
            <w:bottom w:w="65" w:type="dxa"/>
            <w:right w:w="90" w:type="dxa"/>
          </w:tblCellMar>
        </w:tblPrEx>
        <w:trPr>
          <w:cantSplit/>
          <w:jc w:val="center"/>
        </w:trPr>
        <w:tc>
          <w:tcPr>
            <w:tcW w:w="2778" w:type="dxa"/>
            <w:vAlign w:val="center"/>
          </w:tcPr>
          <w:p w14:paraId="114BFD0C">
            <w:pPr>
              <w:keepNext w:val="0"/>
              <w:spacing w:after="0" w:line="276" w:lineRule="auto"/>
            </w:pPr>
            <w:r>
              <w:rPr>
                <w:b w:val="0"/>
                <w:sz w:val="20"/>
              </w:rPr>
              <w:t>Lymphoma</w:t>
            </w:r>
          </w:p>
        </w:tc>
        <w:tc>
          <w:tcPr>
            <w:tcW w:w="3288" w:type="dxa"/>
            <w:vAlign w:val="center"/>
          </w:tcPr>
          <w:p w14:paraId="50C61765">
            <w:pPr>
              <w:keepNext w:val="0"/>
              <w:spacing w:after="0" w:line="276" w:lineRule="auto"/>
              <w:jc w:val="center"/>
            </w:pPr>
            <w:bookmarkStart w:id="0" w:name="_GoBack"/>
            <w:bookmarkEnd w:id="0"/>
            <w:r>
              <w:rPr>
                <w:b w:val="0"/>
                <w:sz w:val="20"/>
              </w:rPr>
              <w:t>Nonspecific reactive hyperplasia</w:t>
            </w:r>
          </w:p>
        </w:tc>
        <w:tc>
          <w:tcPr>
            <w:tcW w:w="1984" w:type="dxa"/>
            <w:vAlign w:val="center"/>
          </w:tcPr>
          <w:p w14:paraId="02A22240">
            <w:pPr>
              <w:keepNext w:val="0"/>
              <w:spacing w:after="0" w:line="276" w:lineRule="auto"/>
              <w:jc w:val="center"/>
            </w:pPr>
            <w:r>
              <w:rPr>
                <w:b w:val="0"/>
                <w:sz w:val="20"/>
              </w:rPr>
              <w:t>299</w:t>
            </w:r>
          </w:p>
        </w:tc>
        <w:tc>
          <w:tcPr>
            <w:tcW w:w="1587" w:type="dxa"/>
            <w:vAlign w:val="center"/>
          </w:tcPr>
          <w:p w14:paraId="5EBDFF9D">
            <w:pPr>
              <w:keepNext w:val="0"/>
              <w:spacing w:after="0" w:line="276" w:lineRule="auto"/>
              <w:jc w:val="center"/>
            </w:pPr>
            <w:r>
              <w:rPr>
                <w:b w:val="0"/>
                <w:sz w:val="20"/>
              </w:rPr>
              <w:t>0.883</w:t>
            </w:r>
          </w:p>
        </w:tc>
      </w:tr>
    </w:tbl>
    <w:p w14:paraId="70F2AD29">
      <w:r>
        <w:t>These diagnosis-pair analyses were descriptive. EBV, Epstein-Barr virus.</w:t>
      </w:r>
    </w:p>
    <w:p w14:paraId="584792CC">
      <w:pPr>
        <w:keepNext/>
        <w:spacing w:after="60" w:line="240" w:lineRule="auto"/>
        <w:jc w:val="center"/>
      </w:pPr>
      <w:r>
        <w:drawing>
          <wp:inline distT="0" distB="0" distL="114300" distR="114300">
            <wp:extent cx="6119495" cy="3275330"/>
            <wp:effectExtent l="0" t="0" r="190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6120000" cy="3275434"/>
                    </a:xfrm>
                    <a:prstGeom prst="rect">
                      <a:avLst/>
                    </a:prstGeom>
                  </pic:spPr>
                </pic:pic>
              </a:graphicData>
            </a:graphic>
          </wp:inline>
        </w:drawing>
      </w:r>
    </w:p>
    <w:p w14:paraId="22A3E5C0">
      <w:pPr>
        <w:pStyle w:val="15"/>
      </w:pPr>
      <w:r>
        <w:t>Figure S1. Distribution of calibrated model probabilities across the four underlying diagnoses. EBV, Epstein-Barr virus; HM, hematologic malignancy.</w:t>
      </w:r>
    </w:p>
    <w:p w14:paraId="4B704F82">
      <w:pPr>
        <w:keepNext/>
        <w:spacing w:after="60" w:line="240" w:lineRule="auto"/>
        <w:jc w:val="center"/>
      </w:pPr>
      <w:r>
        <w:drawing>
          <wp:inline distT="0" distB="0" distL="114300" distR="114300">
            <wp:extent cx="6119495" cy="184150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6120000" cy="1841996"/>
                    </a:xfrm>
                    <a:prstGeom prst="rect">
                      <a:avLst/>
                    </a:prstGeom>
                  </pic:spPr>
                </pic:pic>
              </a:graphicData>
            </a:graphic>
          </wp:inline>
        </w:drawing>
      </w:r>
    </w:p>
    <w:p w14:paraId="46850231">
      <w:pPr>
        <w:pStyle w:val="15"/>
      </w:pPr>
      <w:r>
        <w:t>Figure S2. De-identified wider-field ultrasound images corresponding to the representative examples in Figure 2. Identifying screen text was removed before assembly. LN, lymph node.</w:t>
      </w:r>
    </w:p>
    <w:sectPr>
      <w:footerReference r:id="rId5" w:type="default"/>
      <w:pgSz w:w="11906" w:h="16838"/>
      <w:pgMar w:top="1134" w:right="1134" w:bottom="1134" w:left="1134" w:header="510" w:footer="51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4FA91">
    <w:pPr>
      <w:pStyle w:val="24"/>
      <w:jc w:val="center"/>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A29AC"/>
    <w:rsid w:val="00AA1D8D"/>
    <w:rsid w:val="00B47730"/>
    <w:rsid w:val="00CB0664"/>
    <w:rsid w:val="00FC693F"/>
    <w:rsid w:val="536657B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before="0" w:after="120" w:line="312" w:lineRule="auto"/>
      <w:ind w:left="0" w:right="0" w:firstLine="0"/>
    </w:pPr>
    <w:rPr>
      <w:rFonts w:ascii="Times New Roman" w:hAnsi="Times New Roman" w:eastAsia="Times New Roman" w:cs="Times New Roman"/>
      <w:color w:val="000000"/>
      <w:sz w:val="22"/>
      <w:szCs w:val="22"/>
      <w:lang w:val="en-US" w:eastAsia="en-US" w:bidi="ar-SA"/>
    </w:rPr>
  </w:style>
  <w:style w:type="paragraph" w:styleId="3">
    <w:name w:val="heading 1"/>
    <w:basedOn w:val="1"/>
    <w:next w:val="1"/>
    <w:link w:val="138"/>
    <w:qFormat/>
    <w:uiPriority w:val="9"/>
    <w:pPr>
      <w:keepNext/>
      <w:keepLines/>
      <w:pageBreakBefore w:val="0"/>
      <w:widowControl/>
      <w:spacing w:before="160" w:after="80" w:line="312" w:lineRule="auto"/>
      <w:ind w:left="0" w:right="0" w:firstLine="0"/>
      <w:outlineLvl w:val="0"/>
    </w:pPr>
    <w:rPr>
      <w:rFonts w:ascii="Times New Roman" w:hAnsi="Times New Roman" w:eastAsia="Times New Roman" w:cs="Times New Roman"/>
      <w:b/>
      <w:bCs/>
      <w:color w:val="000000"/>
      <w:sz w:val="24"/>
      <w:szCs w:val="28"/>
    </w:rPr>
  </w:style>
  <w:style w:type="paragraph" w:styleId="4">
    <w:name w:val="heading 2"/>
    <w:basedOn w:val="1"/>
    <w:next w:val="1"/>
    <w:link w:val="139"/>
    <w:unhideWhenUsed/>
    <w:qFormat/>
    <w:uiPriority w:val="9"/>
    <w:pPr>
      <w:keepNext/>
      <w:keepLines/>
      <w:pageBreakBefore w:val="0"/>
      <w:widowControl/>
      <w:spacing w:before="160" w:after="80" w:line="312" w:lineRule="auto"/>
      <w:ind w:left="0" w:right="0" w:firstLine="0"/>
      <w:outlineLvl w:val="1"/>
    </w:pPr>
    <w:rPr>
      <w:rFonts w:ascii="Times New Roman" w:hAnsi="Times New Roman" w:eastAsia="Times New Roman" w:cs="Times New Roman"/>
      <w:b/>
      <w:bCs/>
      <w:color w:val="000000"/>
      <w:sz w:val="24"/>
      <w:szCs w:val="26"/>
    </w:rPr>
  </w:style>
  <w:style w:type="paragraph" w:styleId="5">
    <w:name w:val="heading 3"/>
    <w:basedOn w:val="1"/>
    <w:next w:val="1"/>
    <w:link w:val="140"/>
    <w:unhideWhenUsed/>
    <w:qFormat/>
    <w:uiPriority w:val="9"/>
    <w:pPr>
      <w:keepNext/>
      <w:keepLines/>
      <w:widowControl/>
      <w:spacing w:before="0" w:after="120" w:line="312" w:lineRule="auto"/>
      <w:ind w:left="0" w:right="0" w:firstLine="0"/>
      <w:outlineLvl w:val="2"/>
    </w:pPr>
    <w:rPr>
      <w:rFonts w:ascii="Times New Roman" w:hAnsi="Times New Roman" w:eastAsia="Times New Roman" w:cs="Times New Roman"/>
      <w:b/>
      <w:bCs/>
      <w:color w:val="000000"/>
      <w:sz w:val="22"/>
    </w:rPr>
  </w:style>
  <w:style w:type="paragraph" w:styleId="6">
    <w:name w:val="heading 4"/>
    <w:basedOn w:val="1"/>
    <w:next w:val="1"/>
    <w:link w:val="150"/>
    <w:semiHidden/>
    <w:unhideWhenUsed/>
    <w:qFormat/>
    <w:uiPriority w:val="9"/>
    <w:pPr>
      <w:keepNext/>
      <w:keepLines/>
      <w:widowControl/>
      <w:spacing w:before="0" w:after="120" w:line="312" w:lineRule="auto"/>
      <w:ind w:left="0" w:right="0" w:firstLine="0"/>
      <w:outlineLvl w:val="3"/>
    </w:pPr>
    <w:rPr>
      <w:rFonts w:ascii="Times New Roman" w:hAnsi="Times New Roman" w:eastAsia="Times New Roman" w:cs="Times New Roman"/>
      <w:b/>
      <w:bCs/>
      <w:i/>
      <w:iCs/>
      <w:color w:val="000000"/>
      <w:sz w:val="22"/>
    </w:rPr>
  </w:style>
  <w:style w:type="paragraph" w:styleId="7">
    <w:name w:val="heading 5"/>
    <w:basedOn w:val="1"/>
    <w:next w:val="1"/>
    <w:link w:val="151"/>
    <w:semiHidden/>
    <w:unhideWhenUsed/>
    <w:qFormat/>
    <w:uiPriority w:val="9"/>
    <w:pPr>
      <w:keepNext/>
      <w:keepLines/>
      <w:widowControl/>
      <w:spacing w:before="0" w:after="120" w:line="312" w:lineRule="auto"/>
      <w:ind w:left="0" w:right="0" w:firstLine="0"/>
      <w:outlineLvl w:val="4"/>
    </w:pPr>
    <w:rPr>
      <w:rFonts w:ascii="Times New Roman" w:hAnsi="Times New Roman" w:eastAsia="Times New Roman" w:cs="Times New Roman"/>
      <w:color w:val="000000"/>
      <w:sz w:val="22"/>
    </w:rPr>
  </w:style>
  <w:style w:type="paragraph" w:styleId="8">
    <w:name w:val="heading 6"/>
    <w:basedOn w:val="1"/>
    <w:next w:val="1"/>
    <w:link w:val="152"/>
    <w:semiHidden/>
    <w:unhideWhenUsed/>
    <w:qFormat/>
    <w:uiPriority w:val="9"/>
    <w:pPr>
      <w:keepNext/>
      <w:keepLines/>
      <w:widowControl/>
      <w:spacing w:before="0" w:after="120" w:line="312" w:lineRule="auto"/>
      <w:ind w:left="0" w:right="0" w:firstLine="0"/>
      <w:outlineLvl w:val="5"/>
    </w:pPr>
    <w:rPr>
      <w:rFonts w:ascii="Times New Roman" w:hAnsi="Times New Roman" w:eastAsia="Times New Roman" w:cs="Times New Roman"/>
      <w:i/>
      <w:iCs/>
      <w:color w:val="000000"/>
      <w:sz w:val="22"/>
    </w:rPr>
  </w:style>
  <w:style w:type="paragraph" w:styleId="9">
    <w:name w:val="heading 7"/>
    <w:basedOn w:val="1"/>
    <w:next w:val="1"/>
    <w:link w:val="153"/>
    <w:semiHidden/>
    <w:unhideWhenUsed/>
    <w:qFormat/>
    <w:uiPriority w:val="9"/>
    <w:pPr>
      <w:keepNext/>
      <w:keepLines/>
      <w:widowControl/>
      <w:spacing w:before="0" w:after="120" w:line="312" w:lineRule="auto"/>
      <w:ind w:left="0" w:right="0" w:firstLine="0"/>
      <w:outlineLvl w:val="6"/>
    </w:pPr>
    <w:rPr>
      <w:rFonts w:ascii="Times New Roman" w:hAnsi="Times New Roman" w:eastAsia="Times New Roman" w:cs="Times New Roman"/>
      <w:i/>
      <w:iCs/>
      <w:color w:val="000000"/>
      <w:sz w:val="22"/>
    </w:rPr>
  </w:style>
  <w:style w:type="paragraph" w:styleId="10">
    <w:name w:val="heading 8"/>
    <w:basedOn w:val="1"/>
    <w:next w:val="1"/>
    <w:link w:val="154"/>
    <w:semiHidden/>
    <w:unhideWhenUsed/>
    <w:qFormat/>
    <w:uiPriority w:val="9"/>
    <w:pPr>
      <w:keepNext/>
      <w:keepLines/>
      <w:widowControl/>
      <w:spacing w:before="0" w:after="120" w:line="312" w:lineRule="auto"/>
      <w:ind w:left="0" w:right="0" w:firstLine="0"/>
      <w:outlineLvl w:val="7"/>
    </w:pPr>
    <w:rPr>
      <w:rFonts w:ascii="Times New Roman" w:hAnsi="Times New Roman" w:eastAsia="Times New Roman" w:cs="Times New Roman"/>
      <w:color w:val="000000"/>
      <w:sz w:val="22"/>
      <w:szCs w:val="20"/>
    </w:rPr>
  </w:style>
  <w:style w:type="paragraph" w:styleId="11">
    <w:name w:val="heading 9"/>
    <w:basedOn w:val="1"/>
    <w:next w:val="1"/>
    <w:link w:val="155"/>
    <w:semiHidden/>
    <w:unhideWhenUsed/>
    <w:qFormat/>
    <w:uiPriority w:val="9"/>
    <w:pPr>
      <w:keepNext/>
      <w:keepLines/>
      <w:widowControl/>
      <w:spacing w:before="0" w:after="120" w:line="312" w:lineRule="auto"/>
      <w:ind w:left="0" w:right="0" w:firstLine="0"/>
      <w:outlineLvl w:val="8"/>
    </w:pPr>
    <w:rPr>
      <w:rFonts w:ascii="Times New Roman" w:hAnsi="Times New Roman" w:eastAsia="Times New Roman" w:cs="Times New Roman"/>
      <w:i/>
      <w:iCs/>
      <w:color w:val="000000"/>
      <w:sz w:val="22"/>
      <w:szCs w:val="20"/>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widowControl/>
      <w:tabs>
        <w:tab w:val="left" w:pos="576"/>
        <w:tab w:val="left" w:pos="1152"/>
        <w:tab w:val="left" w:pos="1728"/>
        <w:tab w:val="left" w:pos="2304"/>
        <w:tab w:val="left" w:pos="2880"/>
        <w:tab w:val="left" w:pos="3456"/>
        <w:tab w:val="left" w:pos="4032"/>
      </w:tabs>
      <w:spacing w:before="0" w:after="120" w:line="312" w:lineRule="auto"/>
      <w:ind w:left="0" w:right="0" w:firstLine="0"/>
    </w:pPr>
    <w:rPr>
      <w:rFonts w:ascii="Times New Roman" w:hAnsi="Times New Roman" w:eastAsia="Times New Roman" w:cs="Times New Roman"/>
      <w:color w:val="000000"/>
      <w:sz w:val="22"/>
      <w:szCs w:val="20"/>
      <w:lang w:val="en-US" w:eastAsia="en-US" w:bidi="ar-SA"/>
    </w:rPr>
  </w:style>
  <w:style w:type="paragraph" w:styleId="12">
    <w:name w:val="List 3"/>
    <w:basedOn w:val="1"/>
    <w:unhideWhenUsed/>
    <w:qFormat/>
    <w:uiPriority w:val="99"/>
    <w:pPr>
      <w:widowControl/>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13">
    <w:name w:val="List Number 2"/>
    <w:basedOn w:val="1"/>
    <w:unhideWhenUsed/>
    <w:uiPriority w:val="99"/>
    <w:pPr>
      <w:widowControl/>
      <w:numPr>
        <w:ilvl w:val="0"/>
        <w:numId w:val="1"/>
      </w:numPr>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14">
    <w:name w:val="List Number"/>
    <w:basedOn w:val="1"/>
    <w:unhideWhenUsed/>
    <w:uiPriority w:val="99"/>
    <w:pPr>
      <w:widowControl/>
      <w:numPr>
        <w:ilvl w:val="0"/>
        <w:numId w:val="2"/>
      </w:numPr>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15">
    <w:name w:val="caption"/>
    <w:basedOn w:val="1"/>
    <w:next w:val="1"/>
    <w:semiHidden/>
    <w:unhideWhenUsed/>
    <w:qFormat/>
    <w:uiPriority w:val="35"/>
    <w:pPr>
      <w:widowControl/>
      <w:spacing w:before="0" w:after="120" w:line="312" w:lineRule="auto"/>
      <w:ind w:left="0" w:right="0" w:firstLine="0"/>
    </w:pPr>
    <w:rPr>
      <w:rFonts w:ascii="Times New Roman" w:hAnsi="Times New Roman" w:eastAsia="Times New Roman" w:cs="Times New Roman"/>
      <w:bCs/>
      <w:color w:val="000000"/>
      <w:sz w:val="22"/>
      <w:szCs w:val="18"/>
    </w:rPr>
  </w:style>
  <w:style w:type="paragraph" w:styleId="16">
    <w:name w:val="List Bullet"/>
    <w:basedOn w:val="1"/>
    <w:unhideWhenUsed/>
    <w:uiPriority w:val="99"/>
    <w:pPr>
      <w:widowControl/>
      <w:numPr>
        <w:ilvl w:val="0"/>
        <w:numId w:val="3"/>
      </w:numPr>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17">
    <w:name w:val="Body Text 3"/>
    <w:basedOn w:val="1"/>
    <w:link w:val="146"/>
    <w:unhideWhenUsed/>
    <w:uiPriority w:val="99"/>
    <w:pPr>
      <w:widowControl/>
      <w:spacing w:before="0" w:after="120" w:line="312" w:lineRule="auto"/>
      <w:ind w:left="0" w:right="0" w:firstLine="0"/>
    </w:pPr>
    <w:rPr>
      <w:rFonts w:ascii="Times New Roman" w:hAnsi="Times New Roman" w:eastAsia="Times New Roman" w:cs="Times New Roman"/>
      <w:color w:val="000000"/>
      <w:sz w:val="22"/>
      <w:szCs w:val="16"/>
    </w:rPr>
  </w:style>
  <w:style w:type="paragraph" w:styleId="18">
    <w:name w:val="List Bullet 3"/>
    <w:basedOn w:val="1"/>
    <w:unhideWhenUsed/>
    <w:qFormat/>
    <w:uiPriority w:val="99"/>
    <w:pPr>
      <w:widowControl/>
      <w:numPr>
        <w:ilvl w:val="0"/>
        <w:numId w:val="4"/>
      </w:numPr>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19">
    <w:name w:val="Body Text"/>
    <w:basedOn w:val="1"/>
    <w:link w:val="144"/>
    <w:unhideWhenUsed/>
    <w:uiPriority w:val="99"/>
    <w:pPr>
      <w:widowControl/>
      <w:spacing w:before="0" w:after="120" w:line="312" w:lineRule="auto"/>
      <w:ind w:left="0" w:right="0" w:firstLine="0"/>
    </w:pPr>
    <w:rPr>
      <w:rFonts w:ascii="Times New Roman" w:hAnsi="Times New Roman" w:eastAsia="Times New Roman" w:cs="Times New Roman"/>
      <w:color w:val="000000"/>
      <w:sz w:val="22"/>
    </w:rPr>
  </w:style>
  <w:style w:type="paragraph" w:styleId="20">
    <w:name w:val="List Number 3"/>
    <w:basedOn w:val="1"/>
    <w:unhideWhenUsed/>
    <w:qFormat/>
    <w:uiPriority w:val="99"/>
    <w:pPr>
      <w:widowControl/>
      <w:numPr>
        <w:ilvl w:val="0"/>
        <w:numId w:val="5"/>
      </w:numPr>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21">
    <w:name w:val="List 2"/>
    <w:basedOn w:val="1"/>
    <w:unhideWhenUsed/>
    <w:uiPriority w:val="99"/>
    <w:pPr>
      <w:widowControl/>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22">
    <w:name w:val="List Continue"/>
    <w:basedOn w:val="1"/>
    <w:unhideWhenUsed/>
    <w:uiPriority w:val="99"/>
    <w:pPr>
      <w:widowControl/>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23">
    <w:name w:val="List Bullet 2"/>
    <w:basedOn w:val="1"/>
    <w:unhideWhenUsed/>
    <w:uiPriority w:val="99"/>
    <w:pPr>
      <w:widowControl/>
      <w:numPr>
        <w:ilvl w:val="0"/>
        <w:numId w:val="6"/>
      </w:numPr>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24">
    <w:name w:val="footer"/>
    <w:basedOn w:val="1"/>
    <w:link w:val="136"/>
    <w:unhideWhenUsed/>
    <w:uiPriority w:val="99"/>
    <w:pPr>
      <w:widowControl/>
      <w:tabs>
        <w:tab w:val="center" w:pos="4680"/>
        <w:tab w:val="right" w:pos="9360"/>
      </w:tabs>
      <w:spacing w:before="0" w:after="120" w:line="240" w:lineRule="auto"/>
      <w:ind w:left="0" w:right="0" w:firstLine="0"/>
    </w:pPr>
    <w:rPr>
      <w:rFonts w:ascii="Times New Roman" w:hAnsi="Times New Roman" w:eastAsia="Times New Roman" w:cs="Times New Roman"/>
      <w:color w:val="000000"/>
      <w:sz w:val="18"/>
    </w:rPr>
  </w:style>
  <w:style w:type="paragraph" w:styleId="25">
    <w:name w:val="header"/>
    <w:basedOn w:val="1"/>
    <w:link w:val="135"/>
    <w:unhideWhenUsed/>
    <w:uiPriority w:val="99"/>
    <w:pPr>
      <w:widowControl/>
      <w:tabs>
        <w:tab w:val="center" w:pos="4680"/>
        <w:tab w:val="right" w:pos="9360"/>
      </w:tabs>
      <w:spacing w:before="0" w:after="120" w:line="240" w:lineRule="auto"/>
      <w:ind w:left="0" w:right="0" w:firstLine="0"/>
    </w:pPr>
    <w:rPr>
      <w:rFonts w:ascii="Times New Roman" w:hAnsi="Times New Roman" w:eastAsia="Times New Roman" w:cs="Times New Roman"/>
      <w:color w:val="000000"/>
      <w:sz w:val="18"/>
    </w:rPr>
  </w:style>
  <w:style w:type="paragraph" w:styleId="26">
    <w:name w:val="Subtitle"/>
    <w:basedOn w:val="1"/>
    <w:next w:val="1"/>
    <w:link w:val="142"/>
    <w:qFormat/>
    <w:uiPriority w:val="11"/>
    <w:pPr>
      <w:widowControl/>
      <w:spacing w:before="0" w:after="120" w:line="312" w:lineRule="auto"/>
      <w:ind w:left="0" w:right="0" w:firstLine="0"/>
    </w:pPr>
    <w:rPr>
      <w:rFonts w:ascii="Times New Roman" w:hAnsi="Times New Roman" w:eastAsia="Times New Roman" w:cs="Times New Roman"/>
      <w:i/>
      <w:iCs/>
      <w:color w:val="000000"/>
      <w:spacing w:val="15"/>
      <w:sz w:val="22"/>
      <w:szCs w:val="24"/>
    </w:rPr>
  </w:style>
  <w:style w:type="paragraph" w:styleId="27">
    <w:name w:val="List"/>
    <w:basedOn w:val="1"/>
    <w:unhideWhenUsed/>
    <w:uiPriority w:val="99"/>
    <w:pPr>
      <w:widowControl/>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28">
    <w:name w:val="Body Text 2"/>
    <w:basedOn w:val="1"/>
    <w:link w:val="145"/>
    <w:unhideWhenUsed/>
    <w:qFormat/>
    <w:uiPriority w:val="99"/>
    <w:pPr>
      <w:widowControl/>
      <w:spacing w:before="0" w:after="120" w:line="312" w:lineRule="auto"/>
      <w:ind w:left="0" w:right="0" w:firstLine="0"/>
    </w:pPr>
    <w:rPr>
      <w:rFonts w:ascii="Times New Roman" w:hAnsi="Times New Roman" w:eastAsia="Times New Roman" w:cs="Times New Roman"/>
      <w:color w:val="000000"/>
      <w:sz w:val="22"/>
    </w:rPr>
  </w:style>
  <w:style w:type="paragraph" w:styleId="29">
    <w:name w:val="List Continue 2"/>
    <w:basedOn w:val="1"/>
    <w:unhideWhenUsed/>
    <w:uiPriority w:val="99"/>
    <w:pPr>
      <w:widowControl/>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30">
    <w:name w:val="List Continue 3"/>
    <w:basedOn w:val="1"/>
    <w:unhideWhenUsed/>
    <w:uiPriority w:val="99"/>
    <w:pPr>
      <w:widowControl/>
      <w:spacing w:before="0" w:after="120" w:line="312" w:lineRule="auto"/>
      <w:ind w:left="0" w:right="0" w:firstLine="0"/>
      <w:contextualSpacing/>
    </w:pPr>
    <w:rPr>
      <w:rFonts w:ascii="Times New Roman" w:hAnsi="Times New Roman" w:eastAsia="Times New Roman" w:cs="Times New Roman"/>
      <w:color w:val="000000"/>
      <w:sz w:val="22"/>
    </w:rPr>
  </w:style>
  <w:style w:type="paragraph" w:styleId="31">
    <w:name w:val="Title"/>
    <w:basedOn w:val="1"/>
    <w:next w:val="1"/>
    <w:link w:val="141"/>
    <w:qFormat/>
    <w:uiPriority w:val="10"/>
    <w:pPr>
      <w:keepNext/>
      <w:pageBreakBefore w:val="0"/>
      <w:widowControl/>
      <w:spacing w:before="0" w:after="80" w:line="276" w:lineRule="auto"/>
      <w:ind w:left="0" w:right="0" w:firstLine="0"/>
      <w:contextualSpacing/>
    </w:pPr>
    <w:rPr>
      <w:rFonts w:ascii="Times New Roman" w:hAnsi="Times New Roman" w:eastAsia="Times New Roman" w:cs="Times New Roman"/>
      <w:b/>
      <w:color w:val="000000"/>
      <w:spacing w:val="5"/>
      <w:kern w:val="28"/>
      <w:sz w:val="28"/>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widowControl/>
      <w:spacing w:before="0" w:after="120" w:line="312" w:lineRule="auto"/>
      <w:ind w:left="0" w:right="0" w:firstLine="0"/>
    </w:pPr>
    <w:rPr>
      <w:rFonts w:ascii="Times New Roman" w:hAnsi="Times New Roman" w:eastAsia="Times New Roman" w:cs="Times New Roman"/>
      <w:color w:val="000000"/>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widowControl/>
      <w:spacing w:before="0" w:after="120" w:line="312" w:lineRule="auto"/>
      <w:ind w:left="0" w:right="0" w:firstLine="0"/>
      <w:contextualSpacing/>
    </w:pPr>
    <w:rPr>
      <w:rFonts w:ascii="Times New Roman" w:hAnsi="Times New Roman" w:eastAsia="Times New Roman" w:cs="Times New Roman"/>
      <w:color w:val="000000"/>
      <w:sz w:val="22"/>
    </w:r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pPr>
      <w:widowControl/>
      <w:spacing w:before="0" w:after="120" w:line="312" w:lineRule="auto"/>
      <w:ind w:left="0" w:right="0" w:firstLine="0"/>
    </w:pPr>
    <w:rPr>
      <w:rFonts w:ascii="Times New Roman" w:hAnsi="Times New Roman" w:eastAsia="Times New Roman" w:cs="Times New Roman"/>
      <w:i/>
      <w:iCs/>
      <w:color w:val="000000"/>
      <w:sz w:val="22"/>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widowControl/>
      <w:spacing w:before="0" w:after="120" w:line="312" w:lineRule="auto"/>
      <w:ind w:left="0" w:right="0" w:firstLine="0"/>
    </w:pPr>
    <w:rPr>
      <w:rFonts w:ascii="Times New Roman" w:hAnsi="Times New Roman" w:eastAsia="Times New Roman" w:cs="Times New Roman"/>
      <w:b/>
      <w:bCs/>
      <w:i/>
      <w:iCs/>
      <w:color w:val="000000"/>
      <w:sz w:val="22"/>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widowControl/>
      <w:spacing w:before="0" w:after="120" w:line="312" w:lineRule="auto"/>
      <w:ind w:left="0" w:right="0" w:firstLine="0"/>
      <w:outlineLvl w:val="9"/>
    </w:pPr>
    <w:rPr>
      <w:rFonts w:ascii="Times New Roman" w:hAnsi="Times New Roman" w:eastAsia="Times New Roman" w:cs="Times New Roman"/>
      <w:color w:val="000000"/>
      <w:sz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294</Words>
  <Characters>1786</Characters>
  <Lines>0</Lines>
  <Paragraphs>0</Paragraphs>
  <TotalTime>0</TotalTime>
  <ScaleCrop>false</ScaleCrop>
  <LinksUpToDate>false</LinksUpToDate>
  <CharactersWithSpaces>1968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Zhiqing Wu and co-authors</dc:creator>
  <dc:description>generated by python-docx</dc:description>
  <cp:keywords>BMC Medical Imaging; ultrasound; pediatric lymphadenopathy; deep learning</cp:keywords>
  <cp:lastModifiedBy>Simple Bright</cp:lastModifiedBy>
  <dcterms:modified xsi:type="dcterms:W3CDTF">2026-09-27T14:16:36Z</dcterms:modified>
  <dc:subject>BMC Medical Imaging submission</dc:subject>
  <dc:title>Additional file 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eyJoZGlkIjoiZGEwNzY0Yzc5NjE5MDVhMjFmYTg1OTAwODY5MTBiYTgiLCJ1c2VySWQiOiI2NDI0NDYxNjIifQ==</vt:lpwstr>
  </property>
  <property fmtid="{D5CDD505-2E9C-101B-9397-08002B2CF9AE}" pid="3" name="KSOProductBuildVer">
    <vt:lpwstr>2052-12.1.0.29161</vt:lpwstr>
  </property>
  <property fmtid="{D5CDD505-2E9C-101B-9397-08002B2CF9AE}" pid="4" name="ICV">
    <vt:lpwstr>815DC914DA754E58B820A11D562BEDB8_13</vt:lpwstr>
  </property>
</Properties>
</file>