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2AF" w:rsidRDefault="00A10F34">
      <w:pPr>
        <w:spacing w:after="400"/>
        <w:jc w:val="center"/>
      </w:pPr>
      <w:bookmarkStart w:id="0" w:name="_GoBack"/>
      <w:bookmarkEnd w:id="0"/>
      <w:r>
        <w:rPr>
          <w:b/>
          <w:bCs/>
          <w:sz w:val="34"/>
          <w:szCs w:val="34"/>
        </w:rPr>
        <w:t>Maternal Pregnancy Complications and Child Growth Trajectories from Birth to Age Five: A Population-Based Cohort Study of 548,318 Mother–Child Pairs</w:t>
      </w:r>
    </w:p>
    <w:p w:rsidR="00F442AF" w:rsidRDefault="00A10F34">
      <w:pPr>
        <w:spacing w:after="60"/>
        <w:jc w:val="center"/>
      </w:pPr>
      <w:r>
        <w:rPr>
          <w:b/>
          <w:bCs/>
          <w:sz w:val="24"/>
          <w:szCs w:val="24"/>
        </w:rPr>
        <w:t>Online Resource 1 – Extended methods and supplementary results</w:t>
      </w:r>
    </w:p>
    <w:p w:rsidR="00F442AF" w:rsidRDefault="00A10F34">
      <w:pPr>
        <w:spacing w:after="60"/>
        <w:jc w:val="center"/>
      </w:pPr>
      <w:r>
        <w:rPr>
          <w:sz w:val="22"/>
          <w:szCs w:val="22"/>
        </w:rPr>
        <w:t>Material moved from the main manuscript to meet the European Journal of Pediatrics word limit. To be appended to the existing supplementary file.</w:t>
      </w:r>
    </w:p>
    <w:p w:rsidR="00F442AF" w:rsidRDefault="00A10F34">
      <w:pPr>
        <w:pStyle w:val="Heading1"/>
        <w:spacing w:before="320" w:after="160"/>
      </w:pPr>
      <w:r>
        <w:rPr>
          <w:b/>
          <w:bCs/>
          <w:sz w:val="28"/>
          <w:szCs w:val="28"/>
        </w:rPr>
        <w:t>S1. Extended methods</w:t>
      </w:r>
    </w:p>
    <w:p w:rsidR="00F442AF" w:rsidRDefault="00A10F34">
      <w:pPr>
        <w:pStyle w:val="Heading2"/>
        <w:spacing w:before="280" w:after="120"/>
      </w:pPr>
      <w:r>
        <w:rPr>
          <w:b/>
          <w:bCs/>
          <w:sz w:val="24"/>
          <w:szCs w:val="24"/>
        </w:rPr>
        <w:t>Data source and study population</w:t>
      </w:r>
    </w:p>
    <w:p w:rsidR="00F442AF" w:rsidRDefault="00A10F34">
      <w:pPr>
        <w:spacing w:after="200" w:line="360" w:lineRule="auto"/>
        <w:jc w:val="both"/>
      </w:pPr>
      <w:r>
        <w:rPr>
          <w:sz w:val="24"/>
          <w:szCs w:val="24"/>
        </w:rPr>
        <w:t xml:space="preserve">Data were drawn from </w:t>
      </w:r>
      <w:proofErr w:type="spellStart"/>
      <w:r>
        <w:rPr>
          <w:sz w:val="24"/>
          <w:szCs w:val="24"/>
        </w:rPr>
        <w:t>Sina</w:t>
      </w:r>
      <w:proofErr w:type="spellEnd"/>
      <w:r>
        <w:rPr>
          <w:sz w:val="24"/>
          <w:szCs w:val="24"/>
        </w:rPr>
        <w:t xml:space="preserve">, a regional maternal-child health information system covering the full population served by Mashhad University of Medical Sciences (MUMS), northeastern Iran, distinct from but periodically synchronized with Iran's national Integrated Health System (Sib). The MUMS catchment population is approximately 5.5 million, officially reported as 80% of </w:t>
      </w:r>
      <w:proofErr w:type="spellStart"/>
      <w:r>
        <w:rPr>
          <w:sz w:val="24"/>
          <w:szCs w:val="24"/>
        </w:rPr>
        <w:t>Razavi</w:t>
      </w:r>
      <w:proofErr w:type="spellEnd"/>
      <w:r>
        <w:rPr>
          <w:sz w:val="24"/>
          <w:szCs w:val="24"/>
        </w:rPr>
        <w:t xml:space="preserve"> Khorasan province's 6.87 million residents, across the 17 counties served by MUMS's health network: Mashhad, the provincial capital, itself subdivided into five urban health districts, plus </w:t>
      </w:r>
      <w:proofErr w:type="spellStart"/>
      <w:r>
        <w:rPr>
          <w:sz w:val="24"/>
          <w:szCs w:val="24"/>
        </w:rPr>
        <w:t>Bakharz</w:t>
      </w:r>
      <w:proofErr w:type="spellEnd"/>
      <w:r>
        <w:rPr>
          <w:sz w:val="24"/>
          <w:szCs w:val="24"/>
        </w:rPr>
        <w:t xml:space="preserve">, </w:t>
      </w:r>
      <w:proofErr w:type="spellStart"/>
      <w:r>
        <w:rPr>
          <w:sz w:val="24"/>
          <w:szCs w:val="24"/>
        </w:rPr>
        <w:t>Bardaskan</w:t>
      </w:r>
      <w:proofErr w:type="spellEnd"/>
      <w:r>
        <w:rPr>
          <w:sz w:val="24"/>
          <w:szCs w:val="24"/>
        </w:rPr>
        <w:t xml:space="preserve">, </w:t>
      </w:r>
      <w:proofErr w:type="spellStart"/>
      <w:r>
        <w:rPr>
          <w:sz w:val="24"/>
          <w:szCs w:val="24"/>
        </w:rPr>
        <w:t>Taybad</w:t>
      </w:r>
      <w:proofErr w:type="spellEnd"/>
      <w:r>
        <w:rPr>
          <w:sz w:val="24"/>
          <w:szCs w:val="24"/>
        </w:rPr>
        <w:t xml:space="preserve">, </w:t>
      </w:r>
      <w:proofErr w:type="spellStart"/>
      <w:r>
        <w:rPr>
          <w:sz w:val="24"/>
          <w:szCs w:val="24"/>
        </w:rPr>
        <w:t>Chenaran</w:t>
      </w:r>
      <w:proofErr w:type="spellEnd"/>
      <w:r>
        <w:rPr>
          <w:sz w:val="24"/>
          <w:szCs w:val="24"/>
        </w:rPr>
        <w:t xml:space="preserve">, Khalilabad, </w:t>
      </w:r>
      <w:proofErr w:type="spellStart"/>
      <w:r>
        <w:rPr>
          <w:sz w:val="24"/>
          <w:szCs w:val="24"/>
        </w:rPr>
        <w:t>Khaf</w:t>
      </w:r>
      <w:proofErr w:type="spellEnd"/>
      <w:r>
        <w:rPr>
          <w:sz w:val="24"/>
          <w:szCs w:val="24"/>
        </w:rPr>
        <w:t xml:space="preserve">, </w:t>
      </w:r>
      <w:proofErr w:type="spellStart"/>
      <w:r>
        <w:rPr>
          <w:sz w:val="24"/>
          <w:szCs w:val="24"/>
        </w:rPr>
        <w:t>Dargaz</w:t>
      </w:r>
      <w:proofErr w:type="spellEnd"/>
      <w:r>
        <w:rPr>
          <w:sz w:val="24"/>
          <w:szCs w:val="24"/>
        </w:rPr>
        <w:t xml:space="preserve">, </w:t>
      </w:r>
      <w:proofErr w:type="spellStart"/>
      <w:r>
        <w:rPr>
          <w:sz w:val="24"/>
          <w:szCs w:val="24"/>
        </w:rPr>
        <w:t>Rashtkhar</w:t>
      </w:r>
      <w:proofErr w:type="spellEnd"/>
      <w:r>
        <w:rPr>
          <w:sz w:val="24"/>
          <w:szCs w:val="24"/>
        </w:rPr>
        <w:t xml:space="preserve">, </w:t>
      </w:r>
      <w:proofErr w:type="spellStart"/>
      <w:r>
        <w:rPr>
          <w:sz w:val="24"/>
          <w:szCs w:val="24"/>
        </w:rPr>
        <w:t>Sarakhs</w:t>
      </w:r>
      <w:proofErr w:type="spellEnd"/>
      <w:r>
        <w:rPr>
          <w:sz w:val="24"/>
          <w:szCs w:val="24"/>
        </w:rPr>
        <w:t xml:space="preserve">, </w:t>
      </w:r>
      <w:proofErr w:type="spellStart"/>
      <w:r>
        <w:rPr>
          <w:sz w:val="24"/>
          <w:szCs w:val="24"/>
        </w:rPr>
        <w:t>Torghabeh-Shandiz</w:t>
      </w:r>
      <w:proofErr w:type="spellEnd"/>
      <w:r>
        <w:rPr>
          <w:sz w:val="24"/>
          <w:szCs w:val="24"/>
        </w:rPr>
        <w:t xml:space="preserve">, </w:t>
      </w:r>
      <w:proofErr w:type="spellStart"/>
      <w:r>
        <w:rPr>
          <w:sz w:val="24"/>
          <w:szCs w:val="24"/>
        </w:rPr>
        <w:t>Fariman</w:t>
      </w:r>
      <w:proofErr w:type="spellEnd"/>
      <w:r>
        <w:rPr>
          <w:sz w:val="24"/>
          <w:szCs w:val="24"/>
        </w:rPr>
        <w:t xml:space="preserve">, </w:t>
      </w:r>
      <w:proofErr w:type="spellStart"/>
      <w:r>
        <w:rPr>
          <w:sz w:val="24"/>
          <w:szCs w:val="24"/>
        </w:rPr>
        <w:t>Quchan</w:t>
      </w:r>
      <w:proofErr w:type="spellEnd"/>
      <w:r>
        <w:rPr>
          <w:sz w:val="24"/>
          <w:szCs w:val="24"/>
        </w:rPr>
        <w:t xml:space="preserve">, </w:t>
      </w:r>
      <w:proofErr w:type="spellStart"/>
      <w:r>
        <w:rPr>
          <w:sz w:val="24"/>
          <w:szCs w:val="24"/>
        </w:rPr>
        <w:t>Kashmar</w:t>
      </w:r>
      <w:proofErr w:type="spellEnd"/>
      <w:r>
        <w:rPr>
          <w:sz w:val="24"/>
          <w:szCs w:val="24"/>
        </w:rPr>
        <w:t xml:space="preserve">, </w:t>
      </w:r>
      <w:proofErr w:type="spellStart"/>
      <w:r>
        <w:rPr>
          <w:sz w:val="24"/>
          <w:szCs w:val="24"/>
        </w:rPr>
        <w:t>Koohsorkh</w:t>
      </w:r>
      <w:proofErr w:type="spellEnd"/>
      <w:r>
        <w:rPr>
          <w:sz w:val="24"/>
          <w:szCs w:val="24"/>
        </w:rPr>
        <w:t xml:space="preserve">, </w:t>
      </w:r>
      <w:proofErr w:type="spellStart"/>
      <w:r>
        <w:rPr>
          <w:sz w:val="24"/>
          <w:szCs w:val="24"/>
        </w:rPr>
        <w:t>Kalat</w:t>
      </w:r>
      <w:proofErr w:type="spellEnd"/>
      <w:r>
        <w:rPr>
          <w:sz w:val="24"/>
          <w:szCs w:val="24"/>
        </w:rPr>
        <w:t xml:space="preserve">, and </w:t>
      </w:r>
      <w:proofErr w:type="spellStart"/>
      <w:r>
        <w:rPr>
          <w:sz w:val="24"/>
          <w:szCs w:val="24"/>
        </w:rPr>
        <w:t>Golbahar</w:t>
      </w:r>
      <w:proofErr w:type="spellEnd"/>
      <w:r>
        <w:rPr>
          <w:sz w:val="24"/>
          <w:szCs w:val="24"/>
        </w:rPr>
        <w:t xml:space="preserve">. The remaining </w:t>
      </w:r>
      <w:proofErr w:type="spellStart"/>
      <w:r>
        <w:rPr>
          <w:sz w:val="24"/>
          <w:szCs w:val="24"/>
        </w:rPr>
        <w:t>Razavi</w:t>
      </w:r>
      <w:proofErr w:type="spellEnd"/>
      <w:r>
        <w:rPr>
          <w:sz w:val="24"/>
          <w:szCs w:val="24"/>
        </w:rPr>
        <w:t xml:space="preserve"> Khorasan counties, including </w:t>
      </w:r>
      <w:proofErr w:type="spellStart"/>
      <w:r>
        <w:rPr>
          <w:sz w:val="24"/>
          <w:szCs w:val="24"/>
        </w:rPr>
        <w:t>Neyshabur</w:t>
      </w:r>
      <w:proofErr w:type="spellEnd"/>
      <w:r>
        <w:rPr>
          <w:sz w:val="24"/>
          <w:szCs w:val="24"/>
        </w:rPr>
        <w:t xml:space="preserve">, </w:t>
      </w:r>
      <w:proofErr w:type="spellStart"/>
      <w:r>
        <w:rPr>
          <w:sz w:val="24"/>
          <w:szCs w:val="24"/>
        </w:rPr>
        <w:t>Sabzevar</w:t>
      </w:r>
      <w:proofErr w:type="spellEnd"/>
      <w:r>
        <w:rPr>
          <w:sz w:val="24"/>
          <w:szCs w:val="24"/>
        </w:rPr>
        <w:t xml:space="preserve">, </w:t>
      </w:r>
      <w:proofErr w:type="spellStart"/>
      <w:r>
        <w:rPr>
          <w:sz w:val="24"/>
          <w:szCs w:val="24"/>
        </w:rPr>
        <w:t>Torbat</w:t>
      </w:r>
      <w:proofErr w:type="spellEnd"/>
      <w:r>
        <w:rPr>
          <w:sz w:val="24"/>
          <w:szCs w:val="24"/>
        </w:rPr>
        <w:t xml:space="preserve"> </w:t>
      </w:r>
      <w:proofErr w:type="spellStart"/>
      <w:r>
        <w:rPr>
          <w:sz w:val="24"/>
          <w:szCs w:val="24"/>
        </w:rPr>
        <w:t>Heydarieh</w:t>
      </w:r>
      <w:proofErr w:type="spellEnd"/>
      <w:r>
        <w:rPr>
          <w:sz w:val="24"/>
          <w:szCs w:val="24"/>
        </w:rPr>
        <w:t xml:space="preserve">, </w:t>
      </w:r>
      <w:proofErr w:type="spellStart"/>
      <w:r>
        <w:rPr>
          <w:sz w:val="24"/>
          <w:szCs w:val="24"/>
        </w:rPr>
        <w:t>Gonabad</w:t>
      </w:r>
      <w:proofErr w:type="spellEnd"/>
      <w:r>
        <w:rPr>
          <w:sz w:val="24"/>
          <w:szCs w:val="24"/>
        </w:rPr>
        <w:t xml:space="preserve">, and </w:t>
      </w:r>
      <w:proofErr w:type="spellStart"/>
      <w:r>
        <w:rPr>
          <w:sz w:val="24"/>
          <w:szCs w:val="24"/>
        </w:rPr>
        <w:t>Torbat</w:t>
      </w:r>
      <w:proofErr w:type="spellEnd"/>
      <w:r>
        <w:rPr>
          <w:sz w:val="24"/>
          <w:szCs w:val="24"/>
        </w:rPr>
        <w:t xml:space="preserve"> Jam, are served by their own separate medical universities and are not part of the MUMS catchment. Four of these 17 counties directly border Afghanistan (</w:t>
      </w:r>
      <w:proofErr w:type="spellStart"/>
      <w:r>
        <w:rPr>
          <w:sz w:val="24"/>
          <w:szCs w:val="24"/>
        </w:rPr>
        <w:t>Taybad</w:t>
      </w:r>
      <w:proofErr w:type="spellEnd"/>
      <w:r>
        <w:rPr>
          <w:sz w:val="24"/>
          <w:szCs w:val="24"/>
        </w:rPr>
        <w:t xml:space="preserve">, </w:t>
      </w:r>
      <w:proofErr w:type="spellStart"/>
      <w:r>
        <w:rPr>
          <w:sz w:val="24"/>
          <w:szCs w:val="24"/>
        </w:rPr>
        <w:t>Khaf</w:t>
      </w:r>
      <w:proofErr w:type="spellEnd"/>
      <w:r>
        <w:rPr>
          <w:sz w:val="24"/>
          <w:szCs w:val="24"/>
        </w:rPr>
        <w:t xml:space="preserve">, </w:t>
      </w:r>
      <w:proofErr w:type="spellStart"/>
      <w:r>
        <w:rPr>
          <w:sz w:val="24"/>
          <w:szCs w:val="24"/>
        </w:rPr>
        <w:t>Bakharz</w:t>
      </w:r>
      <w:proofErr w:type="spellEnd"/>
      <w:r>
        <w:rPr>
          <w:sz w:val="24"/>
          <w:szCs w:val="24"/>
        </w:rPr>
        <w:t>) or Turkmenistan (</w:t>
      </w:r>
      <w:proofErr w:type="spellStart"/>
      <w:r>
        <w:rPr>
          <w:sz w:val="24"/>
          <w:szCs w:val="24"/>
        </w:rPr>
        <w:t>Dargaz</w:t>
      </w:r>
      <w:proofErr w:type="spellEnd"/>
      <w:r>
        <w:rPr>
          <w:sz w:val="24"/>
          <w:szCs w:val="24"/>
        </w:rPr>
        <w:t xml:space="preserve">, </w:t>
      </w:r>
      <w:proofErr w:type="spellStart"/>
      <w:r>
        <w:rPr>
          <w:sz w:val="24"/>
          <w:szCs w:val="24"/>
        </w:rPr>
        <w:t>Sarakhs</w:t>
      </w:r>
      <w:proofErr w:type="spellEnd"/>
      <w:r>
        <w:rPr>
          <w:sz w:val="24"/>
          <w:szCs w:val="24"/>
        </w:rPr>
        <w:t xml:space="preserve">, </w:t>
      </w:r>
      <w:proofErr w:type="spellStart"/>
      <w:r>
        <w:rPr>
          <w:sz w:val="24"/>
          <w:szCs w:val="24"/>
        </w:rPr>
        <w:t>Kalat</w:t>
      </w:r>
      <w:proofErr w:type="spellEnd"/>
      <w:r>
        <w:rPr>
          <w:sz w:val="24"/>
          <w:szCs w:val="24"/>
        </w:rPr>
        <w:t xml:space="preserve">), relevant to this registry's inclusion of non-Iranian nationals (below) and to a somewhat higher rural proportion than province-wide estimates, since these border counties are predominantly rural. Official estimates place the MUMS catchment population at approximately 80-85% urban and 15-20% rural, though the registry's own recorded urban/rural split was 74.7%/25.3%, a discrepancy most plausibly explained by differential capture rather than a true demographic difference: because this registry draws specifically from the public primary health care network (health houses, health posts, and comprehensive health centers), and rural families have comparatively fewer private-sector alternatives for antenatal and delivery care than urban families, rural births are likely captured more completely by this registry than urban births, some of which may occur outside this specific network (see main text, Discussion). Data are collected through Iran's tiered primary health care network (approximately 500-600 health </w:t>
      </w:r>
      <w:r>
        <w:rPr>
          <w:sz w:val="24"/>
          <w:szCs w:val="24"/>
        </w:rPr>
        <w:lastRenderedPageBreak/>
        <w:t>houses, 200-250 health posts, and 100-120 comprehensive health centers) as part of routine antenatal and child health surveillance. This analysis is a complete census, not a sample, of all pregnancies recorded in this network between the Iranian solar years 1396 and 1403 (approximately 2017-2025 in the Gregorian calendar; dates reflect actual pregnancy/delivery dates, not data-entry dates), irrespective of maternal nationality (non-Iranian nationals, predominantly Afghan, comprised under 5% of registered mothers). The cohort comprises 548,318 mother-child pairs with growth measurements recorded at 15 scheduled visits from 3 days to 5 years of age, across 137 recorded fields spanning pregnancy history, delivery, and follow-up. Antenatal Edinburgh Postnatal Depression Scale (EPDS) assessments were also included, recorded within the same registry export as all other variables (see Exposure and covariate definitions below).</w:t>
      </w:r>
    </w:p>
    <w:p w:rsidR="00F442AF" w:rsidRDefault="00A10F34">
      <w:pPr>
        <w:pStyle w:val="Heading2"/>
        <w:spacing w:before="280" w:after="120"/>
      </w:pPr>
      <w:r>
        <w:rPr>
          <w:b/>
          <w:bCs/>
          <w:sz w:val="24"/>
          <w:szCs w:val="24"/>
        </w:rPr>
        <w:t>Exposure and covariate definitions</w:t>
      </w:r>
    </w:p>
    <w:p w:rsidR="00F442AF" w:rsidRDefault="00A10F34">
      <w:pPr>
        <w:spacing w:after="200" w:line="360" w:lineRule="auto"/>
        <w:jc w:val="both"/>
      </w:pPr>
      <w:r>
        <w:rPr>
          <w:sz w:val="24"/>
          <w:szCs w:val="24"/>
        </w:rPr>
        <w:t>Maternal medical conditions were coded as binary indicators from the source registry using the following ascertainment criteria: gestational diabetes (onset after 20 weeks' gestation, not including pre-existing or undiagnosed pre-pregnancy diabetes) was ascertained via a one-step 75g oral glucose tolerance test (OGTT) per IADPSG/Iranian Ministry of Health criteria (fasting ≥92 mg/</w:t>
      </w:r>
      <w:proofErr w:type="spellStart"/>
      <w:r>
        <w:rPr>
          <w:sz w:val="24"/>
          <w:szCs w:val="24"/>
        </w:rPr>
        <w:t>dL</w:t>
      </w:r>
      <w:proofErr w:type="spellEnd"/>
      <w:r>
        <w:rPr>
          <w:sz w:val="24"/>
          <w:szCs w:val="24"/>
        </w:rPr>
        <w:t>, 1-hour ≥180 mg/</w:t>
      </w:r>
      <w:proofErr w:type="spellStart"/>
      <w:r>
        <w:rPr>
          <w:sz w:val="24"/>
          <w:szCs w:val="24"/>
        </w:rPr>
        <w:t>dL</w:t>
      </w:r>
      <w:proofErr w:type="spellEnd"/>
      <w:r>
        <w:rPr>
          <w:sz w:val="24"/>
          <w:szCs w:val="24"/>
        </w:rPr>
        <w:t>, or 2-hour ≥153 mg/</w:t>
      </w:r>
      <w:proofErr w:type="spellStart"/>
      <w:r>
        <w:rPr>
          <w:sz w:val="24"/>
          <w:szCs w:val="24"/>
        </w:rPr>
        <w:t>dL</w:t>
      </w:r>
      <w:proofErr w:type="spellEnd"/>
      <w:r>
        <w:rPr>
          <w:sz w:val="24"/>
          <w:szCs w:val="24"/>
        </w:rPr>
        <w:t>; any one value diagnostic); anemia was ascertained via laboratory hemoglobin testing using trimester-specific WHO thresholds (hemoglobin &lt;11 g/</w:t>
      </w:r>
      <w:proofErr w:type="spellStart"/>
      <w:r>
        <w:rPr>
          <w:sz w:val="24"/>
          <w:szCs w:val="24"/>
        </w:rPr>
        <w:t>dL</w:t>
      </w:r>
      <w:proofErr w:type="spellEnd"/>
      <w:r>
        <w:rPr>
          <w:sz w:val="24"/>
          <w:szCs w:val="24"/>
        </w:rPr>
        <w:t xml:space="preserve"> in the first and third trimesters; &lt;10.5 g/</w:t>
      </w:r>
      <w:proofErr w:type="spellStart"/>
      <w:r>
        <w:rPr>
          <w:sz w:val="24"/>
          <w:szCs w:val="24"/>
        </w:rPr>
        <w:t>dL</w:t>
      </w:r>
      <w:proofErr w:type="spellEnd"/>
      <w:r>
        <w:rPr>
          <w:sz w:val="24"/>
          <w:szCs w:val="24"/>
        </w:rPr>
        <w:t xml:space="preserve"> in the second trimester). The registry field specifically labeled for preeclampsia was confirmed to capture only postpartum-onset preeclampsia and was positive in just 19 of 548,318 records (0.003%), an implausibly low prevalence for the antepartum condition and too rare for any meaningful analysis; this field was therefore retained only as an unusable secondary check (see main text) rather than as the primary hypertensive-disorder exposure. In its place, we defined a substantially better-powered composite exposure, hypertensive disorders of pregnancy (HDP), as a binary indicator for either of two available registry fields, both ascertained at a blood pressure threshold of ≥140/90 mmHg: a chronic/pre-existing hypertension flag predating pregnancy (n=9,095) or a specifically coded new-onset gestational hypertension field, defined as onset after 20 weeks' gestation (n=3,606), which overlapped only partially (2,273 records positive on both), yielding a combined HDP indicator positive in 10,428 records (1.9%). Because neither underlying field required proteinuria or another end-organ criterion, HDP is not equivalent to a strict clinical preeclampsia diagnosis; it </w:t>
      </w:r>
      <w:r>
        <w:rPr>
          <w:sz w:val="24"/>
          <w:szCs w:val="24"/>
        </w:rPr>
        <w:lastRenderedPageBreak/>
        <w:t xml:space="preserve">corresponds to the broader, clinically recognized category of hypertensive disorders of pregnancy (encompassing chronic hypertension, gestational hypertension, preeclampsia, and related diagnoses), and is reported and interpreted as such throughout this manuscript (see main text, Discussion). Nutritional/economic variables comprised self-reported pre-pregnancy body mass index (BMI, restricted to a physiologically plausible range of 10-60), total folic acid tablets consumed across pregnancy, and a food insecurity score (14.5% complete in the source data) based on the USDA Household Food Security Survey Module, adapted into Persian. Psychosocial variables comprised a domestic violence score, adapted from the WHO Multi-country Study on Women's Health and Domestic Violence instrument as integrated into Iran's </w:t>
      </w:r>
      <w:proofErr w:type="spellStart"/>
      <w:r>
        <w:rPr>
          <w:sz w:val="24"/>
          <w:szCs w:val="24"/>
        </w:rPr>
        <w:t>Sina</w:t>
      </w:r>
      <w:proofErr w:type="spellEnd"/>
      <w:r>
        <w:rPr>
          <w:sz w:val="24"/>
          <w:szCs w:val="24"/>
        </w:rPr>
        <w:t xml:space="preserve">/Sib prenatal care forms, and a Healthy Lifestyle Score constructed across six domains (smoking, physical activity, diet, BMI, sleep, and sedentary behavior), each scored 0-2 and summed to a 0-12 scale (values above 12, present in 0.015% of records, were treated as implausible and set to missing, consistent with the physiological-plausibility screening applied throughout this analysis); this score and the domestic violence score above are both </w:t>
      </w:r>
      <w:proofErr w:type="spellStart"/>
      <w:r>
        <w:rPr>
          <w:sz w:val="24"/>
          <w:szCs w:val="24"/>
        </w:rPr>
        <w:t>unvalidated</w:t>
      </w:r>
      <w:proofErr w:type="spellEnd"/>
      <w:r>
        <w:rPr>
          <w:sz w:val="24"/>
          <w:szCs w:val="24"/>
        </w:rPr>
        <w:t xml:space="preserve"> composite indices, supplemented by a validated Edinburgh Postnatal Depression Scale (EPDS) score (mean score across available antenatal assessments, and a binary indicator for ever scoring ≥13, the standard clinical cutoff, also validated for the Persian-translated EPDS). Maternal age (in years, bounded to a plausible 12-55 years) and maternal education (an ordinal 0-10 scale, where 0 denotes illiteracy and 10 denotes a doctoral degree, spanning 11 discrete levels) were included as covariates. Additional covariates included parity (total number of prior pregnancies, including pregnancy loss and stillbirth in addition to live births), residency type (metropolis, suburb, a smaller-city category, or rural, confirmed to reflect a population-size-based </w:t>
      </w:r>
      <w:proofErr w:type="spellStart"/>
      <w:r>
        <w:rPr>
          <w:sz w:val="24"/>
          <w:szCs w:val="24"/>
        </w:rPr>
        <w:t>urbanicity</w:t>
      </w:r>
      <w:proofErr w:type="spellEnd"/>
      <w:r>
        <w:rPr>
          <w:sz w:val="24"/>
          <w:szCs w:val="24"/>
        </w:rPr>
        <w:t xml:space="preserve"> classification of maternal residence used as a socioeconomic-status proxy: metropolis &gt;1,000,000 residents; suburb 500,000-1,000,000; smaller city 50,000-500,000, encompassing both county-seat and non-county-seat towns in this range; rural &lt;50,000; dummy-coded with metropolis as reference), child sex (confirmed 1=male, 2=female per </w:t>
      </w:r>
      <w:proofErr w:type="spellStart"/>
      <w:r>
        <w:rPr>
          <w:sz w:val="24"/>
          <w:szCs w:val="24"/>
        </w:rPr>
        <w:t>Sina</w:t>
      </w:r>
      <w:proofErr w:type="spellEnd"/>
      <w:r>
        <w:rPr>
          <w:sz w:val="24"/>
          <w:szCs w:val="24"/>
        </w:rPr>
        <w:t>/Ministry of Health coding convention), current multiple birth (a binary indicator, not distinguishing twins from higher-order multiples), and prematurity (an independent clinical-diagnosis field recorded by the attending physician at birth, not derived from gestational age). Gestational age was 100% missing in the source data and could not be used at any stage of this analysis.</w:t>
      </w:r>
    </w:p>
    <w:p w:rsidR="00F442AF" w:rsidRDefault="00A10F34">
      <w:pPr>
        <w:pStyle w:val="Heading2"/>
        <w:spacing w:before="280" w:after="120"/>
      </w:pPr>
      <w:r>
        <w:rPr>
          <w:b/>
          <w:bCs/>
          <w:sz w:val="24"/>
          <w:szCs w:val="24"/>
        </w:rPr>
        <w:lastRenderedPageBreak/>
        <w:t>Growth outcome construction</w:t>
      </w:r>
    </w:p>
    <w:p w:rsidR="00F442AF" w:rsidRDefault="00A10F34">
      <w:pPr>
        <w:spacing w:after="200" w:line="360" w:lineRule="auto"/>
        <w:jc w:val="both"/>
      </w:pPr>
      <w:r>
        <w:rPr>
          <w:sz w:val="24"/>
          <w:szCs w:val="24"/>
        </w:rPr>
        <w:t>Weight-for-age and height-for-age z-scores (ZWFA, ZHFA) were computed from raw weight and length/height measurements at each of the 15 visit ages using the WHO Child Growth Standards (2006) sex-specific LMS reference tables (weight-for-age, birth to 5 years; length-for-age, birth to 2 years; height-for-age, 2 to 5 years) [S1], obtained directly from the World Health Organization. The standard LMS transformation was applied, Z = ((X/M</w:t>
      </w:r>
      <w:proofErr w:type="gramStart"/>
      <w:r>
        <w:rPr>
          <w:sz w:val="24"/>
          <w:szCs w:val="24"/>
        </w:rPr>
        <w:t>)^</w:t>
      </w:r>
      <w:proofErr w:type="gramEnd"/>
      <w:r>
        <w:rPr>
          <w:sz w:val="24"/>
          <w:szCs w:val="24"/>
        </w:rPr>
        <w:t xml:space="preserve">L − 1)/(LS) for L ≠ 0 or Z = ln(X/M)/S for L = 0 (the latter applying to length/height, for which L = 1 by WHO convention). For the three visit ages recorded in days rather than completed months (3, 15, and 30 days), L, M, and S were linearly interpolated between the surrounding published monthly reference points. This procedure was validated against an independently published worked example and reproduced it closely. Length-for-age references were used for children under 24 months and height-for-age references for children 24 months and older, per standard convention; this age cutoff is confirmed to match Iran's national primary care measurement protocol (recumbent length under 2 years, standing height from 2 years), consistent with WHO guidance, though the specific measurement method used at each individual visit was not separately recorded in the source data. Child sex, required for the sex-specific reference tables, was drawn from an unlabeled binary source field coded per the standard </w:t>
      </w:r>
      <w:proofErr w:type="spellStart"/>
      <w:r>
        <w:rPr>
          <w:sz w:val="24"/>
          <w:szCs w:val="24"/>
        </w:rPr>
        <w:t>Sina</w:t>
      </w:r>
      <w:proofErr w:type="spellEnd"/>
      <w:r>
        <w:rPr>
          <w:sz w:val="24"/>
          <w:szCs w:val="24"/>
        </w:rPr>
        <w:t>/Ministry of Health convention (1 = male, 2 = female), consistent with the expected direction of the resulting sex coefficient (girls measuring smaller than boys) observed in preliminary models. Resulting z-scores below −6 or above +6 were treated as implausible and set to missing, consistent with physiological-plausibility screening applied throughout this analysis to exclude registry data-entry errors.</w:t>
      </w:r>
    </w:p>
    <w:p w:rsidR="00F442AF" w:rsidRDefault="00A10F34">
      <w:pPr>
        <w:pStyle w:val="Heading2"/>
        <w:spacing w:before="280" w:after="120"/>
      </w:pPr>
      <w:r>
        <w:rPr>
          <w:b/>
          <w:bCs/>
          <w:sz w:val="24"/>
          <w:szCs w:val="24"/>
        </w:rPr>
        <w:t>Statistical analysis</w:t>
      </w:r>
    </w:p>
    <w:p w:rsidR="00F442AF" w:rsidRDefault="00A10F34">
      <w:pPr>
        <w:spacing w:after="200" w:line="360" w:lineRule="auto"/>
        <w:jc w:val="both"/>
      </w:pPr>
      <w:r>
        <w:rPr>
          <w:sz w:val="24"/>
          <w:szCs w:val="24"/>
        </w:rPr>
        <w:t xml:space="preserve">Growth trajectories were modeled using cluster-robust ordinary least squares regression (clustered by child to account for repeated measurements), with ZWFA and ZHFA modeled separately. Each model included the three medical conditions, age (in years, linear and quadratic terms), condition × age and condition × age² interaction terms (to formally test whether each condition's association with the outcome changed over the growth trajectory), the nutritional/economic and psychosocial covariates described above (entered as time-invariant main effects), and the full confounder set. Because food insecurity had extensive </w:t>
      </w:r>
      <w:proofErr w:type="spellStart"/>
      <w:r>
        <w:rPr>
          <w:sz w:val="24"/>
          <w:szCs w:val="24"/>
        </w:rPr>
        <w:t>missingness</w:t>
      </w:r>
      <w:proofErr w:type="spellEnd"/>
      <w:r>
        <w:rPr>
          <w:sz w:val="24"/>
          <w:szCs w:val="24"/>
        </w:rPr>
        <w:t xml:space="preserve"> (85.5%), models were fit twice: a main model excluding food insecurity (maximizing sample size) and a sensitivity model including it. Standard errors used a cluster-robust sandwich estimator computed via a </w:t>
      </w:r>
      <w:proofErr w:type="spellStart"/>
      <w:r>
        <w:rPr>
          <w:sz w:val="24"/>
          <w:szCs w:val="24"/>
        </w:rPr>
        <w:t>vectorized</w:t>
      </w:r>
      <w:proofErr w:type="spellEnd"/>
      <w:r>
        <w:rPr>
          <w:sz w:val="24"/>
          <w:szCs w:val="24"/>
        </w:rPr>
        <w:t xml:space="preserve"> grouped-sum </w:t>
      </w:r>
      <w:r>
        <w:rPr>
          <w:sz w:val="24"/>
          <w:szCs w:val="24"/>
        </w:rPr>
        <w:lastRenderedPageBreak/>
        <w:t xml:space="preserve">implementation. Cluster-robust OLS, a standard and well-established approach for large panel/longitudinal data, was used for the primary models throughout; a random-slope linear mixed-effects model was additionally fit as a robustness check on a subsample (see main text). The threshold for statistical significance was set a priori at alpha = 0.05 (two-sided). </w:t>
      </w:r>
      <w:proofErr w:type="spellStart"/>
      <w:r>
        <w:rPr>
          <w:sz w:val="24"/>
          <w:szCs w:val="24"/>
        </w:rPr>
        <w:t>Benjamini</w:t>
      </w:r>
      <w:proofErr w:type="spellEnd"/>
      <w:r>
        <w:rPr>
          <w:sz w:val="24"/>
          <w:szCs w:val="24"/>
        </w:rPr>
        <w:t>-Hochberg false discovery rate (FDR) correction was applied separately within each of the four fitted models (weight-for-age main and food-insecurity-sensitivity models; height-for-age main and food-insecurity-sensitivity models), across all non-intercept coefficients within that model (approximately 24-26 terms per model), and the FDR-corrected p-value (</w:t>
      </w:r>
      <w:proofErr w:type="spellStart"/>
      <w:r>
        <w:rPr>
          <w:sz w:val="24"/>
          <w:szCs w:val="24"/>
        </w:rPr>
        <w:t>p_FDR</w:t>
      </w:r>
      <w:proofErr w:type="spellEnd"/>
      <w:r>
        <w:rPr>
          <w:sz w:val="24"/>
          <w:szCs w:val="24"/>
        </w:rPr>
        <w:t>) was compared against this same 0.05 threshold; both raw and FDR-corrected p-values are reported throughout for transparency. Ninety-five percent confidence intervals (coefficient ± 1.96 x cluster-robust standard error) are reported alongside point estimates. Standardized effect sizes (coefficient × predictor SD) were reported alongside raw coefficients, given that outcomes were already expressed in SD units. As a robustness check on the functional form of the age relationship, the quadratic age specification was also replaced with a 4-knot restricted cubic spline (knots at 0.03, 0.5, 1.5, and 5 years, following Harrell's formulation) for each medical condition, to verify that the reported catch-up pattern was not an artifact of the quadratic polynomial's shape.</w:t>
      </w:r>
    </w:p>
    <w:p w:rsidR="00F442AF" w:rsidRDefault="00A10F34">
      <w:pPr>
        <w:jc w:val="both"/>
      </w:pPr>
      <w:r>
        <w:rPr>
          <w:sz w:val="24"/>
        </w:rPr>
        <w:t xml:space="preserve">A series of additional methodological checks was conducted. These comprised: assessment of the functional form of the age relationship (restricted cubic spline versus quadratic, compared via AIC/BIC); a formal linearity check for each continuous covariate; sensitivity to the implausible-value exclusion threshold; standardized effect sizes (Cohen's f²); </w:t>
      </w:r>
      <w:proofErr w:type="spellStart"/>
      <w:r>
        <w:rPr>
          <w:sz w:val="24"/>
        </w:rPr>
        <w:t>multicollinearity</w:t>
      </w:r>
      <w:proofErr w:type="spellEnd"/>
      <w:r>
        <w:rPr>
          <w:sz w:val="24"/>
        </w:rPr>
        <w:t xml:space="preserve"> assessment (VIF); influential-observation diagnostics (Cook's distance); within-child correlation (ICC) and design effect; raw correlations among key predictors; quantile regression across the outcome distribution; comparison of the analytic sample to excluded children; </w:t>
      </w:r>
      <w:proofErr w:type="spellStart"/>
      <w:r>
        <w:rPr>
          <w:sz w:val="24"/>
        </w:rPr>
        <w:t>Bonferroni</w:t>
      </w:r>
      <w:proofErr w:type="spellEnd"/>
      <w:r>
        <w:rPr>
          <w:sz w:val="24"/>
        </w:rPr>
        <w:t xml:space="preserve"> correction alongside FDR; and joint Wald significance testing for each medical condition. Four further checks addressed specific methodological concerns. First, split-sample validation independently refit the model on two halves of the cohort, and a parametric simulation tested whether regression-to-the-mean and measurement noise alone could reproduce the observed condition x age interactions in the absence of any true age-varying effect. Second, a test for informative visit timing and cluster size compared visit frequency and mean observation age by exposure status and refit the main model with inverse-cluster-size weighting. Third, multiple imputation by chained equations (5 imputed datasets, pooled via Rubin's rules) served as an alternative to complete-case analysis for the primary models. Fourth, a random-intercept-and-slope linear mixed-effects model (fit via restricted maximum likelihood on a 150,000-child representative subsample, given memory constraints) tested whether explicitly modeling between-child heterogeneity in growth velocity, rather than only in level, altered conclusions about the age interactions. Finally, because this analysis was not pre-registered and no prospective power calculation was performed, a retrospective minimum detectable effect size was calculated for each exposure group given the </w:t>
      </w:r>
      <w:r>
        <w:rPr>
          <w:sz w:val="24"/>
        </w:rPr>
        <w:lastRenderedPageBreak/>
        <w:t>achieved sample size. Full methodological detail for each of these checks is provided in this Online Resource.</w:t>
      </w:r>
    </w:p>
    <w:p w:rsidR="00F442AF" w:rsidRDefault="00A10F34">
      <w:pPr>
        <w:pStyle w:val="Heading1"/>
        <w:spacing w:before="320" w:after="160"/>
      </w:pPr>
      <w:r>
        <w:rPr>
          <w:b/>
          <w:bCs/>
          <w:sz w:val="28"/>
          <w:szCs w:val="28"/>
        </w:rPr>
        <w:t>S2. Supplementary results</w:t>
      </w:r>
    </w:p>
    <w:p w:rsidR="00F442AF" w:rsidRDefault="00A10F34">
      <w:pPr>
        <w:pStyle w:val="Heading2"/>
        <w:spacing w:before="280" w:after="120"/>
      </w:pPr>
      <w:r>
        <w:rPr>
          <w:b/>
          <w:bCs/>
          <w:sz w:val="24"/>
          <w:szCs w:val="24"/>
        </w:rPr>
        <w:t>Interaction between medical conditions</w:t>
      </w:r>
    </w:p>
    <w:p w:rsidR="00F442AF" w:rsidRDefault="00A10F34">
      <w:pPr>
        <w:spacing w:after="200" w:line="360" w:lineRule="auto"/>
        <w:jc w:val="both"/>
      </w:pPr>
      <w:r>
        <w:rPr>
          <w:sz w:val="24"/>
          <w:szCs w:val="24"/>
        </w:rPr>
        <w:t>Because diabetes and anemia individually showed significant associations with growth trajectories, we tested whether their co-occurrence produced an effect different from the sum of their individual associations (i.e., a Diabetes × Anemia interaction term added to the main-effects model). Only 28 mothers in the cohort had both conditions recorded (diabetes and anemia each affecting under 1% of the cohort individually, with a correspondingly small overlap), and the interaction term was not significant for either outcome (ZWFA β = -0.030, 95% CI -0.536, 0.476, p = .907; ZHFA β = -0.188, 95% CI -0.801, 0.425, p = .548). Given this cell size, the analysis is underpowered to detect anything but a very large interaction effect, and this null result should not be interpreted as evidence of a purely additive relationship between the two conditions — only as inconclusive given the available sample. With the substantially better-powered HDP exposure, a Diabetes x HDP interaction was also tested (355 mothers had both conditions recorded) and was not significant for either outcome (ZWFA β = -0.066, p = .263; ZHFA β = -0.058, p = .368), suggesting an additive rather than synergistic relationship between these two conditions, though this should be treated as provisional pending the fuller robustness testing noted above for HDP. An Anemia x HDP interaction was not tested given a smaller overlap (73 mothers). Diabetes x preeclampsia and anemia x preeclampsia interactions, using the narrow postpartum-preeclampsia field, could not be tested at all, as no mother in the cohort had that field positive alongside either other condition.</w:t>
      </w:r>
    </w:p>
    <w:p w:rsidR="00F442AF" w:rsidRDefault="00A10F34">
      <w:pPr>
        <w:pStyle w:val="Heading2"/>
      </w:pPr>
      <w:r>
        <w:rPr>
          <w:b/>
          <w:sz w:val="24"/>
        </w:rPr>
        <w:t>Additional Robustness and Sensitivity Analyses (Summary)</w:t>
      </w:r>
    </w:p>
    <w:p w:rsidR="00F442AF" w:rsidRDefault="00A10F34">
      <w:pPr>
        <w:jc w:val="both"/>
      </w:pPr>
      <w:r>
        <w:rPr>
          <w:sz w:val="24"/>
        </w:rPr>
        <w:t xml:space="preserve">An extensive battery of robustness checks and sensitivity analyses was conducted; full results, including two supplementary tables, are reported in this Online Resource. In brief, the diabetes association was robust across every check applied: it retained statistical and joint significance (Wald test) after excluding the most influential 1% of children, after </w:t>
      </w:r>
      <w:proofErr w:type="spellStart"/>
      <w:r>
        <w:rPr>
          <w:sz w:val="24"/>
        </w:rPr>
        <w:t>Bonferroni</w:t>
      </w:r>
      <w:proofErr w:type="spellEnd"/>
      <w:r>
        <w:rPr>
          <w:sz w:val="24"/>
        </w:rPr>
        <w:t xml:space="preserve"> correction, across three alternative implausible-value exclusion thresholds, and using an alternative (spline) functional form for age (confirmed by lower AIC/BIC than the quadratic specification); it was also consistently larger among children in the lower tail of the growth distribution (quantile regression), and neither sex nor calendar year moderated it. By contrast, the anemia association was fragile: it did not reach joint significance (Wald test, both outcomes), lost significance under </w:t>
      </w:r>
      <w:proofErr w:type="spellStart"/>
      <w:r>
        <w:rPr>
          <w:sz w:val="24"/>
        </w:rPr>
        <w:t>Bonferroni</w:t>
      </w:r>
      <w:proofErr w:type="spellEnd"/>
      <w:r>
        <w:rPr>
          <w:sz w:val="24"/>
        </w:rPr>
        <w:t xml:space="preserve"> correction, and its main-effect sign reversed after excluding influential children. A sensitivity analysis restricted to children with complete early-to-late follow-up found that both the diabetes </w:t>
      </w:r>
      <w:r>
        <w:rPr>
          <w:sz w:val="24"/>
        </w:rPr>
        <w:lastRenderedPageBreak/>
        <w:t xml:space="preserve">and anemia condition x age interactions were no longer significant and the diabetes effect direction reversed, indicating the narrowing-gap ('catch-up') pattern may partly reflect selective attrition rather than purely physiological catch-up (see main text, Discussion). </w:t>
      </w:r>
      <w:proofErr w:type="spellStart"/>
      <w:r>
        <w:rPr>
          <w:sz w:val="24"/>
        </w:rPr>
        <w:t>Multicollinearity</w:t>
      </w:r>
      <w:proofErr w:type="spellEnd"/>
      <w:r>
        <w:rPr>
          <w:sz w:val="24"/>
        </w:rPr>
        <w:t xml:space="preserve"> was not a concern for any substantive predictor (all VIF &lt; 3.1, aside from structurally expected high VIF for polynomial/interaction terms), all continuous covariates were linear except BMI and maternal education (which showed a diminishing-returns pattern), and within-child correlation was substantial (ICC 0.56-0.64), confirming the necessity of the cluster-robust approach used throughout. Food insecurity and ASQ developmental-screening completion were both non-randomly missing (disproportionately rural and disproportionately term/higher-education, respectively), limiting generalizability of findings involving those two variables specifically. Finally, the complete-case analytic sample (358,148 of 548,318 children, 65.3%) differed significantly from excluded children on every baseline characteristic examined, indicating complete-case exclusion was not at random (see Supplementary Table 2).</w:t>
      </w:r>
    </w:p>
    <w:p w:rsidR="00F442AF" w:rsidRDefault="00A10F34">
      <w:pPr>
        <w:pStyle w:val="Heading2"/>
      </w:pPr>
      <w:r>
        <w:rPr>
          <w:b/>
          <w:sz w:val="24"/>
        </w:rPr>
        <w:t>Distinguishing genuine trajectory change from regression-to-the-mean and confirming replicability</w:t>
      </w:r>
    </w:p>
    <w:p w:rsidR="00F442AF" w:rsidRDefault="00A10F34">
      <w:pPr>
        <w:jc w:val="both"/>
      </w:pPr>
      <w:r>
        <w:rPr>
          <w:sz w:val="24"/>
        </w:rPr>
        <w:t>Two additional analyses addressed whether the observed narrowing-gap ('catch-up') pattern for diabetes and HDP could be explained by artifacts of study design rather than a genuine age-varying association. First, split-sample validation refit the main model independently on two halves of the cohort (split by even/odd child identifier, approximately 179,000 children each), to test whether the condition x age interactions replicate out-of-sample rather than reflecting overfitting to this specific dataset. Second, a parametric simulation tested whether regression-to-the-mean (RTM) combined with measurement noise -- a well-documented source of spurious 'catch-up' patterns in repeated-measures data [S2], since children who happen to score low at an early, noisier measurement are expected to drift toward the population mean at later measurements even with no true age-varying effect of the exposure -- could alone generate an interaction of the observed magnitude. The simulation used the between-child and within-child variance components estimated from the real data (ICC 0.59-0.64, consistent with the value reported above), assigned each child a random intercept and residual noise accordingly, injected diabetes and HDP as constant (non-age-varying) effects at their observed main-effect magnitude, and refit the same condition x age interaction model on this synthetic null data across 30 replicates, to characterize the interaction coefficient RTM and noise alone would be expected to produce.</w:t>
      </w:r>
    </w:p>
    <w:p w:rsidR="00F442AF" w:rsidRDefault="00A10F34">
      <w:pPr>
        <w:jc w:val="both"/>
      </w:pPr>
      <w:r>
        <w:rPr>
          <w:sz w:val="24"/>
        </w:rPr>
        <w:t xml:space="preserve">Split-sample results were highly consistent between halves for both outcomes and both conditions (e.g., ZWFA HDP x age: beta=0.217 in one half versus beta=0.242 in the other; ZWFA diabetes x age: beta=0.151 versus beta=0.175), supporting that these associations are not artifacts of overfitting to the full sample. The RTM simulation showed that regression-to-the-mean and measurement noise alone produced condition x age interaction coefficients centered near zero with small variability (ZWFA: HDP x age null mean=0.0002, SD=0.0097; diabetes x age null mean=0.0020, SD=0.0157; ZHFA: HDP x age null mean=-0.0004, SD=0.0121; diabetes x age null mean=-0.0053, SD=0.0189). The observed interaction coefficients reported above were 8 to 24 standard deviations above these null distributions (ZWFA HDP: 24.1 SD; ZWFA diabetes: 11.4 SD; ZHFA HDP: 17.6 SD; ZHFA diabetes: 8.4 SD), indicating the narrowing-gap pattern is far larger than regression-to-the-mean and measurement noise alone would be expected to produce, and providing positive evidence for a genuine age-varying association rather than a statistical artifact of repeated-measures design. This simulation does not, however, rule out other design-related explanations discussed in Limitations, including informative visit timing and selective </w:t>
      </w:r>
      <w:r>
        <w:rPr>
          <w:sz w:val="24"/>
        </w:rPr>
        <w:lastRenderedPageBreak/>
        <w:t>attrition, which operate through different mechanisms than RTM and are addressed separately above.</w:t>
      </w:r>
    </w:p>
    <w:p w:rsidR="00F442AF" w:rsidRDefault="00A10F34">
      <w:pPr>
        <w:pStyle w:val="Heading2"/>
      </w:pPr>
      <w:r>
        <w:rPr>
          <w:b/>
          <w:sz w:val="24"/>
        </w:rPr>
        <w:t>Testing for informative visit timing and cluster size</w:t>
      </w:r>
    </w:p>
    <w:p w:rsidR="00F442AF" w:rsidRDefault="00A10F34">
      <w:pPr>
        <w:jc w:val="both"/>
      </w:pPr>
      <w:r>
        <w:rPr>
          <w:sz w:val="24"/>
        </w:rPr>
        <w:t>Because this registry reflects routine surveillance visits rather than a fixed study protocol, two further checks addressed whether exposed and unexposed children were measured differently in ways that could distort the estimated trajectory shape, independent of the child-level clustering already addressed by cluster-robust standard errors. First, the number of visits per child was compared by exposure status: HDP-exposed children averaged 0.49 more visits than unexposed children (7.54 vs 7.05; p=1.3x10^-48), diabetes-exposed children averaged 0.34 more visits (7.39 vs 7.05; p=2.1x10^-9), and anemia-exposed children averaged 0.41 fewer visits (6.64 vs 7.06; p=3.8x10^-9) -- a pattern of 'informative cluster size' that could bias standard cluster-robust estimates if not addressed [S3]. To test this, the main model was refit with each observation weighted by the inverse of that child's total visit count, so that every child contributes equally regardless of how many measurements they have, and compared to the original (unweighted) estimates. Second, the mean age at observation was compared by exposure status to test for informative visit timing.</w:t>
      </w:r>
    </w:p>
    <w:p w:rsidR="00F442AF" w:rsidRDefault="00A10F34">
      <w:pPr>
        <w:jc w:val="both"/>
      </w:pPr>
      <w:r>
        <w:rPr>
          <w:sz w:val="24"/>
        </w:rPr>
        <w:t>The equal-weighted-by-child analysis produced condition x age coefficients very similar to, and in some cases slightly larger than, the original estimates (ZWFA: HDP x age beta=0.256 versus 0.234 originally; diabetes x age beta=0.166 versus 0.181 originally; ZHFA: HDP x age beta=0.239 versus 0.213 originally; diabetes x age beta=0.133 versus 0.153 originally), all remaining highly significant, indicating informative cluster size does not materially distort the main findings. Mean observation age showed no significant difference by diabetes status (difference=0.0005 years, p=.93) and a small but statistically significant difference by HDP status (0.087 years, approximately one month, p&lt;10^-100 given the very large sample size), which is unlikely to meaningfully distort a trajectory estimated across a 5-year span. Together, these checks indicate the narrowing-gap pattern is not an artifact of differential visit frequency or timing between exposed and unexposed children.</w:t>
      </w:r>
    </w:p>
    <w:p w:rsidR="00F442AF" w:rsidRDefault="00A10F34">
      <w:pPr>
        <w:pStyle w:val="Heading2"/>
      </w:pPr>
      <w:r>
        <w:rPr>
          <w:b/>
          <w:sz w:val="24"/>
        </w:rPr>
        <w:t>Multiple imputation as an alternative to complete-case analysis</w:t>
      </w:r>
    </w:p>
    <w:p w:rsidR="00F442AF" w:rsidRDefault="00A10F34">
      <w:pPr>
        <w:jc w:val="both"/>
      </w:pPr>
      <w:r>
        <w:rPr>
          <w:sz w:val="24"/>
        </w:rPr>
        <w:t xml:space="preserve">Because the complete-case analytic sample differed systematically from excluded children on every baseline characteristic examined (see above), indicating </w:t>
      </w:r>
      <w:proofErr w:type="spellStart"/>
      <w:r>
        <w:rPr>
          <w:sz w:val="24"/>
        </w:rPr>
        <w:t>missingness</w:t>
      </w:r>
      <w:proofErr w:type="spellEnd"/>
      <w:r>
        <w:rPr>
          <w:sz w:val="24"/>
        </w:rPr>
        <w:t xml:space="preserve"> is unlikely to be completely at random, the primary models were re-estimated using multiple imputation as a check on whether complete-case analysis biased the main findings. </w:t>
      </w:r>
      <w:proofErr w:type="spellStart"/>
      <w:r>
        <w:rPr>
          <w:sz w:val="24"/>
        </w:rPr>
        <w:t>Missingness</w:t>
      </w:r>
      <w:proofErr w:type="spellEnd"/>
      <w:r>
        <w:rPr>
          <w:sz w:val="24"/>
        </w:rPr>
        <w:t xml:space="preserve"> was concentrated in six covariates (BMI, 22.5%; domestic violence score, 25.9%; lifestyle score, 20.3%; EPDS mean, 21.6%; maternal age, 4.2%; maternal education, 3.6%); all other model variables, including the three medical-condition exposures, were complete. Five imputed datasets were generated using multivariate imputation by chained equations [S4] (sequential regression imputation with 5 iterative cycles, each variable imputed from all others using ridge-regularized linear regression for continuous variables and logistic regression for the binary EPDS-threshold indicator, with appropriate residual noise added to reflect imputation uncertainty). The main model was refit on each of the five completed datasets (539,872 children, versus 358,148 in the complete-case sample) and pooled using Rubin's rules [S5].</w:t>
      </w:r>
    </w:p>
    <w:p w:rsidR="00F442AF" w:rsidRDefault="00A10F34">
      <w:pPr>
        <w:jc w:val="both"/>
      </w:pPr>
      <w:r>
        <w:rPr>
          <w:sz w:val="24"/>
        </w:rPr>
        <w:t xml:space="preserve">The multiple-imputation-pooled estimates confirmed the main findings, with modestly attenuated but still highly significant coefficients for diabetes and HDP (ZWFA: HDP beta=-0.208, 95% CI -0.231,-0.186, p&lt;10^-15; HDP x age beta=0.202, 95% CI 0.177,0.228, p&lt;10^-15; diabetes beta=-0.159, 95% CI -0.200,-0.118, p=2.7x10^-14; diabetes x age beta=0.143, 95% CI 0.091,0.196, p=1.1x10^-7; ZHFA: materially similar). Anemia remained non-significant in the pooled estimates </w:t>
      </w:r>
      <w:r>
        <w:rPr>
          <w:sz w:val="24"/>
        </w:rPr>
        <w:lastRenderedPageBreak/>
        <w:t>for both the main effect and age interaction (ZWFA anemia x age: pooled beta=0.049, 95% CI -0.004</w:t>
      </w:r>
      <w:proofErr w:type="gramStart"/>
      <w:r>
        <w:rPr>
          <w:sz w:val="24"/>
        </w:rPr>
        <w:t>,0.103</w:t>
      </w:r>
      <w:proofErr w:type="gramEnd"/>
      <w:r>
        <w:rPr>
          <w:sz w:val="24"/>
        </w:rPr>
        <w:t xml:space="preserve">, p=.069), consistent with the fragility of the anemia association demonstrated by the influential-observation, </w:t>
      </w:r>
      <w:proofErr w:type="spellStart"/>
      <w:r>
        <w:rPr>
          <w:sz w:val="24"/>
        </w:rPr>
        <w:t>Bonferroni</w:t>
      </w:r>
      <w:proofErr w:type="spellEnd"/>
      <w:r>
        <w:rPr>
          <w:sz w:val="24"/>
        </w:rPr>
        <w:t>, and joint Wald checks reported above. That the diabetes and HDP associations persist, with similar magnitude and direction, in a sample expanded to include nearly the full cohort via principled imputation, provides reassurance that complete-case analysis was not a material source of bias for the primary findings, while the anemia association remains unsupported under this additional check as well.</w:t>
      </w:r>
    </w:p>
    <w:p w:rsidR="00F442AF" w:rsidRDefault="00A10F34">
      <w:pPr>
        <w:pStyle w:val="Heading2"/>
      </w:pPr>
      <w:r>
        <w:rPr>
          <w:b/>
          <w:sz w:val="24"/>
        </w:rPr>
        <w:t>Random-slope mixed-effects model as a check on cluster-robust OLS</w:t>
      </w:r>
    </w:p>
    <w:p w:rsidR="00F442AF" w:rsidRDefault="00A10F34">
      <w:pPr>
        <w:jc w:val="both"/>
      </w:pPr>
      <w:r>
        <w:rPr>
          <w:sz w:val="24"/>
        </w:rPr>
        <w:t>The cluster-robust OLS approach used throughout this manuscript models between-child heterogeneity only in the standard errors (via clustering), not in the fitted trajectory itself; because the central claim of this manuscript concerns the shape of the age trajectory (a slope), a model allowing each child's trajectory to have its own random slope, not only a random intercept [S6], is a more direct test of this claim. A linear mixed-effects model with a random intercept and random slope on age (fit via restricted maximum likelihood) was therefore fit as a check. Computational constraints precluded fitting this model on the full 358,148-child sample; results below are from a random subsample of 150,000 children (approximately 42% of the analytic sample). Full-sample replication of this specific check is recommended in future work with greater computational resources.</w:t>
      </w:r>
    </w:p>
    <w:p w:rsidR="00F442AF" w:rsidRDefault="00A10F34">
      <w:pPr>
        <w:jc w:val="both"/>
      </w:pPr>
      <w:r>
        <w:rPr>
          <w:sz w:val="24"/>
        </w:rPr>
        <w:t xml:space="preserve">The random-slope model confirmed the diabetes and HDP findings closely: for ZWFA, HDP beta=-0.211 (p&lt;10^-15), HDP x age beta=0.223 (p&lt;10^-15), diabetes beta=-0.159 (p&lt;10^-15), diabetes x age beta=0.113 (p&lt;10^-15); for ZHFA, HDP beta=-0.194 (p&lt;10^-15), HDP x age beta=0.198 (p&lt;10^-15), diabetes beta=-0.101 (p=.002), diabetes x age beta=0.116 (p&lt;10^-15) -- all closely consistent in direction and magnitude with the cluster-robust OLS estimates reported above. Notably, however, the anemia x age interaction, which several OLS-based checks (influential-observation exclusion, </w:t>
      </w:r>
      <w:proofErr w:type="spellStart"/>
      <w:r>
        <w:rPr>
          <w:sz w:val="24"/>
        </w:rPr>
        <w:t>Bonferroni</w:t>
      </w:r>
      <w:proofErr w:type="spellEnd"/>
      <w:r>
        <w:rPr>
          <w:sz w:val="24"/>
        </w:rPr>
        <w:t xml:space="preserve"> correction, joint Wald testing) indicated was fragile and not robustly supported, was statistically significant under this random-slope specification for both outcomes (ZWFA: beta=0.107, p&lt;.001; ZHFA: beta=0.098, p=.004). This discrepancy indicates the anemia finding is sensitive to modeling choice -- specifically, whether between-child heterogeneity in growth velocity is modeled explicitly (as a random slope) or only implicitly (via cluster-robust standard errors on a population-average slope) -- and we report this openly as an unresolved source of uncertainty rather than selecting whichever specification supports a particular conclusion. The diabetes and HDP findings, by contrast, are robust to this specification choice as they were to every other check applied in this manuscript.</w:t>
      </w:r>
    </w:p>
    <w:p w:rsidR="00F442AF" w:rsidRDefault="00A10F34">
      <w:pPr>
        <w:pStyle w:val="Heading2"/>
      </w:pPr>
      <w:r>
        <w:rPr>
          <w:b/>
          <w:sz w:val="24"/>
        </w:rPr>
        <w:t>Retrospective minimum detectable effect size</w:t>
      </w:r>
    </w:p>
    <w:p w:rsidR="00F442AF" w:rsidRDefault="00A10F34">
      <w:pPr>
        <w:jc w:val="both"/>
      </w:pPr>
      <w:r>
        <w:rPr>
          <w:sz w:val="24"/>
        </w:rPr>
        <w:t>Because this analysis was not pre-registered, no prospective power calculation was performed before data analysis; a retrospective minimum detectable effect size (MDES) was therefore computed for each exposure group to characterize what magnitude of standardized mean difference (Cohen's d) each comparison was capable of detecting at conventional 80% power and alpha=.05 (two-sided), given the achieved child-level sample sizes. This calculation treats each child as contributing one independent observation (a conservative simplification given the very large ICC reported above, under which repeated measurements on the same child carry substantially less independent information than their raw count suggests) and is illustrative of the exposure groups' fundamental capacity for detection rather than a precise power calculation for the specific age-interaction terms that are the focus of this manuscript.</w:t>
      </w:r>
    </w:p>
    <w:p w:rsidR="00F442AF" w:rsidRDefault="00A10F34">
      <w:pPr>
        <w:jc w:val="both"/>
      </w:pPr>
      <w:r>
        <w:rPr>
          <w:i/>
          <w:sz w:val="22"/>
        </w:rPr>
        <w:t>Table S1. Retrospective minimum detectable effect size (MDES) by exposure group.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338"/>
        <w:gridCol w:w="2337"/>
        <w:gridCol w:w="2338"/>
        <w:gridCol w:w="2337"/>
      </w:tblGrid>
      <w:tr w:rsidR="00F442AF">
        <w:tc>
          <w:tcPr>
            <w:tcW w:w="2340" w:type="dxa"/>
          </w:tcPr>
          <w:p w:rsidR="00F442AF" w:rsidRDefault="00A10F34">
            <w:r>
              <w:rPr>
                <w:b/>
                <w:sz w:val="18"/>
              </w:rPr>
              <w:t>Exposure</w:t>
            </w:r>
          </w:p>
        </w:tc>
        <w:tc>
          <w:tcPr>
            <w:tcW w:w="2340" w:type="dxa"/>
          </w:tcPr>
          <w:p w:rsidR="00F442AF" w:rsidRDefault="00A10F34">
            <w:r>
              <w:rPr>
                <w:b/>
                <w:sz w:val="18"/>
              </w:rPr>
              <w:t>n exposed</w:t>
            </w:r>
          </w:p>
        </w:tc>
        <w:tc>
          <w:tcPr>
            <w:tcW w:w="2340" w:type="dxa"/>
          </w:tcPr>
          <w:p w:rsidR="00F442AF" w:rsidRDefault="00A10F34">
            <w:r>
              <w:rPr>
                <w:b/>
                <w:sz w:val="18"/>
              </w:rPr>
              <w:t>n unexposed</w:t>
            </w:r>
          </w:p>
        </w:tc>
        <w:tc>
          <w:tcPr>
            <w:tcW w:w="2340" w:type="dxa"/>
          </w:tcPr>
          <w:p w:rsidR="00F442AF" w:rsidRDefault="00A10F34">
            <w:r>
              <w:rPr>
                <w:b/>
                <w:sz w:val="18"/>
              </w:rPr>
              <w:t>MDES (Cohen’s d)</w:t>
            </w:r>
          </w:p>
        </w:tc>
      </w:tr>
      <w:tr w:rsidR="00F442AF">
        <w:tc>
          <w:tcPr>
            <w:tcW w:w="2340" w:type="dxa"/>
          </w:tcPr>
          <w:p w:rsidR="00F442AF" w:rsidRDefault="00A10F34">
            <w:r>
              <w:rPr>
                <w:sz w:val="18"/>
              </w:rPr>
              <w:t>Diabetes</w:t>
            </w:r>
          </w:p>
        </w:tc>
        <w:tc>
          <w:tcPr>
            <w:tcW w:w="2340" w:type="dxa"/>
          </w:tcPr>
          <w:p w:rsidR="00F442AF" w:rsidRDefault="00A10F34">
            <w:r>
              <w:rPr>
                <w:sz w:val="18"/>
              </w:rPr>
              <w:t>3,220</w:t>
            </w:r>
          </w:p>
        </w:tc>
        <w:tc>
          <w:tcPr>
            <w:tcW w:w="2340" w:type="dxa"/>
          </w:tcPr>
          <w:p w:rsidR="00F442AF" w:rsidRDefault="00A10F34">
            <w:r>
              <w:rPr>
                <w:sz w:val="18"/>
              </w:rPr>
              <w:t>354,928</w:t>
            </w:r>
          </w:p>
        </w:tc>
        <w:tc>
          <w:tcPr>
            <w:tcW w:w="2340" w:type="dxa"/>
          </w:tcPr>
          <w:p w:rsidR="00F442AF" w:rsidRDefault="00A10F34">
            <w:r>
              <w:rPr>
                <w:sz w:val="18"/>
              </w:rPr>
              <w:t>0.050</w:t>
            </w:r>
          </w:p>
        </w:tc>
      </w:tr>
      <w:tr w:rsidR="00F442AF">
        <w:tc>
          <w:tcPr>
            <w:tcW w:w="2340" w:type="dxa"/>
          </w:tcPr>
          <w:p w:rsidR="00F442AF" w:rsidRDefault="00A10F34">
            <w:r>
              <w:rPr>
                <w:sz w:val="18"/>
              </w:rPr>
              <w:lastRenderedPageBreak/>
              <w:t>HDP</w:t>
            </w:r>
          </w:p>
        </w:tc>
        <w:tc>
          <w:tcPr>
            <w:tcW w:w="2340" w:type="dxa"/>
          </w:tcPr>
          <w:p w:rsidR="00F442AF" w:rsidRDefault="00A10F34">
            <w:r>
              <w:rPr>
                <w:sz w:val="18"/>
              </w:rPr>
              <w:t>10,428</w:t>
            </w:r>
          </w:p>
        </w:tc>
        <w:tc>
          <w:tcPr>
            <w:tcW w:w="2340" w:type="dxa"/>
          </w:tcPr>
          <w:p w:rsidR="00F442AF" w:rsidRDefault="00A10F34">
            <w:r>
              <w:rPr>
                <w:sz w:val="18"/>
              </w:rPr>
              <w:t>347,720</w:t>
            </w:r>
          </w:p>
        </w:tc>
        <w:tc>
          <w:tcPr>
            <w:tcW w:w="2340" w:type="dxa"/>
          </w:tcPr>
          <w:p w:rsidR="00F442AF" w:rsidRDefault="00A10F34">
            <w:r>
              <w:rPr>
                <w:sz w:val="18"/>
              </w:rPr>
              <w:t>0.028</w:t>
            </w:r>
          </w:p>
        </w:tc>
      </w:tr>
      <w:tr w:rsidR="00F442AF">
        <w:tc>
          <w:tcPr>
            <w:tcW w:w="2340" w:type="dxa"/>
          </w:tcPr>
          <w:p w:rsidR="00F442AF" w:rsidRDefault="00A10F34">
            <w:r>
              <w:rPr>
                <w:sz w:val="18"/>
              </w:rPr>
              <w:t>Anemia</w:t>
            </w:r>
          </w:p>
        </w:tc>
        <w:tc>
          <w:tcPr>
            <w:tcW w:w="2340" w:type="dxa"/>
          </w:tcPr>
          <w:p w:rsidR="00F442AF" w:rsidRDefault="00A10F34">
            <w:r>
              <w:rPr>
                <w:sz w:val="18"/>
              </w:rPr>
              <w:t>2,182</w:t>
            </w:r>
          </w:p>
        </w:tc>
        <w:tc>
          <w:tcPr>
            <w:tcW w:w="2340" w:type="dxa"/>
          </w:tcPr>
          <w:p w:rsidR="00F442AF" w:rsidRDefault="00A10F34">
            <w:r>
              <w:rPr>
                <w:sz w:val="18"/>
              </w:rPr>
              <w:t>355,966</w:t>
            </w:r>
          </w:p>
        </w:tc>
        <w:tc>
          <w:tcPr>
            <w:tcW w:w="2340" w:type="dxa"/>
          </w:tcPr>
          <w:p w:rsidR="00F442AF" w:rsidRDefault="00A10F34">
            <w:r>
              <w:rPr>
                <w:sz w:val="18"/>
              </w:rPr>
              <w:t>0.060</w:t>
            </w:r>
          </w:p>
        </w:tc>
      </w:tr>
      <w:tr w:rsidR="00F442AF">
        <w:tc>
          <w:tcPr>
            <w:tcW w:w="2340" w:type="dxa"/>
          </w:tcPr>
          <w:p w:rsidR="00F442AF" w:rsidRDefault="00A10F34">
            <w:r>
              <w:rPr>
                <w:sz w:val="18"/>
              </w:rPr>
              <w:t>Preeclampsia (postpartum field, n=19)</w:t>
            </w:r>
          </w:p>
        </w:tc>
        <w:tc>
          <w:tcPr>
            <w:tcW w:w="2340" w:type="dxa"/>
          </w:tcPr>
          <w:p w:rsidR="00F442AF" w:rsidRDefault="00A10F34">
            <w:r>
              <w:rPr>
                <w:sz w:val="18"/>
              </w:rPr>
              <w:t>19</w:t>
            </w:r>
          </w:p>
        </w:tc>
        <w:tc>
          <w:tcPr>
            <w:tcW w:w="2340" w:type="dxa"/>
          </w:tcPr>
          <w:p w:rsidR="00F442AF" w:rsidRDefault="00A10F34">
            <w:r>
              <w:rPr>
                <w:sz w:val="18"/>
              </w:rPr>
              <w:t>358,129</w:t>
            </w:r>
          </w:p>
        </w:tc>
        <w:tc>
          <w:tcPr>
            <w:tcW w:w="2340" w:type="dxa"/>
          </w:tcPr>
          <w:p w:rsidR="00F442AF" w:rsidRDefault="00A10F34">
            <w:r>
              <w:rPr>
                <w:sz w:val="18"/>
              </w:rPr>
              <w:t>0.643</w:t>
            </w:r>
          </w:p>
        </w:tc>
      </w:tr>
      <w:tr w:rsidR="00F442AF">
        <w:tc>
          <w:tcPr>
            <w:tcW w:w="2340" w:type="dxa"/>
          </w:tcPr>
          <w:p w:rsidR="00F442AF" w:rsidRDefault="00A10F34">
            <w:r>
              <w:rPr>
                <w:sz w:val="18"/>
              </w:rPr>
              <w:t>Diabetes x anemia overlap</w:t>
            </w:r>
          </w:p>
        </w:tc>
        <w:tc>
          <w:tcPr>
            <w:tcW w:w="2340" w:type="dxa"/>
          </w:tcPr>
          <w:p w:rsidR="00F442AF" w:rsidRDefault="00A10F34">
            <w:r>
              <w:rPr>
                <w:sz w:val="18"/>
              </w:rPr>
              <w:t>28</w:t>
            </w:r>
          </w:p>
        </w:tc>
        <w:tc>
          <w:tcPr>
            <w:tcW w:w="2340" w:type="dxa"/>
          </w:tcPr>
          <w:p w:rsidR="00F442AF" w:rsidRDefault="00A10F34">
            <w:r>
              <w:rPr>
                <w:sz w:val="18"/>
              </w:rPr>
              <w:t>358,120</w:t>
            </w:r>
          </w:p>
        </w:tc>
        <w:tc>
          <w:tcPr>
            <w:tcW w:w="2340" w:type="dxa"/>
          </w:tcPr>
          <w:p w:rsidR="00F442AF" w:rsidRDefault="00A10F34">
            <w:r>
              <w:rPr>
                <w:sz w:val="18"/>
              </w:rPr>
              <w:t>0.530</w:t>
            </w:r>
          </w:p>
        </w:tc>
      </w:tr>
    </w:tbl>
    <w:p w:rsidR="00F442AF" w:rsidRDefault="00A10F34">
      <w:pPr>
        <w:jc w:val="both"/>
      </w:pPr>
      <w:r>
        <w:rPr>
          <w:sz w:val="24"/>
        </w:rPr>
        <w:t>The three main exposures were each capable of detecting quite small standardized effects (Table S1) (diabetes: d=0.050; HDP: d=0.028; anemia: d=0.060), all comfortably below the standardized effect sizes actually observed for diabetes and HDP throughout this manuscript (approximately 0.006-0.033 in absolute standardized-beta terms from the full regression models, which are not directly comparable in scale to this simplified two-group d but confirm these comparisons were not underpowered for effects of the magnitude found). By contrast, the postpartum-preeclampsia field (n=19) and the diabetes x anemia interaction (n=28 overlapping children) had MDES values of 0.64 and 0.53 SD respectively -- large effects by any conventional benchmark -- confirming quantitatively that these two comparisons, already flagged as unreliable on qualitative grounds elsewhere in this manuscript, were fundamentally incapable of detecting anything short of an implausibly large effect, and that their null or unstable results should not be interpreted as evidence of no association.</w:t>
      </w:r>
    </w:p>
    <w:p w:rsidR="00F442AF" w:rsidRDefault="00A10F34">
      <w:pPr>
        <w:pStyle w:val="Heading1"/>
        <w:spacing w:before="320" w:after="160"/>
      </w:pPr>
      <w:r>
        <w:rPr>
          <w:b/>
          <w:bCs/>
          <w:sz w:val="28"/>
          <w:szCs w:val="28"/>
        </w:rPr>
        <w:t>Supplementary references</w:t>
      </w:r>
    </w:p>
    <w:p w:rsidR="00F442AF" w:rsidRDefault="00A10F34">
      <w:pPr>
        <w:spacing w:after="200" w:line="360" w:lineRule="auto"/>
        <w:jc w:val="both"/>
      </w:pPr>
      <w:r>
        <w:rPr>
          <w:sz w:val="24"/>
          <w:szCs w:val="24"/>
        </w:rPr>
        <w:t>S1. WHO Multicentre Growth Reference Study Group, de Onis M. WHO Child Growth Standards based on length/height, weight and age. Acta Paediatrica. 2006;95(S450):76-85. https://onlinelibrary.wiley.com/doi/10.1111/j.1651-2227.2006.tb02378.x</w:t>
      </w:r>
    </w:p>
    <w:p w:rsidR="00F442AF" w:rsidRDefault="00A10F34">
      <w:pPr>
        <w:spacing w:after="200" w:line="360" w:lineRule="auto"/>
        <w:jc w:val="both"/>
      </w:pPr>
      <w:r>
        <w:rPr>
          <w:sz w:val="24"/>
          <w:szCs w:val="24"/>
        </w:rPr>
        <w:t>S2. Barnett AG, van der Pols JC, Dobson AJ. Regression to the mean: what it is and how to deal with it. Int J Epidemiol. 2005;34(1):215-220. doi: 10.1093/ije/dyh299. PMID: 15333621.</w:t>
      </w:r>
    </w:p>
    <w:p w:rsidR="00F442AF" w:rsidRDefault="00A10F34">
      <w:pPr>
        <w:spacing w:after="200" w:line="360" w:lineRule="auto"/>
        <w:jc w:val="both"/>
      </w:pPr>
      <w:r>
        <w:rPr>
          <w:sz w:val="24"/>
          <w:szCs w:val="24"/>
        </w:rPr>
        <w:t>S3. Williamson JM, Datta S, Satten GA. Marginal analyses of clustered data when cluster size is informative. Biometrics. 2003;59(1):36-42. doi: 10.1111/1541-0420.00005. PMID: 12762439.</w:t>
      </w:r>
    </w:p>
    <w:p w:rsidR="00F442AF" w:rsidRDefault="00A10F34">
      <w:pPr>
        <w:spacing w:after="200" w:line="360" w:lineRule="auto"/>
        <w:jc w:val="both"/>
      </w:pPr>
      <w:r>
        <w:rPr>
          <w:sz w:val="24"/>
          <w:szCs w:val="24"/>
        </w:rPr>
        <w:t>S4. van Buuren S, Groothuis-Oudshoorn K. mice: Multivariate Imputation by Chained Equations in R. J Stat Softw. 2011;45(3):1-67. doi: 10.18637/jss.v045.i03.</w:t>
      </w:r>
    </w:p>
    <w:p w:rsidR="00F442AF" w:rsidRDefault="00A10F34">
      <w:pPr>
        <w:spacing w:after="200" w:line="360" w:lineRule="auto"/>
        <w:jc w:val="both"/>
      </w:pPr>
      <w:r>
        <w:rPr>
          <w:sz w:val="24"/>
          <w:szCs w:val="24"/>
        </w:rPr>
        <w:t>S5. Rubin DB. Multiple Imputation for Nonresponse in Surveys. New York: John Wiley &amp; Sons; 1987.</w:t>
      </w:r>
    </w:p>
    <w:p w:rsidR="00F442AF" w:rsidRDefault="00A10F34">
      <w:pPr>
        <w:spacing w:after="200" w:line="360" w:lineRule="auto"/>
        <w:jc w:val="both"/>
      </w:pPr>
      <w:r>
        <w:rPr>
          <w:sz w:val="24"/>
          <w:szCs w:val="24"/>
        </w:rPr>
        <w:t>S6. Laird NM, Ware JH. Random-effects models for longitudinal data. Biometrics. 1982;38(4):963-974.</w:t>
      </w:r>
    </w:p>
    <w:sectPr w:rsidR="00F442A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271764"/>
    <w:multiLevelType w:val="hybridMultilevel"/>
    <w:tmpl w:val="053C5014"/>
    <w:lvl w:ilvl="0" w:tplc="855A4A6A">
      <w:start w:val="1"/>
      <w:numFmt w:val="bullet"/>
      <w:lvlText w:val="●"/>
      <w:lvlJc w:val="left"/>
      <w:pPr>
        <w:ind w:left="720" w:hanging="360"/>
      </w:pPr>
    </w:lvl>
    <w:lvl w:ilvl="1" w:tplc="3ADC54CC">
      <w:start w:val="1"/>
      <w:numFmt w:val="bullet"/>
      <w:lvlText w:val="○"/>
      <w:lvlJc w:val="left"/>
      <w:pPr>
        <w:ind w:left="1440" w:hanging="360"/>
      </w:pPr>
    </w:lvl>
    <w:lvl w:ilvl="2" w:tplc="9D86C5DC">
      <w:start w:val="1"/>
      <w:numFmt w:val="bullet"/>
      <w:lvlText w:val="■"/>
      <w:lvlJc w:val="left"/>
      <w:pPr>
        <w:ind w:left="2160" w:hanging="360"/>
      </w:pPr>
    </w:lvl>
    <w:lvl w:ilvl="3" w:tplc="1646DB10">
      <w:start w:val="1"/>
      <w:numFmt w:val="bullet"/>
      <w:lvlText w:val="●"/>
      <w:lvlJc w:val="left"/>
      <w:pPr>
        <w:ind w:left="2880" w:hanging="360"/>
      </w:pPr>
    </w:lvl>
    <w:lvl w:ilvl="4" w:tplc="B226CFA0">
      <w:start w:val="1"/>
      <w:numFmt w:val="bullet"/>
      <w:lvlText w:val="○"/>
      <w:lvlJc w:val="left"/>
      <w:pPr>
        <w:ind w:left="3600" w:hanging="360"/>
      </w:pPr>
    </w:lvl>
    <w:lvl w:ilvl="5" w:tplc="AF9EB270">
      <w:start w:val="1"/>
      <w:numFmt w:val="bullet"/>
      <w:lvlText w:val="■"/>
      <w:lvlJc w:val="left"/>
      <w:pPr>
        <w:ind w:left="4320" w:hanging="360"/>
      </w:pPr>
    </w:lvl>
    <w:lvl w:ilvl="6" w:tplc="10EA3870">
      <w:start w:val="1"/>
      <w:numFmt w:val="bullet"/>
      <w:lvlText w:val="●"/>
      <w:lvlJc w:val="left"/>
      <w:pPr>
        <w:ind w:left="5040" w:hanging="360"/>
      </w:pPr>
    </w:lvl>
    <w:lvl w:ilvl="7" w:tplc="7734653C">
      <w:start w:val="1"/>
      <w:numFmt w:val="bullet"/>
      <w:lvlText w:val="●"/>
      <w:lvlJc w:val="left"/>
      <w:pPr>
        <w:ind w:left="5760" w:hanging="360"/>
      </w:pPr>
    </w:lvl>
    <w:lvl w:ilvl="8" w:tplc="2A5C8FD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2AF"/>
    <w:rsid w:val="00531C7D"/>
    <w:rsid w:val="0059441E"/>
    <w:rsid w:val="00867924"/>
    <w:rsid w:val="009B59E9"/>
    <w:rsid w:val="00A10F34"/>
    <w:rsid w:val="00A9056D"/>
    <w:rsid w:val="00B70A60"/>
    <w:rsid w:val="00F442AF"/>
    <w:rsid w:val="00F77B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8EAC65-B680-4E80-B96D-AA53F4CB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A905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008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4719</Words>
  <Characters>26900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 Vakili</dc:creator>
  <cp:lastModifiedBy>Vida Vakili</cp:lastModifiedBy>
  <cp:revision>2</cp:revision>
  <dcterms:created xsi:type="dcterms:W3CDTF">2026-10-03T08:18:00Z</dcterms:created>
  <dcterms:modified xsi:type="dcterms:W3CDTF">2026-10-03T08:18:00Z</dcterms:modified>
</cp:coreProperties>
</file>