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3128EA">
      <w:pPr>
        <w:pStyle w:val="15"/>
        <w:jc w:val="center"/>
        <w:rPr>
          <w:color w:val="000000" w:themeColor="text1"/>
          <w:lang w:val="en-US"/>
          <w14:textFill>
            <w14:solidFill>
              <w14:schemeClr w14:val="tx1"/>
            </w14:solidFill>
          </w14:textFill>
        </w:rPr>
      </w:pPr>
    </w:p>
    <w:p w14:paraId="62FB8E58">
      <w:pPr>
        <w:snapToGrid w:val="0"/>
        <w:spacing w:after="0" w:line="480" w:lineRule="auto"/>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SUPPLEMENTARY INFORMATION</w:t>
      </w:r>
    </w:p>
    <w:p w14:paraId="6790B130">
      <w:pPr>
        <w:snapToGrid w:val="0"/>
        <w:spacing w:after="240" w:line="360" w:lineRule="auto"/>
        <w:jc w:val="center"/>
        <w:rPr>
          <w:rFonts w:ascii="Times New Roman" w:hAnsi="Times New Roman" w:eastAsia="等线" w:cs="Times New Roman"/>
          <w:b/>
          <w:color w:val="000000" w:themeColor="text1"/>
          <w:sz w:val="24"/>
          <w:szCs w:val="24"/>
          <w:lang w:val="en-US" w:eastAsia="en-US"/>
          <w14:textFill>
            <w14:solidFill>
              <w14:schemeClr w14:val="tx1"/>
            </w14:solidFill>
          </w14:textFill>
        </w:rPr>
      </w:pPr>
    </w:p>
    <w:p w14:paraId="34EA7BDE">
      <w:pPr>
        <w:snapToGrid w:val="0"/>
        <w:spacing w:after="240" w:line="360" w:lineRule="auto"/>
        <w:jc w:val="center"/>
        <w:rPr>
          <w:rFonts w:ascii="Times New Roman" w:hAnsi="Times New Roman" w:eastAsia="等线" w:cs="Times New Roman"/>
          <w:b/>
          <w:color w:val="000000" w:themeColor="text1"/>
          <w:sz w:val="24"/>
          <w:szCs w:val="24"/>
          <w:lang w:val="en-US" w:eastAsia="en-US"/>
          <w14:textFill>
            <w14:solidFill>
              <w14:schemeClr w14:val="tx1"/>
            </w14:solidFill>
          </w14:textFill>
        </w:rPr>
      </w:pPr>
      <w:r>
        <w:rPr>
          <w:rFonts w:hint="eastAsia" w:ascii="Times New Roman" w:hAnsi="Times New Roman" w:eastAsia="等线" w:cs="Times New Roman"/>
          <w:b/>
          <w:color w:val="000000" w:themeColor="text1"/>
          <w:sz w:val="24"/>
          <w:szCs w:val="24"/>
          <w:lang w:val="en-US" w:eastAsia="en-US"/>
          <w14:textFill>
            <w14:solidFill>
              <w14:schemeClr w14:val="tx1"/>
            </w14:solidFill>
          </w14:textFill>
        </w:rPr>
        <w:t xml:space="preserve">Improved Simulation of Volcanic Sulfur Dioxide Depletion and Transport Using a </w:t>
      </w:r>
      <w:r>
        <w:rPr>
          <w:rFonts w:ascii="Times New Roman" w:hAnsi="Times New Roman" w:eastAsia="等线" w:cs="Times New Roman"/>
          <w:b/>
          <w:color w:val="000000" w:themeColor="text1"/>
          <w:sz w:val="24"/>
          <w:szCs w:val="24"/>
          <w:lang w:val="en-US" w:eastAsia="en-US"/>
          <w14:textFill>
            <w14:solidFill>
              <w14:schemeClr w14:val="tx1"/>
            </w14:solidFill>
          </w14:textFill>
        </w:rPr>
        <w:t>High-Resolution</w:t>
      </w:r>
      <w:r>
        <w:rPr>
          <w:rFonts w:hint="eastAsia" w:ascii="Times New Roman" w:hAnsi="Times New Roman" w:eastAsia="等线" w:cs="Times New Roman"/>
          <w:b/>
          <w:color w:val="000000" w:themeColor="text1"/>
          <w:sz w:val="24"/>
          <w:szCs w:val="24"/>
          <w:lang w:val="en-US" w:eastAsia="en-US"/>
          <w14:textFill>
            <w14:solidFill>
              <w14:schemeClr w14:val="tx1"/>
            </w14:solidFill>
          </w14:textFill>
        </w:rPr>
        <w:t xml:space="preserve"> Volcanic Sulfur Dioxide Emissions Inventory</w:t>
      </w:r>
    </w:p>
    <w:p w14:paraId="229ED00A">
      <w:pPr>
        <w:snapToGrid w:val="0"/>
        <w:spacing w:after="0" w:line="480" w:lineRule="auto"/>
        <w:ind w:right="27"/>
        <w:jc w:val="center"/>
        <w:rPr>
          <w:rFonts w:ascii="Times New Roman" w:hAnsi="Times New Roman" w:eastAsia="等线" w:cs="Times New Roman"/>
          <w:b/>
          <w:color w:val="000000"/>
          <w:sz w:val="24"/>
          <w:szCs w:val="24"/>
          <w:vertAlign w:val="superscript"/>
          <w:lang w:val="de-DE" w:eastAsia="en-US"/>
        </w:rPr>
      </w:pPr>
      <w:r>
        <w:rPr>
          <w:rFonts w:ascii="Times New Roman" w:hAnsi="Times New Roman" w:eastAsia="等线" w:cs="Times New Roman"/>
          <w:b/>
          <w:color w:val="000000"/>
          <w:sz w:val="24"/>
          <w:szCs w:val="24"/>
          <w:lang w:val="de-DE"/>
        </w:rPr>
        <w:t>Xue</w:t>
      </w:r>
      <w:r>
        <w:rPr>
          <w:rFonts w:ascii="Times New Roman" w:hAnsi="Times New Roman" w:eastAsia="等线" w:cs="Times New Roman"/>
          <w:b/>
          <w:color w:val="000000"/>
          <w:sz w:val="24"/>
          <w:szCs w:val="24"/>
          <w:lang w:val="de-DE" w:eastAsia="en-US"/>
        </w:rPr>
        <w:t xml:space="preserve"> </w:t>
      </w:r>
      <w:r>
        <w:rPr>
          <w:rFonts w:ascii="Times New Roman" w:hAnsi="Times New Roman" w:eastAsia="等线" w:cs="Times New Roman"/>
          <w:b/>
          <w:color w:val="000000"/>
          <w:sz w:val="24"/>
          <w:szCs w:val="24"/>
          <w:lang w:val="de-DE"/>
        </w:rPr>
        <w:t>Wu</w:t>
      </w:r>
      <w:r>
        <w:rPr>
          <w:rFonts w:ascii="Times New Roman" w:hAnsi="Times New Roman" w:eastAsia="等线" w:cs="Times New Roman"/>
          <w:b/>
          <w:color w:val="000000"/>
          <w:sz w:val="24"/>
          <w:szCs w:val="24"/>
          <w:vertAlign w:val="superscript"/>
          <w:lang w:val="de-DE" w:eastAsia="en-US"/>
        </w:rPr>
        <w:t>1,2</w:t>
      </w:r>
      <w:r>
        <w:rPr>
          <w:rFonts w:ascii="Times New Roman" w:hAnsi="Times New Roman" w:eastAsia="等线" w:cs="Times New Roman"/>
          <w:b/>
          <w:color w:val="000000"/>
          <w:sz w:val="24"/>
          <w:szCs w:val="24"/>
          <w:lang w:val="de-DE" w:eastAsia="en-US"/>
        </w:rPr>
        <w:t xml:space="preserve">, </w:t>
      </w:r>
      <w:r>
        <w:rPr>
          <w:rFonts w:hint="eastAsia" w:ascii="Times New Roman" w:hAnsi="Times New Roman" w:eastAsia="等线" w:cs="Times New Roman"/>
          <w:b/>
          <w:color w:val="000000"/>
          <w:sz w:val="24"/>
          <w:szCs w:val="24"/>
          <w:lang w:val="de-DE"/>
        </w:rPr>
        <w:t>Wenjing Zhang</w:t>
      </w:r>
      <w:r>
        <w:rPr>
          <w:rFonts w:ascii="Times New Roman" w:hAnsi="Times New Roman" w:eastAsia="等线" w:cs="Times New Roman"/>
          <w:b/>
          <w:color w:val="000000"/>
          <w:sz w:val="24"/>
          <w:szCs w:val="24"/>
          <w:vertAlign w:val="superscript"/>
          <w:lang w:val="de-DE" w:eastAsia="en-US"/>
        </w:rPr>
        <w:t>3</w:t>
      </w:r>
      <w:r>
        <w:rPr>
          <w:rFonts w:hint="eastAsia" w:ascii="Times New Roman" w:hAnsi="Times New Roman" w:eastAsia="等线" w:cs="Times New Roman"/>
          <w:b/>
          <w:color w:val="000000"/>
          <w:sz w:val="24"/>
          <w:szCs w:val="24"/>
          <w:lang w:val="de-DE"/>
        </w:rPr>
        <w:t xml:space="preserve">, </w:t>
      </w:r>
      <w:r>
        <w:rPr>
          <w:rFonts w:ascii="Times New Roman" w:hAnsi="Times New Roman" w:eastAsia="等线" w:cs="Times New Roman"/>
          <w:b/>
          <w:color w:val="000000"/>
          <w:sz w:val="24"/>
          <w:szCs w:val="24"/>
          <w:lang w:val="de-DE" w:eastAsia="en-US"/>
        </w:rPr>
        <w:t>Lars Hoffmann</w:t>
      </w:r>
      <w:r>
        <w:rPr>
          <w:rFonts w:ascii="Times New Roman" w:hAnsi="Times New Roman" w:eastAsia="等线" w:cs="Times New Roman"/>
          <w:b/>
          <w:color w:val="000000"/>
          <w:sz w:val="24"/>
          <w:szCs w:val="24"/>
          <w:vertAlign w:val="superscript"/>
          <w:lang w:val="de-DE" w:eastAsia="en-US"/>
        </w:rPr>
        <w:t>4</w:t>
      </w:r>
      <w:r>
        <w:rPr>
          <w:rFonts w:ascii="Times New Roman" w:hAnsi="Times New Roman" w:eastAsia="等线" w:cs="Times New Roman"/>
          <w:b/>
          <w:color w:val="000000"/>
          <w:sz w:val="24"/>
          <w:szCs w:val="24"/>
          <w:lang w:val="de-DE" w:eastAsia="en-US"/>
        </w:rPr>
        <w:t>, Sabine Griessbach</w:t>
      </w:r>
      <w:r>
        <w:rPr>
          <w:rFonts w:ascii="Times New Roman" w:hAnsi="Times New Roman" w:eastAsia="等线" w:cs="Times New Roman"/>
          <w:b/>
          <w:color w:val="000000"/>
          <w:sz w:val="24"/>
          <w:szCs w:val="24"/>
          <w:vertAlign w:val="superscript"/>
          <w:lang w:val="de-DE" w:eastAsia="en-US"/>
        </w:rPr>
        <w:t>4</w:t>
      </w:r>
      <w:r>
        <w:rPr>
          <w:rFonts w:ascii="Times New Roman" w:hAnsi="Times New Roman" w:eastAsia="等线" w:cs="Times New Roman"/>
          <w:b/>
          <w:color w:val="000000"/>
          <w:sz w:val="24"/>
          <w:szCs w:val="24"/>
          <w:lang w:val="de-DE" w:eastAsia="en-US"/>
        </w:rPr>
        <w:t>, Bing Chen</w:t>
      </w:r>
      <w:r>
        <w:rPr>
          <w:rFonts w:ascii="Times New Roman" w:hAnsi="Times New Roman" w:eastAsia="等线" w:cs="Times New Roman"/>
          <w:b/>
          <w:color w:val="000000"/>
          <w:sz w:val="24"/>
          <w:szCs w:val="24"/>
          <w:vertAlign w:val="superscript"/>
          <w:lang w:val="de-DE" w:eastAsia="en-US"/>
        </w:rPr>
        <w:t>3</w:t>
      </w:r>
      <w:r>
        <w:rPr>
          <w:rFonts w:hint="eastAsia" w:ascii="Times New Roman" w:hAnsi="Times New Roman" w:eastAsia="等线" w:cs="Times New Roman"/>
          <w:b/>
          <w:color w:val="000000"/>
          <w:sz w:val="24"/>
          <w:szCs w:val="24"/>
          <w:vertAlign w:val="superscript"/>
          <w:lang w:val="de-DE"/>
        </w:rPr>
        <w:t>*</w:t>
      </w:r>
      <w:r>
        <w:rPr>
          <w:rFonts w:ascii="Times New Roman" w:hAnsi="Times New Roman" w:eastAsia="等线" w:cs="Times New Roman"/>
          <w:b/>
          <w:color w:val="000000"/>
          <w:sz w:val="24"/>
          <w:szCs w:val="24"/>
          <w:lang w:val="de-DE" w:eastAsia="en-US"/>
        </w:rPr>
        <w:t xml:space="preserve">, </w:t>
      </w:r>
      <w:bookmarkStart w:id="0" w:name="_GoBack"/>
      <w:bookmarkEnd w:id="0"/>
      <w:r>
        <w:rPr>
          <w:rFonts w:hint="eastAsia" w:ascii="Times New Roman" w:hAnsi="Times New Roman" w:eastAsia="等线" w:cs="Times New Roman"/>
          <w:b/>
          <w:color w:val="000000"/>
          <w:sz w:val="24"/>
          <w:szCs w:val="24"/>
          <w:lang w:val="de-DE"/>
        </w:rPr>
        <w:t>Ming Li</w:t>
      </w:r>
      <w:r>
        <w:rPr>
          <w:rFonts w:ascii="Times New Roman" w:hAnsi="Times New Roman" w:eastAsia="等线" w:cs="Times New Roman"/>
          <w:b/>
          <w:color w:val="000000"/>
          <w:sz w:val="24"/>
          <w:szCs w:val="24"/>
          <w:vertAlign w:val="superscript"/>
          <w:lang w:val="de-DE" w:eastAsia="en-US"/>
        </w:rPr>
        <w:t>1,2</w:t>
      </w:r>
    </w:p>
    <w:p w14:paraId="419FC1AF">
      <w:pPr>
        <w:snapToGrid w:val="0"/>
        <w:spacing w:after="0" w:line="480" w:lineRule="auto"/>
        <w:ind w:right="27"/>
        <w:jc w:val="center"/>
        <w:rPr>
          <w:rFonts w:ascii="Times New Roman" w:hAnsi="Times New Roman" w:eastAsia="等线" w:cs="Times New Roman"/>
          <w:color w:val="000000"/>
          <w:sz w:val="24"/>
          <w:szCs w:val="24"/>
          <w:lang w:val="en-US" w:eastAsia="en-US"/>
        </w:rPr>
      </w:pPr>
      <w:r>
        <w:rPr>
          <w:rFonts w:ascii="Times New Roman" w:hAnsi="Times New Roman" w:eastAsia="等线" w:cs="Times New Roman"/>
          <w:color w:val="000000"/>
          <w:sz w:val="24"/>
          <w:szCs w:val="24"/>
          <w:vertAlign w:val="superscript"/>
          <w:lang w:val="en-US" w:eastAsia="en-US"/>
        </w:rPr>
        <w:t xml:space="preserve">1 </w:t>
      </w:r>
      <w:r>
        <w:rPr>
          <w:rFonts w:ascii="Times New Roman" w:hAnsi="Times New Roman" w:eastAsia="等线" w:cs="Times New Roman"/>
          <w:color w:val="000000"/>
          <w:sz w:val="24"/>
          <w:szCs w:val="24"/>
          <w:lang w:val="en-US" w:eastAsia="en-US"/>
        </w:rPr>
        <w:t>Laboratory of Middle Atmosphere and Global Environment Observation, Institute of Atmospheric Physics, Chinese Academy of Sciences, Beijing, China</w:t>
      </w:r>
    </w:p>
    <w:p w14:paraId="28D63D4D">
      <w:pPr>
        <w:snapToGrid w:val="0"/>
        <w:spacing w:after="0" w:line="480" w:lineRule="auto"/>
        <w:ind w:right="27"/>
        <w:jc w:val="center"/>
        <w:rPr>
          <w:rFonts w:ascii="Times New Roman" w:hAnsi="Times New Roman" w:eastAsia="等线" w:cs="Times New Roman"/>
          <w:color w:val="000000"/>
          <w:sz w:val="24"/>
          <w:szCs w:val="24"/>
          <w:lang w:val="en-US" w:eastAsia="en-US"/>
        </w:rPr>
      </w:pPr>
      <w:r>
        <w:rPr>
          <w:rFonts w:ascii="Times New Roman" w:hAnsi="Times New Roman" w:eastAsia="等线" w:cs="Times New Roman"/>
          <w:color w:val="000000"/>
          <w:sz w:val="24"/>
          <w:szCs w:val="24"/>
          <w:vertAlign w:val="superscript"/>
          <w:lang w:val="en-US" w:eastAsia="en-US"/>
        </w:rPr>
        <w:t xml:space="preserve">2 </w:t>
      </w:r>
      <w:r>
        <w:rPr>
          <w:rFonts w:ascii="Times New Roman" w:hAnsi="Times New Roman" w:eastAsia="等线" w:cs="Times New Roman"/>
          <w:color w:val="000000"/>
          <w:sz w:val="24"/>
          <w:szCs w:val="24"/>
          <w:lang w:val="en-US" w:eastAsia="en-US"/>
        </w:rPr>
        <w:t>University of Chinese Academy of Sciences, Beijing, China</w:t>
      </w:r>
    </w:p>
    <w:p w14:paraId="3DFA8DF0">
      <w:pPr>
        <w:snapToGrid w:val="0"/>
        <w:spacing w:after="0" w:line="480" w:lineRule="auto"/>
        <w:ind w:right="27"/>
        <w:jc w:val="center"/>
        <w:rPr>
          <w:rFonts w:ascii="Times New Roman" w:hAnsi="Times New Roman" w:eastAsia="等线" w:cs="Times New Roman"/>
          <w:color w:val="000000"/>
          <w:sz w:val="24"/>
          <w:szCs w:val="24"/>
          <w:lang w:val="en-US" w:eastAsia="en-US"/>
        </w:rPr>
      </w:pPr>
      <w:r>
        <w:rPr>
          <w:rFonts w:ascii="Times New Roman" w:hAnsi="Times New Roman" w:eastAsia="等线" w:cs="Times New Roman"/>
          <w:color w:val="000000"/>
          <w:sz w:val="24"/>
          <w:szCs w:val="24"/>
          <w:vertAlign w:val="superscript"/>
          <w:lang w:val="en-US" w:eastAsia="en-US"/>
        </w:rPr>
        <w:t xml:space="preserve">3 </w:t>
      </w:r>
      <w:r>
        <w:rPr>
          <w:rFonts w:ascii="Times New Roman" w:hAnsi="Times New Roman" w:eastAsia="等线" w:cs="Times New Roman"/>
          <w:color w:val="000000"/>
          <w:sz w:val="24"/>
          <w:szCs w:val="24"/>
          <w:lang w:val="en-US" w:eastAsia="en-US"/>
        </w:rPr>
        <w:t>Key Laboratory of Atmospheric Environment and Processes in the Boundary Layer over the Low‑Latitude Plateau Region, Department of Atmospheric Science, Yunnan University, Kunming, China</w:t>
      </w:r>
    </w:p>
    <w:p w14:paraId="5023F74B">
      <w:pPr>
        <w:snapToGrid w:val="0"/>
        <w:spacing w:after="0" w:line="480" w:lineRule="auto"/>
        <w:ind w:right="27"/>
        <w:jc w:val="center"/>
        <w:rPr>
          <w:rFonts w:ascii="Times New Roman" w:hAnsi="Times New Roman" w:eastAsia="等线" w:cs="Times New Roman"/>
          <w:color w:val="000000"/>
          <w:sz w:val="24"/>
          <w:szCs w:val="24"/>
          <w:lang w:val="de-DE" w:eastAsia="en-US"/>
        </w:rPr>
      </w:pPr>
      <w:r>
        <w:rPr>
          <w:rFonts w:ascii="Times New Roman" w:hAnsi="Times New Roman" w:eastAsia="等线" w:cs="Times New Roman"/>
          <w:color w:val="000000"/>
          <w:sz w:val="24"/>
          <w:szCs w:val="24"/>
          <w:vertAlign w:val="superscript"/>
          <w:lang w:val="de-DE" w:eastAsia="en-US"/>
        </w:rPr>
        <w:t xml:space="preserve">4 </w:t>
      </w:r>
      <w:r>
        <w:rPr>
          <w:rFonts w:ascii="Times New Roman" w:hAnsi="Times New Roman" w:eastAsia="等线" w:cs="Times New Roman"/>
          <w:color w:val="000000"/>
          <w:sz w:val="24"/>
          <w:szCs w:val="24"/>
          <w:lang w:val="de-DE" w:eastAsia="en-US"/>
        </w:rPr>
        <w:t>Jülich Supercomputing Centre, Forschungszentrum Jülich, Jülich, Germany</w:t>
      </w:r>
    </w:p>
    <w:p w14:paraId="0ED2E08D">
      <w:pPr>
        <w:autoSpaceDE w:val="0"/>
        <w:autoSpaceDN w:val="0"/>
        <w:adjustRightInd w:val="0"/>
        <w:snapToGrid w:val="0"/>
        <w:spacing w:after="0" w:line="480" w:lineRule="auto"/>
        <w:jc w:val="center"/>
        <w:rPr>
          <w:rFonts w:ascii="Times New Roman" w:hAnsi="Times New Roman" w:eastAsia="等线" w:cs="Times New Roman"/>
          <w:sz w:val="24"/>
          <w:szCs w:val="24"/>
          <w:lang w:val="en-US" w:eastAsia="en-US"/>
        </w:rPr>
      </w:pPr>
      <w:r>
        <w:rPr>
          <w:rFonts w:ascii="Times New Roman" w:hAnsi="Times New Roman" w:eastAsia="等线" w:cs="Times New Roman"/>
          <w:sz w:val="24"/>
          <w:szCs w:val="24"/>
          <w:lang w:val="en-US" w:eastAsia="en-US"/>
        </w:rPr>
        <w:t>*Correspondence: chenbing@ynu.edu.cn</w:t>
      </w:r>
    </w:p>
    <w:p w14:paraId="4AFD2EB4">
      <w:pPr>
        <w:snapToGrid w:val="0"/>
        <w:spacing w:after="0" w:line="480" w:lineRule="auto"/>
        <w:rPr>
          <w:rFonts w:ascii="Times New Roman" w:hAnsi="Times New Roman" w:eastAsia="等线" w:cs="Times New Roman"/>
          <w:b/>
          <w:color w:val="000000" w:themeColor="text1"/>
          <w:sz w:val="24"/>
          <w:szCs w:val="24"/>
          <w:lang w:val="en-US" w:eastAsia="en-US"/>
          <w14:textFill>
            <w14:solidFill>
              <w14:schemeClr w14:val="tx1"/>
            </w14:solidFill>
          </w14:textFill>
        </w:rPr>
      </w:pPr>
    </w:p>
    <w:p w14:paraId="6DF5930B">
      <w:pPr>
        <w:snapToGrid w:val="0"/>
        <w:spacing w:after="0" w:line="480" w:lineRule="auto"/>
        <w:rPr>
          <w:rFonts w:ascii="Times New Roman" w:hAnsi="Times New Roman" w:eastAsia="等线" w:cs="Times New Roman"/>
          <w:b/>
          <w:color w:val="000000" w:themeColor="text1"/>
          <w:sz w:val="24"/>
          <w:szCs w:val="24"/>
          <w:lang w:val="en-US" w:eastAsia="en-US"/>
          <w14:textFill>
            <w14:solidFill>
              <w14:schemeClr w14:val="tx1"/>
            </w14:solidFill>
          </w14:textFill>
        </w:rPr>
      </w:pPr>
    </w:p>
    <w:p w14:paraId="0116FD2B">
      <w:pPr>
        <w:rPr>
          <w:rFonts w:ascii="Times New Roman" w:hAnsi="Times New Roman" w:eastAsia="等线" w:cs="Times New Roman"/>
          <w:b/>
          <w:color w:val="000000" w:themeColor="text1"/>
          <w:sz w:val="24"/>
          <w:szCs w:val="24"/>
          <w:lang w:val="en-US" w:eastAsia="en-US"/>
          <w14:textFill>
            <w14:solidFill>
              <w14:schemeClr w14:val="tx1"/>
            </w14:solidFill>
          </w14:textFill>
        </w:rPr>
      </w:pPr>
      <w:r>
        <w:rPr>
          <w:rFonts w:ascii="Times New Roman" w:hAnsi="Times New Roman" w:eastAsia="等线" w:cs="Times New Roman"/>
          <w:b/>
          <w:color w:val="000000" w:themeColor="text1"/>
          <w:sz w:val="24"/>
          <w:szCs w:val="24"/>
          <w:lang w:val="en-US" w:eastAsia="en-US"/>
          <w14:textFill>
            <w14:solidFill>
              <w14:schemeClr w14:val="tx1"/>
            </w14:solidFill>
          </w14:textFill>
        </w:rPr>
        <w:t xml:space="preserve">Contents of this file: </w:t>
      </w:r>
    </w:p>
    <w:p w14:paraId="69FB0AF3">
      <w:pPr>
        <w:rPr>
          <w:rFonts w:ascii="Times New Roman" w:hAnsi="Times New Roman" w:eastAsia="等线" w:cs="Times New Roman"/>
          <w:b/>
          <w:color w:val="000000" w:themeColor="text1"/>
          <w:sz w:val="24"/>
          <w:szCs w:val="24"/>
          <w:lang w:val="en-US" w:eastAsia="en-US"/>
          <w14:textFill>
            <w14:solidFill>
              <w14:schemeClr w14:val="tx1"/>
            </w14:solidFill>
          </w14:textFill>
        </w:rPr>
      </w:pPr>
      <w:r>
        <w:rPr>
          <w:rFonts w:ascii="Times New Roman" w:hAnsi="Times New Roman" w:eastAsia="等线" w:cs="Times New Roman"/>
          <w:b/>
          <w:color w:val="000000" w:themeColor="text1"/>
          <w:sz w:val="24"/>
          <w:szCs w:val="24"/>
          <w:lang w:val="en-US" w:eastAsia="en-US"/>
          <w14:textFill>
            <w14:solidFill>
              <w14:schemeClr w14:val="tx1"/>
            </w14:solidFill>
          </w14:textFill>
        </w:rPr>
        <w:t>Supplementary Note</w:t>
      </w:r>
      <w:r>
        <w:rPr>
          <w:rFonts w:hint="eastAsia" w:ascii="Times New Roman" w:hAnsi="Times New Roman" w:eastAsia="等线" w:cs="Times New Roman"/>
          <w:b/>
          <w:color w:val="000000" w:themeColor="text1"/>
          <w:sz w:val="24"/>
          <w:szCs w:val="24"/>
          <w:lang w:val="en-US"/>
          <w14:textFill>
            <w14:solidFill>
              <w14:schemeClr w14:val="tx1"/>
            </w14:solidFill>
          </w14:textFill>
        </w:rPr>
        <w:t>s</w:t>
      </w:r>
      <w:r>
        <w:rPr>
          <w:rFonts w:ascii="Times New Roman" w:hAnsi="Times New Roman" w:eastAsia="等线" w:cs="Times New Roman"/>
          <w:b/>
          <w:color w:val="000000" w:themeColor="text1"/>
          <w:sz w:val="24"/>
          <w:szCs w:val="24"/>
          <w:lang w:val="en-US" w:eastAsia="en-US"/>
          <w14:textFill>
            <w14:solidFill>
              <w14:schemeClr w14:val="tx1"/>
            </w14:solidFill>
          </w14:textFill>
        </w:rPr>
        <w:t xml:space="preserve"> 1</w:t>
      </w:r>
      <w:r>
        <w:rPr>
          <w:rFonts w:hint="eastAsia" w:ascii="Times New Roman" w:hAnsi="Times New Roman" w:eastAsia="等线" w:cs="Times New Roman"/>
          <w:b/>
          <w:color w:val="000000" w:themeColor="text1"/>
          <w:sz w:val="24"/>
          <w:szCs w:val="24"/>
          <w:lang w:val="en-US"/>
          <w14:textFill>
            <w14:solidFill>
              <w14:schemeClr w14:val="tx1"/>
            </w14:solidFill>
          </w14:textFill>
        </w:rPr>
        <w:t xml:space="preserve"> to 2</w:t>
      </w:r>
      <w:r>
        <w:rPr>
          <w:rFonts w:ascii="Times New Roman" w:hAnsi="Times New Roman" w:eastAsia="等线" w:cs="Times New Roman"/>
          <w:b/>
          <w:color w:val="000000" w:themeColor="text1"/>
          <w:sz w:val="24"/>
          <w:szCs w:val="24"/>
          <w:lang w:val="en-US" w:eastAsia="en-US"/>
          <w14:textFill>
            <w14:solidFill>
              <w14:schemeClr w14:val="tx1"/>
            </w14:solidFill>
          </w14:textFill>
        </w:rPr>
        <w:t xml:space="preserve"> </w:t>
      </w:r>
    </w:p>
    <w:p w14:paraId="5EDFEC2F">
      <w:pPr>
        <w:rPr>
          <w:rFonts w:ascii="Times New Roman" w:hAnsi="Times New Roman" w:eastAsia="等线" w:cs="Times New Roman"/>
          <w:b/>
          <w:color w:val="000000" w:themeColor="text1"/>
          <w:sz w:val="24"/>
          <w:szCs w:val="24"/>
          <w:lang w:val="en-US" w:eastAsia="en-US"/>
          <w14:textFill>
            <w14:solidFill>
              <w14:schemeClr w14:val="tx1"/>
            </w14:solidFill>
          </w14:textFill>
        </w:rPr>
      </w:pPr>
      <w:r>
        <w:rPr>
          <w:rFonts w:ascii="Times New Roman" w:hAnsi="Times New Roman" w:eastAsia="等线" w:cs="Times New Roman"/>
          <w:b/>
          <w:color w:val="000000" w:themeColor="text1"/>
          <w:sz w:val="24"/>
          <w:szCs w:val="24"/>
          <w:lang w:val="en-US" w:eastAsia="en-US"/>
          <w14:textFill>
            <w14:solidFill>
              <w14:schemeClr w14:val="tx1"/>
            </w14:solidFill>
          </w14:textFill>
        </w:rPr>
        <w:t xml:space="preserve">Supplementary Figures 1 to </w:t>
      </w:r>
      <w:r>
        <w:rPr>
          <w:rFonts w:hint="eastAsia" w:ascii="Times New Roman" w:hAnsi="Times New Roman" w:eastAsia="等线" w:cs="Times New Roman"/>
          <w:b/>
          <w:color w:val="000000" w:themeColor="text1"/>
          <w:sz w:val="24"/>
          <w:szCs w:val="24"/>
          <w:lang w:val="en-US"/>
          <w14:textFill>
            <w14:solidFill>
              <w14:schemeClr w14:val="tx1"/>
            </w14:solidFill>
          </w14:textFill>
        </w:rPr>
        <w:t>8</w:t>
      </w:r>
      <w:r>
        <w:rPr>
          <w:rFonts w:ascii="Times New Roman" w:hAnsi="Times New Roman" w:eastAsia="等线" w:cs="Times New Roman"/>
          <w:b/>
          <w:color w:val="000000" w:themeColor="text1"/>
          <w:sz w:val="24"/>
          <w:szCs w:val="24"/>
          <w:lang w:val="en-US" w:eastAsia="en-US"/>
          <w14:textFill>
            <w14:solidFill>
              <w14:schemeClr w14:val="tx1"/>
            </w14:solidFill>
          </w14:textFill>
        </w:rPr>
        <w:t xml:space="preserve"> </w:t>
      </w:r>
    </w:p>
    <w:p w14:paraId="4F74BF8F">
      <w:pPr>
        <w:rPr>
          <w:rFonts w:ascii="Times New Roman" w:hAnsi="Times New Roman" w:eastAsia="等线" w:cs="Times New Roman"/>
          <w:b/>
          <w:color w:val="000000" w:themeColor="text1"/>
          <w:sz w:val="24"/>
          <w:szCs w:val="24"/>
          <w:lang w:val="en-US" w:eastAsia="en-US"/>
          <w14:textFill>
            <w14:solidFill>
              <w14:schemeClr w14:val="tx1"/>
            </w14:solidFill>
          </w14:textFill>
        </w:rPr>
      </w:pPr>
    </w:p>
    <w:p w14:paraId="4CE5ADC9">
      <w:pPr>
        <w:rPr>
          <w:rFonts w:ascii="Times New Roman" w:hAnsi="Times New Roman" w:cs="Times New Roman"/>
          <w:b/>
          <w:bCs/>
          <w:color w:val="000000" w:themeColor="text1"/>
          <w:sz w:val="24"/>
          <w:szCs w:val="24"/>
          <w:lang w:val="en-US"/>
          <w14:textFill>
            <w14:solidFill>
              <w14:schemeClr w14:val="tx1"/>
            </w14:solidFill>
          </w14:textFill>
        </w:rPr>
      </w:pPr>
      <w:r>
        <w:rPr>
          <w:rFonts w:hint="eastAsia" w:ascii="Times New Roman" w:hAnsi="Times New Roman" w:cs="Times New Roman"/>
          <w:b/>
          <w:bCs/>
          <w:color w:val="000000" w:themeColor="text1"/>
          <w:sz w:val="24"/>
          <w:szCs w:val="24"/>
          <w:lang w:val="en-US"/>
          <w14:textFill>
            <w14:solidFill>
              <w14:schemeClr w14:val="tx1"/>
            </w14:solidFill>
          </w14:textFill>
        </w:rPr>
        <w:br w:type="page"/>
      </w:r>
    </w:p>
    <w:p w14:paraId="2248D3E2">
      <w:pPr>
        <w:spacing w:line="260" w:lineRule="auto"/>
        <w:outlineLvl w:val="0"/>
        <w:rPr>
          <w:color w:val="000000" w:themeColor="text1"/>
          <w:sz w:val="24"/>
          <w:szCs w:val="24"/>
          <w:lang w:val="en-US"/>
          <w14:textFill>
            <w14:solidFill>
              <w14:schemeClr w14:val="tx1"/>
            </w14:solidFill>
          </w14:textFill>
        </w:rPr>
      </w:pPr>
      <w:r>
        <w:rPr>
          <w:rFonts w:hint="eastAsia" w:ascii="Times New Roman" w:hAnsi="Times New Roman" w:cs="Times New Roman"/>
          <w:b/>
          <w:bCs/>
          <w:color w:val="000000" w:themeColor="text1"/>
          <w:sz w:val="24"/>
          <w:szCs w:val="24"/>
          <w:lang w:val="en-US"/>
          <w14:textFill>
            <w14:solidFill>
              <w14:schemeClr w14:val="tx1"/>
            </w14:solidFill>
          </w14:textFill>
        </w:rPr>
        <w:t xml:space="preserve">Supplementary Note 1: </w:t>
      </w:r>
      <w:r>
        <w:rPr>
          <w:rFonts w:hint="eastAsia" w:ascii="Times New Roman" w:hAnsi="Times New Roman" w:eastAsia="等线 Light"/>
          <w:b/>
          <w:color w:val="000000" w:themeColor="text1"/>
          <w:kern w:val="2"/>
          <w:sz w:val="24"/>
          <w:szCs w:val="24"/>
          <w:lang w:val="en-US"/>
          <w14:textFill>
            <w14:solidFill>
              <w14:schemeClr w14:val="tx1"/>
            </w14:solidFill>
          </w14:textFill>
        </w:rPr>
        <w:t xml:space="preserve">Construction of </w:t>
      </w:r>
      <w:r>
        <w:rPr>
          <w:rFonts w:hint="eastAsia" w:ascii="Times New Roman" w:hAnsi="Times New Roman" w:eastAsia="等线 Light"/>
          <w:b/>
          <w:color w:val="000000" w:themeColor="text1"/>
          <w:kern w:val="2"/>
          <w:sz w:val="24"/>
          <w:szCs w:val="24"/>
          <w14:textFill>
            <w14:solidFill>
              <w14:schemeClr w14:val="tx1"/>
            </w14:solidFill>
          </w14:textFill>
        </w:rPr>
        <w:t>the Time- and Height-Resolved Inventory of Volcanic Emissions</w:t>
      </w:r>
      <w:r>
        <w:rPr>
          <w:rFonts w:hint="eastAsia" w:ascii="Times New Roman" w:hAnsi="Times New Roman" w:eastAsia="等线 Light"/>
          <w:b/>
          <w:color w:val="000000" w:themeColor="text1"/>
          <w:kern w:val="2"/>
          <w:sz w:val="24"/>
          <w:szCs w:val="24"/>
          <w:lang w:val="en-US"/>
          <w14:textFill>
            <w14:solidFill>
              <w14:schemeClr w14:val="tx1"/>
            </w14:solidFill>
          </w14:textFill>
        </w:rPr>
        <w:t xml:space="preserve"> of SO</w:t>
      </w:r>
      <w:r>
        <w:rPr>
          <w:rFonts w:hint="eastAsia" w:ascii="Times New Roman" w:hAnsi="Times New Roman" w:eastAsia="等线 Light"/>
          <w:b/>
          <w:color w:val="000000" w:themeColor="text1"/>
          <w:kern w:val="2"/>
          <w:sz w:val="24"/>
          <w:szCs w:val="24"/>
          <w:vertAlign w:val="subscript"/>
          <w:lang w:val="en-US"/>
          <w14:textFill>
            <w14:solidFill>
              <w14:schemeClr w14:val="tx1"/>
            </w14:solidFill>
          </w14:textFill>
        </w:rPr>
        <w:t>2</w:t>
      </w:r>
      <w:r>
        <w:rPr>
          <w:rFonts w:hint="eastAsia" w:ascii="Times New Roman" w:hAnsi="Times New Roman" w:eastAsia="等线 Light"/>
          <w:b/>
          <w:color w:val="000000" w:themeColor="text1"/>
          <w:kern w:val="2"/>
          <w:sz w:val="24"/>
          <w:szCs w:val="24"/>
          <w:lang w:val="en-US"/>
          <w14:textFill>
            <w14:solidFill>
              <w14:schemeClr w14:val="tx1"/>
            </w14:solidFill>
          </w14:textFill>
        </w:rPr>
        <w:t xml:space="preserve"> (</w:t>
      </w:r>
      <w:r>
        <w:rPr>
          <w:rFonts w:hint="eastAsia" w:ascii="Times New Roman" w:hAnsi="Times New Roman" w:eastAsia="等线 Light"/>
          <w:b/>
          <w:color w:val="000000" w:themeColor="text1"/>
          <w:kern w:val="2"/>
          <w:sz w:val="24"/>
          <w:szCs w:val="24"/>
          <w14:textFill>
            <w14:solidFill>
              <w14:schemeClr w14:val="tx1"/>
            </w14:solidFill>
          </w14:textFill>
        </w:rPr>
        <w:t>THRIVE-SO</w:t>
      </w:r>
      <w:r>
        <w:rPr>
          <w:rFonts w:hint="eastAsia" w:ascii="Times New Roman" w:hAnsi="Times New Roman" w:eastAsia="等线 Light"/>
          <w:b/>
          <w:color w:val="000000" w:themeColor="text1"/>
          <w:kern w:val="2"/>
          <w:sz w:val="24"/>
          <w:szCs w:val="24"/>
          <w:vertAlign w:val="subscript"/>
          <w:lang w:val="en-US"/>
          <w14:textFill>
            <w14:solidFill>
              <w14:schemeClr w14:val="tx1"/>
            </w14:solidFill>
          </w14:textFill>
        </w:rPr>
        <w:t>2</w:t>
      </w:r>
      <w:r>
        <w:rPr>
          <w:rFonts w:hint="eastAsia" w:ascii="Times New Roman" w:hAnsi="Times New Roman" w:eastAsia="等线 Light"/>
          <w:b/>
          <w:color w:val="000000" w:themeColor="text1"/>
          <w:kern w:val="2"/>
          <w:sz w:val="24"/>
          <w:szCs w:val="24"/>
          <w:lang w:val="en-US"/>
          <w14:textFill>
            <w14:solidFill>
              <w14:schemeClr w14:val="tx1"/>
            </w14:solidFill>
          </w14:textFill>
        </w:rPr>
        <w:t>)</w:t>
      </w:r>
    </w:p>
    <w:p w14:paraId="5EF5531A">
      <w:pPr>
        <w:pStyle w:val="25"/>
        <w:snapToGrid w:val="0"/>
        <w:spacing w:line="480" w:lineRule="auto"/>
        <w:ind w:firstLine="482" w:firstLineChars="200"/>
        <w:jc w:val="left"/>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Step 1: Identification of volcanic eruption events from the AIRS SO</w:t>
      </w:r>
      <w:r>
        <w:rPr>
          <w:b/>
          <w:bCs/>
          <w:color w:val="000000" w:themeColor="text1"/>
          <w:sz w:val="24"/>
          <w:szCs w:val="24"/>
          <w:vertAlign w:val="subscript"/>
          <w14:textFill>
            <w14:solidFill>
              <w14:schemeClr w14:val="tx1"/>
            </w14:solidFill>
          </w14:textFill>
        </w:rPr>
        <w:t>2</w:t>
      </w:r>
      <w:r>
        <w:rPr>
          <w:b/>
          <w:bCs/>
          <w:color w:val="000000" w:themeColor="text1"/>
          <w:sz w:val="24"/>
          <w:szCs w:val="24"/>
          <w14:textFill>
            <w14:solidFill>
              <w14:schemeClr w14:val="tx1"/>
            </w14:solidFill>
          </w14:textFill>
        </w:rPr>
        <w:t xml:space="preserve"> index</w:t>
      </w:r>
    </w:p>
    <w:p w14:paraId="0481E9A9">
      <w:pPr>
        <w:pStyle w:val="25"/>
        <w:snapToGrid w:val="0"/>
        <w:spacing w:line="480" w:lineRule="auto"/>
        <w:ind w:firstLine="480"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To construct </w:t>
      </w:r>
      <w:r>
        <w:rPr>
          <w:rFonts w:hint="eastAsia"/>
          <w:color w:val="000000" w:themeColor="text1"/>
          <w:sz w:val="24"/>
          <w:szCs w:val="24"/>
          <w:lang w:val="en-US"/>
          <w14:textFill>
            <w14:solidFill>
              <w14:schemeClr w14:val="tx1"/>
            </w14:solidFill>
          </w14:textFill>
        </w:rPr>
        <w:t>the</w:t>
      </w:r>
      <w:r>
        <w:rPr>
          <w:color w:val="000000" w:themeColor="text1"/>
          <w:sz w:val="24"/>
          <w:szCs w:val="24"/>
          <w14:textFill>
            <w14:solidFill>
              <w14:schemeClr w14:val="tx1"/>
            </w14:solidFill>
          </w14:textFill>
        </w:rPr>
        <w:t xml:space="preserve"> </w:t>
      </w:r>
      <w:r>
        <w:rPr>
          <w:rFonts w:hint="eastAsia" w:eastAsia="等线 Light"/>
          <w:color w:val="000000" w:themeColor="text1"/>
          <w:kern w:val="2"/>
          <w:sz w:val="24"/>
          <w:szCs w:val="24"/>
          <w14:textFill>
            <w14:solidFill>
              <w14:schemeClr w14:val="tx1"/>
            </w14:solidFill>
          </w14:textFill>
        </w:rPr>
        <w:t>THRIVE-SO</w:t>
      </w:r>
      <w:r>
        <w:rPr>
          <w:rFonts w:hint="eastAsia" w:eastAsia="等线 Light"/>
          <w:color w:val="000000" w:themeColor="text1"/>
          <w:kern w:val="2"/>
          <w:sz w:val="24"/>
          <w:szCs w:val="24"/>
          <w:vertAlign w:val="subscript"/>
          <w:lang w:val="en-US"/>
          <w14:textFill>
            <w14:solidFill>
              <w14:schemeClr w14:val="tx1"/>
            </w14:solidFill>
          </w14:textFill>
        </w:rPr>
        <w:t>2</w:t>
      </w:r>
      <w:r>
        <w:rPr>
          <w:color w:val="000000" w:themeColor="text1"/>
          <w:sz w:val="24"/>
          <w:szCs w:val="24"/>
          <w14:textFill>
            <w14:solidFill>
              <w14:schemeClr w14:val="tx1"/>
            </w14:solidFill>
          </w14:textFill>
        </w:rPr>
        <w:t>, we first systematically screened AIRS observations</w:t>
      </w:r>
      <w:r>
        <w:rPr>
          <w:rFonts w:hint="eastAsia"/>
          <w:color w:val="000000" w:themeColor="text1"/>
          <w:sz w:val="24"/>
          <w:szCs w:val="24"/>
          <w:lang w:val="en-US"/>
          <w14:textFill>
            <w14:solidFill>
              <w14:schemeClr w14:val="tx1"/>
            </w14:solidFill>
          </w14:textFill>
        </w:rPr>
        <w:t xml:space="preserve"> since 2002</w:t>
      </w:r>
      <w:r>
        <w:rPr>
          <w:color w:val="000000" w:themeColor="text1"/>
          <w:sz w:val="24"/>
          <w:szCs w:val="24"/>
          <w14:textFill>
            <w14:solidFill>
              <w14:schemeClr w14:val="tx1"/>
            </w14:solidFill>
          </w14:textFill>
        </w:rPr>
        <w:t xml:space="preserve"> to identify candidate eruption events exhibiting significant SO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 xml:space="preserve"> signals.</w:t>
      </w:r>
      <w:r>
        <w:rPr>
          <w:rFonts w:hint="eastAsia"/>
          <w:color w:val="000000" w:themeColor="text1"/>
          <w:sz w:val="24"/>
          <w:szCs w:val="24"/>
          <w:lang w:val="en-US"/>
          <w14:textFill>
            <w14:solidFill>
              <w14:schemeClr w14:val="tx1"/>
            </w14:solidFill>
          </w14:textFill>
        </w:rPr>
        <w:t xml:space="preserve"> Th</w:t>
      </w:r>
      <w:r>
        <w:rPr>
          <w:color w:val="000000" w:themeColor="text1"/>
          <w:sz w:val="24"/>
          <w:szCs w:val="24"/>
          <w14:textFill>
            <w14:solidFill>
              <w14:schemeClr w14:val="tx1"/>
            </w14:solidFill>
          </w14:textFill>
        </w:rPr>
        <w:t>e SO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 xml:space="preserve"> index (SI) is computed as the brightness temperature difference between the two channels centered at 1412.87 cm⁻</w:t>
      </w:r>
      <w:r>
        <w:rPr>
          <w:rFonts w:hint="eastAsia"/>
          <w:color w:val="000000" w:themeColor="text1"/>
          <w:sz w:val="24"/>
          <w:szCs w:val="24"/>
          <w:vertAlign w:val="superscript"/>
          <w14:textFill>
            <w14:solidFill>
              <w14:schemeClr w14:val="tx1"/>
            </w14:solidFill>
          </w14:textFill>
        </w:rPr>
        <w:t>1</w:t>
      </w:r>
      <w:r>
        <w:rPr>
          <w:rFonts w:hint="eastAsia"/>
          <w:color w:val="000000" w:themeColor="text1"/>
          <w:sz w:val="24"/>
          <w:szCs w:val="24"/>
          <w:lang w:val="en-US"/>
          <w14:textFill>
            <w14:solidFill>
              <w14:schemeClr w14:val="tx1"/>
            </w14:solidFill>
          </w14:textFill>
        </w:rPr>
        <w:t xml:space="preserve"> and </w:t>
      </w:r>
      <w:r>
        <w:rPr>
          <w:color w:val="000000" w:themeColor="text1"/>
          <w:sz w:val="24"/>
          <w:szCs w:val="24"/>
          <w14:textFill>
            <w14:solidFill>
              <w14:schemeClr w14:val="tx1"/>
            </w14:solidFill>
          </w14:textFill>
        </w:rPr>
        <w:t>1371.5</w:t>
      </w:r>
      <w:r>
        <w:rPr>
          <w:rFonts w:hint="eastAsia"/>
          <w:color w:val="000000" w:themeColor="text1"/>
          <w:sz w:val="24"/>
          <w:szCs w:val="24"/>
          <w:lang w:val="en-US"/>
          <w14:textFill>
            <w14:solidFill>
              <w14:schemeClr w14:val="tx1"/>
            </w14:solidFill>
          </w14:textFill>
        </w:rPr>
        <w:t>2</w:t>
      </w:r>
      <w:r>
        <w:rPr>
          <w:color w:val="000000" w:themeColor="text1"/>
          <w:sz w:val="24"/>
          <w:szCs w:val="24"/>
          <w14:textFill>
            <w14:solidFill>
              <w14:schemeClr w14:val="tx1"/>
            </w14:solidFill>
          </w14:textFill>
        </w:rPr>
        <w:t xml:space="preserve"> cm⁻</w:t>
      </w:r>
      <w:r>
        <w:rPr>
          <w:rFonts w:hint="eastAsia"/>
          <w:color w:val="000000" w:themeColor="text1"/>
          <w:sz w:val="24"/>
          <w:szCs w:val="24"/>
          <w:vertAlign w:val="superscript"/>
          <w14:textFill>
            <w14:solidFill>
              <w14:schemeClr w14:val="tx1"/>
            </w14:solidFill>
          </w14:textFill>
        </w:rPr>
        <w:t>1</w:t>
      </w:r>
      <w:r>
        <w:rPr>
          <w:color w:val="000000" w:themeColor="text1"/>
          <w:sz w:val="24"/>
          <w:szCs w:val="24"/>
          <w14:textFill>
            <w14:solidFill>
              <w14:schemeClr w14:val="tx1"/>
            </w14:solidFill>
          </w14:textFill>
        </w:rPr>
        <w:t xml:space="preserve">. A detection threshold of SI &gt; </w:t>
      </w:r>
      <w:r>
        <w:rPr>
          <w:rFonts w:hint="eastAsia"/>
          <w:color w:val="000000" w:themeColor="text1"/>
          <w:sz w:val="24"/>
          <w:szCs w:val="24"/>
          <w14:textFill>
            <w14:solidFill>
              <w14:schemeClr w14:val="tx1"/>
            </w14:solidFill>
          </w14:textFill>
        </w:rPr>
        <w:t>20 K</w:t>
      </w:r>
      <w:r>
        <w:rPr>
          <w:color w:val="000000" w:themeColor="text1"/>
          <w:sz w:val="24"/>
          <w:szCs w:val="24"/>
          <w14:textFill>
            <w14:solidFill>
              <w14:schemeClr w14:val="tx1"/>
            </w14:solidFill>
          </w14:textFill>
        </w:rPr>
        <w:t xml:space="preserve"> was applied to the global AIRS record to </w:t>
      </w:r>
      <w:r>
        <w:rPr>
          <w:rFonts w:hint="eastAsia"/>
          <w:color w:val="000000" w:themeColor="text1"/>
          <w:sz w:val="24"/>
          <w:szCs w:val="24"/>
          <w:lang w:val="en-US"/>
          <w14:textFill>
            <w14:solidFill>
              <w14:schemeClr w14:val="tx1"/>
            </w14:solidFill>
          </w14:textFill>
        </w:rPr>
        <w:t xml:space="preserve">include </w:t>
      </w:r>
      <w:r>
        <w:rPr>
          <w:color w:val="000000" w:themeColor="text1"/>
          <w:sz w:val="24"/>
          <w:szCs w:val="24"/>
          <w14:textFill>
            <w14:solidFill>
              <w14:schemeClr w14:val="tx1"/>
            </w14:solidFill>
          </w14:textFill>
        </w:rPr>
        <w:t>significant volcanic SO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 xml:space="preserve"> loading.</w:t>
      </w:r>
      <w:r>
        <w:rPr>
          <w:rFonts w:hint="eastAsia"/>
          <w:color w:val="000000" w:themeColor="text1"/>
          <w:sz w:val="24"/>
          <w:szCs w:val="24"/>
          <w:lang w:val="en-US"/>
          <w14:textFill>
            <w14:solidFill>
              <w14:schemeClr w14:val="tx1"/>
            </w14:solidFill>
          </w14:textFill>
        </w:rPr>
        <w:t xml:space="preserve"> </w:t>
      </w:r>
      <w:r>
        <w:rPr>
          <w:color w:val="000000" w:themeColor="text1"/>
          <w:sz w:val="24"/>
          <w:szCs w:val="24"/>
          <w14:textFill>
            <w14:solidFill>
              <w14:schemeClr w14:val="tx1"/>
            </w14:solidFill>
          </w14:textFill>
        </w:rPr>
        <w:t xml:space="preserve">All AIRS pixels exceeding this threshold were extracted, together with their corresponding observation time, latitude, and longitude. </w:t>
      </w:r>
    </w:p>
    <w:p w14:paraId="06EDAA60">
      <w:pPr>
        <w:pStyle w:val="25"/>
        <w:snapToGrid w:val="0"/>
        <w:spacing w:line="480" w:lineRule="auto"/>
        <w:ind w:firstLine="480"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Because a single eruption typically produces spatially and temporally clustered SI enhancements as the plume disperses over subsequent days, consecutive high-SI detections were grouped by spatial proximity and temporal continuity to associate them with a specific source volcano and eruption onset time. Specifically, clusters of SI &gt; </w:t>
      </w:r>
      <w:r>
        <w:rPr>
          <w:rFonts w:hint="eastAsia"/>
          <w:color w:val="000000" w:themeColor="text1"/>
          <w:sz w:val="24"/>
          <w:szCs w:val="24"/>
          <w14:textFill>
            <w14:solidFill>
              <w14:schemeClr w14:val="tx1"/>
            </w14:solidFill>
          </w14:textFill>
        </w:rPr>
        <w:t>20 K</w:t>
      </w:r>
      <w:r>
        <w:rPr>
          <w:color w:val="000000" w:themeColor="text1"/>
          <w:sz w:val="24"/>
          <w:szCs w:val="24"/>
          <w14:textFill>
            <w14:solidFill>
              <w14:schemeClr w14:val="tx1"/>
            </w14:solidFill>
          </w14:textFill>
        </w:rPr>
        <w:t xml:space="preserve"> pixels occurring within a time </w:t>
      </w:r>
      <w:r>
        <w:rPr>
          <w:rFonts w:hint="eastAsia"/>
          <w:color w:val="000000" w:themeColor="text1"/>
          <w:sz w:val="24"/>
          <w:szCs w:val="24"/>
          <w:lang w:val="en-US"/>
          <w14:textFill>
            <w14:solidFill>
              <w14:schemeClr w14:val="tx1"/>
            </w14:solidFill>
          </w14:textFill>
        </w:rPr>
        <w:t>period</w:t>
      </w:r>
      <w:r>
        <w:rPr>
          <w:color w:val="000000" w:themeColor="text1"/>
          <w:sz w:val="24"/>
          <w:szCs w:val="24"/>
          <w14:textFill>
            <w14:solidFill>
              <w14:schemeClr w14:val="tx1"/>
            </w14:solidFill>
          </w14:textFill>
        </w:rPr>
        <w:t xml:space="preserve"> and located within a plausible transport distance of a known volcanic edifice (cross-referenced against the Global Volcanism Program database) were attributed to the same eruptive event. This procedure yielded a candidate list of discrete volcanic eruption events, each characterized by an approximate eruption date and source location, which was compiled into a reference table used as the basis for the subsequent emission reconstruction.</w:t>
      </w:r>
    </w:p>
    <w:p w14:paraId="66ADDE45">
      <w:pPr>
        <w:pStyle w:val="25"/>
        <w:snapToGrid w:val="0"/>
        <w:spacing w:line="480" w:lineRule="auto"/>
        <w:ind w:firstLine="480" w:firstLineChars="200"/>
        <w:jc w:val="left"/>
        <w:rPr>
          <w:color w:val="000000" w:themeColor="text1"/>
          <w:sz w:val="24"/>
          <w:szCs w:val="24"/>
          <w:lang w:val="en-US"/>
          <w14:textFill>
            <w14:solidFill>
              <w14:schemeClr w14:val="tx1"/>
            </w14:solidFill>
          </w14:textFill>
        </w:rPr>
      </w:pPr>
      <w:r>
        <w:rPr>
          <w:rFonts w:hint="eastAsia"/>
          <w:color w:val="000000" w:themeColor="text1"/>
          <w:sz w:val="24"/>
          <w:szCs w:val="24"/>
          <w:lang w:val="en-US"/>
          <w14:textFill>
            <w14:solidFill>
              <w14:schemeClr w14:val="tx1"/>
            </w14:solidFill>
          </w14:textFill>
        </w:rPr>
        <w:t xml:space="preserve">The current version includes 52 selected eruptions available at: </w:t>
      </w:r>
      <w:r>
        <w:fldChar w:fldCharType="begin"/>
      </w:r>
      <w:r>
        <w:instrText xml:space="preserve"> HYPERLINK "https://datapub.fz-juelich.de/slcs/so2_inv/html/events.html" </w:instrText>
      </w:r>
      <w:r>
        <w:fldChar w:fldCharType="separate"/>
      </w:r>
      <w:r>
        <w:rPr>
          <w:rStyle w:val="10"/>
          <w:rFonts w:hint="eastAsia"/>
          <w:sz w:val="24"/>
          <w:szCs w:val="24"/>
          <w:lang w:val="en-US"/>
        </w:rPr>
        <w:t>https://datapub.fz-juelich.de/slcs/so2_inv/html/events.html</w:t>
      </w:r>
      <w:r>
        <w:rPr>
          <w:rStyle w:val="10"/>
          <w:rFonts w:hint="eastAsia"/>
          <w:sz w:val="24"/>
          <w:szCs w:val="24"/>
          <w:lang w:val="en-US"/>
        </w:rPr>
        <w:fldChar w:fldCharType="end"/>
      </w:r>
      <w:r>
        <w:rPr>
          <w:rFonts w:hint="eastAsia"/>
          <w:color w:val="000000" w:themeColor="text1"/>
          <w:sz w:val="24"/>
          <w:szCs w:val="24"/>
          <w:lang w:val="en-US"/>
          <w14:textFill>
            <w14:solidFill>
              <w14:schemeClr w14:val="tx1"/>
            </w14:solidFill>
          </w14:textFill>
        </w:rPr>
        <w:t>, and additional events may be included in future versions.</w:t>
      </w:r>
    </w:p>
    <w:p w14:paraId="3734DC27">
      <w:pPr>
        <w:pStyle w:val="25"/>
        <w:snapToGrid w:val="0"/>
        <w:spacing w:line="480" w:lineRule="auto"/>
        <w:ind w:firstLine="482" w:firstLineChars="200"/>
        <w:jc w:val="left"/>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 xml:space="preserve">Step 2: Reconstruction of </w:t>
      </w:r>
      <w:r>
        <w:rPr>
          <w:rFonts w:hint="eastAsia"/>
          <w:b/>
          <w:bCs/>
          <w:color w:val="000000" w:themeColor="text1"/>
          <w:sz w:val="24"/>
          <w:szCs w:val="24"/>
          <w:lang w:val="en-US"/>
          <w14:textFill>
            <w14:solidFill>
              <w14:schemeClr w14:val="tx1"/>
            </w14:solidFill>
          </w14:textFill>
        </w:rPr>
        <w:t xml:space="preserve">altitude-resolved volcanic </w:t>
      </w:r>
      <w:r>
        <w:rPr>
          <w:b/>
          <w:bCs/>
          <w:color w:val="000000" w:themeColor="text1"/>
          <w:sz w:val="24"/>
          <w:szCs w:val="24"/>
          <w14:textFill>
            <w14:solidFill>
              <w14:schemeClr w14:val="tx1"/>
            </w14:solidFill>
          </w14:textFill>
        </w:rPr>
        <w:t>SO</w:t>
      </w:r>
      <w:r>
        <w:rPr>
          <w:b/>
          <w:bCs/>
          <w:color w:val="000000" w:themeColor="text1"/>
          <w:sz w:val="24"/>
          <w:szCs w:val="24"/>
          <w:vertAlign w:val="subscript"/>
          <w14:textFill>
            <w14:solidFill>
              <w14:schemeClr w14:val="tx1"/>
            </w14:solidFill>
          </w14:textFill>
        </w:rPr>
        <w:t>2</w:t>
      </w:r>
      <w:r>
        <w:rPr>
          <w:b/>
          <w:bCs/>
          <w:color w:val="000000" w:themeColor="text1"/>
          <w:sz w:val="24"/>
          <w:szCs w:val="24"/>
          <w14:textFill>
            <w14:solidFill>
              <w14:schemeClr w14:val="tx1"/>
            </w14:solidFill>
          </w14:textFill>
        </w:rPr>
        <w:t xml:space="preserve"> emission time series</w:t>
      </w:r>
    </w:p>
    <w:p w14:paraId="01EE8AE8">
      <w:pPr>
        <w:pStyle w:val="25"/>
        <w:snapToGrid w:val="0"/>
        <w:spacing w:line="480" w:lineRule="auto"/>
        <w:ind w:firstLine="480"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For each identified eruption event, the time series of SO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 xml:space="preserve"> mass emission and injection height were reconstructed following the general approach of Hoffmann et al.</w:t>
      </w:r>
      <w:r>
        <w:rPr>
          <w:rFonts w:hint="eastAsia"/>
          <w:color w:val="000000" w:themeColor="text1"/>
          <w:sz w:val="24"/>
          <w:szCs w:val="24"/>
          <w:vertAlign w:val="superscript"/>
          <w:lang w:val="en-US"/>
          <w14:textFill>
            <w14:solidFill>
              <w14:schemeClr w14:val="tx1"/>
            </w14:solidFill>
          </w14:textFill>
        </w:rPr>
        <w:t>1</w:t>
      </w:r>
      <w:r>
        <w:rPr>
          <w:color w:val="000000" w:themeColor="text1"/>
          <w:sz w:val="24"/>
          <w:szCs w:val="24"/>
          <w14:textFill>
            <w14:solidFill>
              <w14:schemeClr w14:val="tx1"/>
            </w14:solidFill>
          </w14:textFill>
        </w:rPr>
        <w:t>, which combines AIRS SO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 xml:space="preserve"> column measurements with backward trajectory calculations. Since AIRS provides only vertically integrated column density without altitude-resolved information, a vertical column of air parcels was initialized at each AIRS SO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 xml:space="preserve"> detection location, spanning an altitude range of 0</w:t>
      </w:r>
      <w:r>
        <w:rPr>
          <w:color w:val="000000" w:themeColor="text1"/>
          <w:sz w:val="24"/>
          <w:szCs w:val="24"/>
          <w:lang w:val="en-US"/>
          <w14:textFill>
            <w14:solidFill>
              <w14:schemeClr w14:val="tx1"/>
            </w14:solidFill>
          </w14:textFill>
        </w:rPr>
        <w:t>–</w:t>
      </w:r>
      <w:r>
        <w:rPr>
          <w:color w:val="000000" w:themeColor="text1"/>
          <w:sz w:val="24"/>
          <w:szCs w:val="24"/>
          <w14:textFill>
            <w14:solidFill>
              <w14:schemeClr w14:val="tx1"/>
            </w14:solidFill>
          </w14:textFill>
        </w:rPr>
        <w:t>30 km to encompass the plausible vertical extent of volcanic SO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 xml:space="preserve"> dispersion. </w:t>
      </w:r>
    </w:p>
    <w:p w14:paraId="37538561">
      <w:pPr>
        <w:pStyle w:val="25"/>
        <w:snapToGrid w:val="0"/>
        <w:spacing w:line="480" w:lineRule="auto"/>
        <w:ind w:firstLine="480"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A total of 100,000 air parcels were distributed across all columns associated with a given eruption, with the number of parcels allocated to each column scaled according to the local SI magnitude, and the vertical placement of parcels within each column following the mean averaging kernel of the AIRS SO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 xml:space="preserve"> retrieval. To account for the AIRS footprint size (13.5</w:t>
      </w:r>
      <w:r>
        <w:rPr>
          <w:color w:val="000000" w:themeColor="text1"/>
          <w:sz w:val="24"/>
          <w:szCs w:val="24"/>
          <w:lang w:val="en-US"/>
          <w14:textFill>
            <w14:solidFill>
              <w14:schemeClr w14:val="tx1"/>
            </w14:solidFill>
          </w14:textFill>
        </w:rPr>
        <w:t>–</w:t>
      </w:r>
      <w:r>
        <w:rPr>
          <w:color w:val="000000" w:themeColor="text1"/>
          <w:sz w:val="24"/>
          <w:szCs w:val="24"/>
          <w14:textFill>
            <w14:solidFill>
              <w14:schemeClr w14:val="tx1"/>
            </w14:solidFill>
          </w14:textFill>
        </w:rPr>
        <w:t>41 km depending on scan angle), parcels were horizontally scattered using a Gaussian distribution with a full width at half maximum (FWHM) of 30 km.</w:t>
      </w:r>
    </w:p>
    <w:p w14:paraId="1A309C54">
      <w:pPr>
        <w:pStyle w:val="25"/>
        <w:snapToGrid w:val="0"/>
        <w:spacing w:line="480" w:lineRule="auto"/>
        <w:ind w:firstLine="480"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Backward trajectories were then computed for all initialized air parcels. We defined the volcano's source domain as a horizontal radius of 75 km around the vent and a vertical range of 0–30 km, encompassing the expected injection height. Trajectories with durations ranging from one to seven days were checked against this domain. If a trajectory passed through the source domain during this </w:t>
      </w:r>
      <w:r>
        <w:rPr>
          <w:rFonts w:hint="eastAsia"/>
          <w:color w:val="000000" w:themeColor="text1"/>
          <w:sz w:val="24"/>
          <w:szCs w:val="24"/>
          <w:lang w:val="en-US"/>
          <w14:textFill>
            <w14:solidFill>
              <w14:schemeClr w14:val="tx1"/>
            </w14:solidFill>
          </w14:textFill>
        </w:rPr>
        <w:t xml:space="preserve">time </w:t>
      </w:r>
      <w:r>
        <w:rPr>
          <w:color w:val="000000" w:themeColor="text1"/>
          <w:sz w:val="24"/>
          <w:szCs w:val="24"/>
          <w14:textFill>
            <w14:solidFill>
              <w14:schemeClr w14:val="tx1"/>
            </w14:solidFill>
          </w14:textFill>
        </w:rPr>
        <w:t xml:space="preserve">window, it was attributed to the corresponding volcanic eruption. The associated air parcel was then counted as a </w:t>
      </w:r>
      <w:r>
        <w:rPr>
          <w:rFonts w:hint="eastAsia"/>
          <w:color w:val="000000" w:themeColor="text1"/>
          <w:sz w:val="24"/>
          <w:szCs w:val="24"/>
          <w:lang w:val="en-US"/>
          <w14:textFill>
            <w14:solidFill>
              <w14:schemeClr w14:val="tx1"/>
            </w14:solidFill>
          </w14:textFill>
        </w:rPr>
        <w:t xml:space="preserve">volcanic </w:t>
      </w:r>
      <w:r>
        <w:rPr>
          <w:color w:val="000000" w:themeColor="text1"/>
          <w:sz w:val="24"/>
          <w:szCs w:val="24"/>
          <w14:textFill>
            <w14:solidFill>
              <w14:schemeClr w14:val="tx1"/>
            </w14:solidFill>
          </w14:textFill>
        </w:rPr>
        <w:t>SO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 xml:space="preserve"> emission, </w:t>
      </w:r>
      <w:r>
        <w:rPr>
          <w:rFonts w:hint="eastAsia"/>
          <w:color w:val="000000" w:themeColor="text1"/>
          <w:sz w:val="24"/>
          <w:szCs w:val="24"/>
          <w14:textFill>
            <w14:solidFill>
              <w14:schemeClr w14:val="tx1"/>
            </w14:solidFill>
          </w14:textFill>
        </w:rPr>
        <w:t>recording</w:t>
      </w:r>
      <w:r>
        <w:rPr>
          <w:color w:val="000000" w:themeColor="text1"/>
          <w:sz w:val="24"/>
          <w:szCs w:val="24"/>
          <w14:textFill>
            <w14:solidFill>
              <w14:schemeClr w14:val="tx1"/>
            </w14:solidFill>
          </w14:textFill>
        </w:rPr>
        <w:t xml:space="preserve"> its time and altitude at the moment </w:t>
      </w:r>
      <w:r>
        <w:rPr>
          <w:rFonts w:hint="eastAsia"/>
          <w:color w:val="000000" w:themeColor="text1"/>
          <w:sz w:val="24"/>
          <w:szCs w:val="24"/>
          <w14:textFill>
            <w14:solidFill>
              <w14:schemeClr w14:val="tx1"/>
            </w14:solidFill>
          </w14:textFill>
        </w:rPr>
        <w:t>it passed</w:t>
      </w:r>
      <w:r>
        <w:rPr>
          <w:color w:val="000000" w:themeColor="text1"/>
          <w:sz w:val="24"/>
          <w:szCs w:val="24"/>
          <w14:textFill>
            <w14:solidFill>
              <w14:schemeClr w14:val="tx1"/>
            </w14:solidFill>
          </w14:textFill>
        </w:rPr>
        <w:t xml:space="preserve"> through the domain.</w:t>
      </w:r>
      <w:r>
        <w:rPr>
          <w:rFonts w:hint="eastAsia"/>
          <w:color w:val="000000" w:themeColor="text1"/>
          <w:sz w:val="24"/>
          <w:szCs w:val="24"/>
          <w:lang w:val="en-US"/>
          <w14:textFill>
            <w14:solidFill>
              <w14:schemeClr w14:val="tx1"/>
            </w14:solidFill>
          </w14:textFill>
        </w:rPr>
        <w:t xml:space="preserve"> </w:t>
      </w:r>
      <w:r>
        <w:rPr>
          <w:color w:val="000000" w:themeColor="text1"/>
          <w:sz w:val="24"/>
          <w:szCs w:val="24"/>
          <w14:textFill>
            <w14:solidFill>
              <w14:schemeClr w14:val="tx1"/>
            </w14:solidFill>
          </w14:textFill>
        </w:rPr>
        <w:t>This procedure was repeated for each identified eruption event in the candidate list</w:t>
      </w:r>
      <w:r>
        <w:rPr>
          <w:rFonts w:hint="eastAsia"/>
          <w:color w:val="000000" w:themeColor="text1"/>
          <w:sz w:val="24"/>
          <w:szCs w:val="24"/>
          <w:lang w:val="en-US"/>
          <w14:textFill>
            <w14:solidFill>
              <w14:schemeClr w14:val="tx1"/>
            </w14:solidFill>
          </w14:textFill>
        </w:rPr>
        <w:t xml:space="preserve">. We obtained the </w:t>
      </w:r>
      <w:r>
        <w:rPr>
          <w:color w:val="000000" w:themeColor="text1"/>
          <w:sz w:val="24"/>
          <w:szCs w:val="24"/>
          <w14:textFill>
            <w14:solidFill>
              <w14:schemeClr w14:val="tx1"/>
            </w14:solidFill>
          </w14:textFill>
        </w:rPr>
        <w:t>altitude- and time-resolved SO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 xml:space="preserve"> emission profiles for the full set of eruptions. The parameters governing this reconstruction (vertical column extent, horizontal scatter FWHM, trajectory duration, and volcano domain dimensions) were determined through sensitivity experiments designed to optimize agreement between simulated and observed SO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 xml:space="preserve"> plume evolution.</w:t>
      </w:r>
    </w:p>
    <w:p w14:paraId="55EA14F0">
      <w:pPr>
        <w:pStyle w:val="25"/>
        <w:snapToGrid w:val="0"/>
        <w:spacing w:line="480" w:lineRule="auto"/>
        <w:ind w:firstLine="480"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This trajectory-based approach reconstructs the realistic spatiotemporal relative distribution of SO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 xml:space="preserve"> emissions, but the absolute total mass of SO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 xml:space="preserve"> released must be determined independently. </w:t>
      </w:r>
      <w:r>
        <w:rPr>
          <w:rFonts w:hint="eastAsia"/>
          <w:color w:val="000000" w:themeColor="text1"/>
          <w:sz w:val="24"/>
          <w:szCs w:val="24"/>
          <w14:textFill>
            <w14:solidFill>
              <w14:schemeClr w14:val="tx1"/>
            </w14:solidFill>
          </w14:textFill>
        </w:rPr>
        <w:t>W</w:t>
      </w:r>
      <w:r>
        <w:rPr>
          <w:color w:val="000000" w:themeColor="text1"/>
          <w:sz w:val="24"/>
          <w:szCs w:val="24"/>
          <w14:textFill>
            <w14:solidFill>
              <w14:schemeClr w14:val="tx1"/>
            </w14:solidFill>
          </w14:textFill>
        </w:rPr>
        <w:t xml:space="preserve">e employed the fast infrared radiative transfer model </w:t>
      </w:r>
      <w:r>
        <w:rPr>
          <w:rFonts w:hint="eastAsia"/>
          <w:color w:val="000000" w:themeColor="text1"/>
          <w:sz w:val="24"/>
          <w:szCs w:val="24"/>
          <w:lang w:val="en-US"/>
          <w14:textFill>
            <w14:solidFill>
              <w14:schemeClr w14:val="tx1"/>
            </w14:solidFill>
          </w14:textFill>
        </w:rPr>
        <w:t>(</w:t>
      </w:r>
      <w:r>
        <w:rPr>
          <w:color w:val="000000" w:themeColor="text1"/>
          <w:sz w:val="24"/>
          <w:szCs w:val="24"/>
          <w14:textFill>
            <w14:solidFill>
              <w14:schemeClr w14:val="tx1"/>
            </w14:solidFill>
          </w14:textFill>
        </w:rPr>
        <w:t>JURASSIC</w:t>
      </w:r>
      <w:r>
        <w:rPr>
          <w:rFonts w:hint="eastAsia"/>
          <w:color w:val="000000" w:themeColor="text1"/>
          <w:sz w:val="24"/>
          <w:szCs w:val="24"/>
          <w:lang w:val="en-US"/>
          <w14:textFill>
            <w14:solidFill>
              <w14:schemeClr w14:val="tx1"/>
            </w14:solidFill>
          </w14:textFill>
        </w:rPr>
        <w:t>)</w:t>
      </w:r>
      <w:r>
        <w:rPr>
          <w:rFonts w:hint="eastAsia"/>
          <w:color w:val="000000" w:themeColor="text1"/>
          <w:sz w:val="24"/>
          <w:szCs w:val="24"/>
          <w:vertAlign w:val="superscript"/>
          <w:lang w:val="en-US"/>
          <w14:textFill>
            <w14:solidFill>
              <w14:schemeClr w14:val="tx1"/>
            </w14:solidFill>
          </w14:textFill>
        </w:rPr>
        <w:t>2</w:t>
      </w:r>
      <w:r>
        <w:rPr>
          <w:color w:val="000000" w:themeColor="text1"/>
          <w:sz w:val="24"/>
          <w:szCs w:val="24"/>
          <w14:textFill>
            <w14:solidFill>
              <w14:schemeClr w14:val="tx1"/>
            </w14:solidFill>
          </w14:textFill>
        </w:rPr>
        <w:t xml:space="preserve"> to forward-simulate the AIRS SI using the relative SO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 xml:space="preserve"> distribution obtained from the MPTRAC trajectory reconstruction, together with co-located atmospheric fields of water vapor, pressure, and temperature. The simulated SI was then compared against the observed AIRS SI, and the total SO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 xml:space="preserve"> mass was iteratively adjusted until the JURASSIC-simulated SI converged to the observed AIRS SI, thereby yielding a </w:t>
      </w:r>
      <w:r>
        <w:rPr>
          <w:rFonts w:hint="eastAsia"/>
          <w:color w:val="000000" w:themeColor="text1"/>
          <w:sz w:val="24"/>
          <w:szCs w:val="24"/>
          <w14:textFill>
            <w14:solidFill>
              <w14:schemeClr w14:val="tx1"/>
            </w14:solidFill>
          </w14:textFill>
        </w:rPr>
        <w:t>radiative-transfer-based estimate</w:t>
      </w:r>
      <w:r>
        <w:rPr>
          <w:color w:val="000000" w:themeColor="text1"/>
          <w:sz w:val="24"/>
          <w:szCs w:val="24"/>
          <w14:textFill>
            <w14:solidFill>
              <w14:schemeClr w14:val="tx1"/>
            </w14:solidFill>
          </w14:textFill>
        </w:rPr>
        <w:t xml:space="preserve"> of the absolute SO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 xml:space="preserve"> emission for each eruption. </w:t>
      </w:r>
      <w:r>
        <w:rPr>
          <w:rFonts w:hint="eastAsia"/>
          <w:color w:val="000000" w:themeColor="text1"/>
          <w:sz w:val="24"/>
          <w:szCs w:val="24"/>
          <w14:textFill>
            <w14:solidFill>
              <w14:schemeClr w14:val="tx1"/>
            </w14:solidFill>
          </w14:textFill>
        </w:rPr>
        <w:t>However, to enable a direct and consistent comparison with the SO</w:t>
      </w:r>
      <w:r>
        <w:rPr>
          <w:rFonts w:hint="eastAsia"/>
          <w:color w:val="000000" w:themeColor="text1"/>
          <w:sz w:val="24"/>
          <w:szCs w:val="24"/>
          <w:vertAlign w:val="subscript"/>
          <w14:textFill>
            <w14:solidFill>
              <w14:schemeClr w14:val="tx1"/>
            </w14:solidFill>
          </w14:textFill>
        </w:rPr>
        <w:t>2</w:t>
      </w:r>
      <w:r>
        <w:rPr>
          <w:rFonts w:hint="eastAsia"/>
          <w:color w:val="000000" w:themeColor="text1"/>
          <w:sz w:val="24"/>
          <w:szCs w:val="24"/>
          <w14:textFill>
            <w14:solidFill>
              <w14:schemeClr w14:val="tx1"/>
            </w14:solidFill>
          </w14:textFill>
        </w:rPr>
        <w:t xml:space="preserve"> emissions database used in the WACCM model, the total SO</w:t>
      </w:r>
      <w:r>
        <w:rPr>
          <w:rFonts w:hint="eastAsia"/>
          <w:color w:val="000000" w:themeColor="text1"/>
          <w:sz w:val="24"/>
          <w:szCs w:val="24"/>
          <w:vertAlign w:val="subscript"/>
          <w14:textFill>
            <w14:solidFill>
              <w14:schemeClr w14:val="tx1"/>
            </w14:solidFill>
          </w14:textFill>
        </w:rPr>
        <w:t>2</w:t>
      </w:r>
      <w:r>
        <w:rPr>
          <w:rFonts w:hint="eastAsia"/>
          <w:color w:val="000000" w:themeColor="text1"/>
          <w:sz w:val="24"/>
          <w:szCs w:val="24"/>
          <w14:textFill>
            <w14:solidFill>
              <w14:schemeClr w14:val="tx1"/>
            </w14:solidFill>
          </w14:textFill>
        </w:rPr>
        <w:t xml:space="preserve"> mass of THRIVE-SO</w:t>
      </w:r>
      <w:r>
        <w:rPr>
          <w:rFonts w:hint="eastAsia"/>
          <w:color w:val="000000" w:themeColor="text1"/>
          <w:sz w:val="24"/>
          <w:szCs w:val="24"/>
          <w:vertAlign w:val="subscript"/>
          <w14:textFill>
            <w14:solidFill>
              <w14:schemeClr w14:val="tx1"/>
            </w14:solidFill>
          </w14:textFill>
        </w:rPr>
        <w:t>2</w:t>
      </w:r>
      <w:r>
        <w:rPr>
          <w:rFonts w:hint="eastAsia"/>
          <w:color w:val="000000" w:themeColor="text1"/>
          <w:sz w:val="24"/>
          <w:szCs w:val="24"/>
          <w14:textFill>
            <w14:solidFill>
              <w14:schemeClr w14:val="tx1"/>
            </w14:solidFill>
          </w14:textFill>
        </w:rPr>
        <w:t xml:space="preserve"> was instead scaled to match that of the WACCM database for the five eruptions examined in this study.</w:t>
      </w:r>
    </w:p>
    <w:p w14:paraId="10320D89">
      <w:pPr>
        <w:pStyle w:val="25"/>
        <w:snapToGrid w:val="0"/>
        <w:spacing w:line="480" w:lineRule="auto"/>
        <w:ind w:firstLine="480"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This trajectory-based reconstruction</w:t>
      </w:r>
      <w:r>
        <w:rPr>
          <w:rFonts w:hint="eastAsia"/>
          <w:color w:val="000000" w:themeColor="text1"/>
          <w:sz w:val="24"/>
          <w:szCs w:val="24"/>
          <w:lang w:val="en-US"/>
          <w14:textFill>
            <w14:solidFill>
              <w14:schemeClr w14:val="tx1"/>
            </w14:solidFill>
          </w14:textFill>
        </w:rPr>
        <w:t xml:space="preserve"> approach </w:t>
      </w:r>
      <w:r>
        <w:rPr>
          <w:color w:val="000000" w:themeColor="text1"/>
          <w:sz w:val="24"/>
          <w:szCs w:val="24"/>
          <w14:textFill>
            <w14:solidFill>
              <w14:schemeClr w14:val="tx1"/>
            </w14:solidFill>
          </w14:textFill>
        </w:rPr>
        <w:t>has been applied successfully to reconstruct SO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 xml:space="preserve"> emission inventories for individual volcanic </w:t>
      </w:r>
      <w:r>
        <w:rPr>
          <w:rFonts w:hint="eastAsia"/>
          <w:color w:val="000000" w:themeColor="text1"/>
          <w:sz w:val="24"/>
          <w:szCs w:val="24"/>
          <w:lang w:val="en-US"/>
          <w14:textFill>
            <w14:solidFill>
              <w14:schemeClr w14:val="tx1"/>
            </w14:solidFill>
          </w14:textFill>
        </w:rPr>
        <w:t xml:space="preserve">eruptions </w:t>
      </w:r>
      <w:r>
        <w:rPr>
          <w:color w:val="000000" w:themeColor="text1"/>
          <w:sz w:val="24"/>
          <w:szCs w:val="24"/>
          <w14:textFill>
            <w14:solidFill>
              <w14:schemeClr w14:val="tx1"/>
            </w14:solidFill>
          </w14:textFill>
        </w:rPr>
        <w:t>since 2002.</w:t>
      </w:r>
    </w:p>
    <w:p w14:paraId="6B3E0C25">
      <w:pP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br w:type="page"/>
      </w:r>
    </w:p>
    <w:p w14:paraId="4664DD4E">
      <w:pPr>
        <w:pStyle w:val="25"/>
        <w:snapToGrid w:val="0"/>
        <w:spacing w:line="480" w:lineRule="auto"/>
        <w:ind w:firstLine="0"/>
        <w:jc w:val="left"/>
        <w:outlineLvl w:val="0"/>
        <w:rPr>
          <w:b/>
          <w:bCs/>
          <w:color w:val="000000" w:themeColor="text1"/>
          <w:sz w:val="24"/>
          <w:szCs w:val="24"/>
          <w:lang w:val="en-US"/>
          <w14:textFill>
            <w14:solidFill>
              <w14:schemeClr w14:val="tx1"/>
            </w14:solidFill>
          </w14:textFill>
        </w:rPr>
      </w:pPr>
      <w:r>
        <w:rPr>
          <w:rFonts w:hint="eastAsia" w:cs="Times New Roman"/>
          <w:b/>
          <w:bCs/>
          <w:color w:val="000000" w:themeColor="text1"/>
          <w:sz w:val="24"/>
          <w:szCs w:val="24"/>
          <w:lang w:val="en-US"/>
          <w14:textFill>
            <w14:solidFill>
              <w14:schemeClr w14:val="tx1"/>
            </w14:solidFill>
          </w14:textFill>
        </w:rPr>
        <w:t xml:space="preserve">Supplementary Note 2: Description of the </w:t>
      </w:r>
      <w:r>
        <w:rPr>
          <w:rFonts w:hint="eastAsia"/>
          <w:b/>
          <w:bCs/>
          <w:color w:val="000000" w:themeColor="text1"/>
          <w:sz w:val="24"/>
          <w:szCs w:val="24"/>
          <w14:textFill>
            <w14:solidFill>
              <w14:schemeClr w14:val="tx1"/>
            </w14:solidFill>
          </w14:textFill>
        </w:rPr>
        <w:t>VolcanEESM global volcanic SO</w:t>
      </w:r>
      <w:r>
        <w:rPr>
          <w:rFonts w:hint="eastAsia"/>
          <w:b/>
          <w:bCs/>
          <w:color w:val="000000" w:themeColor="text1"/>
          <w:sz w:val="24"/>
          <w:szCs w:val="24"/>
          <w:vertAlign w:val="subscript"/>
          <w14:textFill>
            <w14:solidFill>
              <w14:schemeClr w14:val="tx1"/>
            </w14:solidFill>
          </w14:textFill>
        </w:rPr>
        <w:t>2</w:t>
      </w:r>
      <w:r>
        <w:rPr>
          <w:rFonts w:hint="eastAsia"/>
          <w:b/>
          <w:bCs/>
          <w:color w:val="000000" w:themeColor="text1"/>
          <w:sz w:val="24"/>
          <w:szCs w:val="24"/>
          <w14:textFill>
            <w14:solidFill>
              <w14:schemeClr w14:val="tx1"/>
            </w14:solidFill>
          </w14:textFill>
        </w:rPr>
        <w:t xml:space="preserve"> emissions database</w:t>
      </w:r>
    </w:p>
    <w:p w14:paraId="268AC889">
      <w:pPr>
        <w:pStyle w:val="25"/>
        <w:snapToGrid w:val="0"/>
        <w:spacing w:line="480" w:lineRule="auto"/>
        <w:ind w:firstLine="480" w:firstLineChars="200"/>
        <w:jc w:val="left"/>
        <w:rPr>
          <w:color w:val="000000" w:themeColor="text1"/>
          <w:sz w:val="24"/>
          <w:szCs w:val="24"/>
          <w14:textFill>
            <w14:solidFill>
              <w14:schemeClr w14:val="tx1"/>
            </w14:solidFill>
          </w14:textFill>
        </w:rPr>
      </w:pPr>
      <w:r>
        <w:rPr>
          <w:rFonts w:hint="eastAsia"/>
          <w:color w:val="000000" w:themeColor="text1"/>
          <w:sz w:val="24"/>
          <w:szCs w:val="24"/>
          <w:lang w:val="en-US"/>
          <w14:textFill>
            <w14:solidFill>
              <w14:schemeClr w14:val="tx1"/>
            </w14:solidFill>
          </w14:textFill>
        </w:rPr>
        <w:t>T</w:t>
      </w:r>
      <w:r>
        <w:rPr>
          <w:rFonts w:hint="eastAsia"/>
          <w:color w:val="000000" w:themeColor="text1"/>
          <w:sz w:val="24"/>
          <w:szCs w:val="24"/>
          <w14:textFill>
            <w14:solidFill>
              <w14:schemeClr w14:val="tx1"/>
            </w14:solidFill>
          </w14:textFill>
        </w:rPr>
        <w:t>he volcanic SO</w:t>
      </w:r>
      <w:r>
        <w:rPr>
          <w:rFonts w:hint="eastAsia"/>
          <w:color w:val="000000" w:themeColor="text1"/>
          <w:sz w:val="24"/>
          <w:szCs w:val="24"/>
          <w:vertAlign w:val="subscript"/>
          <w14:textFill>
            <w14:solidFill>
              <w14:schemeClr w14:val="tx1"/>
            </w14:solidFill>
          </w14:textFill>
        </w:rPr>
        <w:t>2</w:t>
      </w:r>
      <w:r>
        <w:rPr>
          <w:rFonts w:hint="eastAsia"/>
          <w:color w:val="000000" w:themeColor="text1"/>
          <w:sz w:val="24"/>
          <w:szCs w:val="24"/>
          <w14:textFill>
            <w14:solidFill>
              <w14:schemeClr w14:val="tx1"/>
            </w14:solidFill>
          </w14:textFill>
        </w:rPr>
        <w:t xml:space="preserve"> emission inventory </w:t>
      </w:r>
      <w:r>
        <w:rPr>
          <w:rFonts w:hint="eastAsia"/>
          <w:color w:val="000000" w:themeColor="text1"/>
          <w:sz w:val="24"/>
          <w:szCs w:val="24"/>
          <w:lang w:val="en-US"/>
          <w14:textFill>
            <w14:solidFill>
              <w14:schemeClr w14:val="tx1"/>
            </w14:solidFill>
          </w14:textFill>
        </w:rPr>
        <w:t xml:space="preserve">commonly </w:t>
      </w:r>
      <w:r>
        <w:rPr>
          <w:rFonts w:hint="eastAsia"/>
          <w:color w:val="000000" w:themeColor="text1"/>
          <w:sz w:val="24"/>
          <w:szCs w:val="24"/>
          <w14:textFill>
            <w14:solidFill>
              <w14:schemeClr w14:val="tx1"/>
            </w14:solidFill>
          </w14:textFill>
        </w:rPr>
        <w:t>used in WACCM</w:t>
      </w:r>
      <w:r>
        <w:rPr>
          <w:rFonts w:hint="eastAsia"/>
          <w:color w:val="000000" w:themeColor="text1"/>
          <w:sz w:val="24"/>
          <w:szCs w:val="24"/>
          <w:lang w:val="en-US"/>
          <w14:textFill>
            <w14:solidFill>
              <w14:schemeClr w14:val="tx1"/>
            </w14:solidFill>
          </w14:textFill>
        </w:rPr>
        <w:t xml:space="preserve"> is </w:t>
      </w:r>
      <w:r>
        <w:rPr>
          <w:rFonts w:hint="eastAsia"/>
          <w:color w:val="000000" w:themeColor="text1"/>
          <w:sz w:val="24"/>
          <w:szCs w:val="24"/>
          <w14:textFill>
            <w14:solidFill>
              <w14:schemeClr w14:val="tx1"/>
            </w14:solidFill>
          </w14:textFill>
        </w:rPr>
        <w:t>the VolcanEESM global volcanic SO</w:t>
      </w:r>
      <w:r>
        <w:rPr>
          <w:rFonts w:hint="eastAsia"/>
          <w:color w:val="000000" w:themeColor="text1"/>
          <w:sz w:val="24"/>
          <w:szCs w:val="24"/>
          <w:vertAlign w:val="subscript"/>
          <w14:textFill>
            <w14:solidFill>
              <w14:schemeClr w14:val="tx1"/>
            </w14:solidFill>
          </w14:textFill>
        </w:rPr>
        <w:t>2</w:t>
      </w:r>
      <w:r>
        <w:rPr>
          <w:rFonts w:hint="eastAsia"/>
          <w:color w:val="000000" w:themeColor="text1"/>
          <w:sz w:val="24"/>
          <w:szCs w:val="24"/>
          <w14:textFill>
            <w14:solidFill>
              <w14:schemeClr w14:val="tx1"/>
            </w14:solidFill>
          </w14:textFill>
        </w:rPr>
        <w:t xml:space="preserve"> emissions database</w:t>
      </w:r>
      <w:r>
        <w:rPr>
          <w:rFonts w:hint="eastAsia"/>
          <w:color w:val="000000" w:themeColor="text1"/>
          <w:sz w:val="24"/>
          <w:szCs w:val="24"/>
          <w:vertAlign w:val="superscript"/>
          <w:lang w:val="en-US"/>
          <w14:textFill>
            <w14:solidFill>
              <w14:schemeClr w14:val="tx1"/>
            </w14:solidFill>
          </w14:textFill>
        </w:rPr>
        <w:t>3</w:t>
      </w:r>
      <w:r>
        <w:rPr>
          <w:rFonts w:hint="eastAsia"/>
          <w:color w:val="000000" w:themeColor="text1"/>
          <w:sz w:val="24"/>
          <w:szCs w:val="24"/>
          <w:lang w:val="en-US"/>
          <w14:textFill>
            <w14:solidFill>
              <w14:schemeClr w14:val="tx1"/>
            </w14:solidFill>
          </w14:textFill>
        </w:rPr>
        <w:t xml:space="preserve">. </w:t>
      </w:r>
      <w:r>
        <w:rPr>
          <w:color w:val="000000" w:themeColor="text1"/>
          <w:sz w:val="24"/>
          <w:szCs w:val="24"/>
          <w14:textFill>
            <w14:solidFill>
              <w14:schemeClr w14:val="tx1"/>
            </w14:solidFill>
          </w14:textFill>
        </w:rPr>
        <w:t xml:space="preserve">The inventory </w:t>
      </w:r>
      <w:r>
        <w:rPr>
          <w:rFonts w:hint="eastAsia"/>
          <w:color w:val="000000" w:themeColor="text1"/>
          <w:sz w:val="24"/>
          <w:szCs w:val="24"/>
          <w14:textFill>
            <w14:solidFill>
              <w14:schemeClr w14:val="tx1"/>
            </w14:solidFill>
          </w14:textFill>
        </w:rPr>
        <w:t>includes</w:t>
      </w:r>
      <w:r>
        <w:rPr>
          <w:color w:val="000000" w:themeColor="text1"/>
          <w:sz w:val="24"/>
          <w:szCs w:val="24"/>
          <w14:textFill>
            <w14:solidFill>
              <w14:schemeClr w14:val="tx1"/>
            </w14:solidFill>
          </w14:textFill>
        </w:rPr>
        <w:t xml:space="preserve"> volcanic eruptions from 1853 to 2015</w:t>
      </w:r>
      <w:r>
        <w:rPr>
          <w:rFonts w:hint="eastAsia"/>
          <w:color w:val="000000" w:themeColor="text1"/>
          <w:sz w:val="24"/>
          <w:szCs w:val="24"/>
          <w14:textFill>
            <w14:solidFill>
              <w14:schemeClr w14:val="tx1"/>
            </w14:solidFill>
          </w14:textFill>
        </w:rPr>
        <w:t xml:space="preserve"> and</w:t>
      </w:r>
      <w:r>
        <w:rPr>
          <w:color w:val="000000" w:themeColor="text1"/>
          <w:sz w:val="24"/>
          <w:szCs w:val="24"/>
          <w14:textFill>
            <w14:solidFill>
              <w14:schemeClr w14:val="tx1"/>
            </w14:solidFill>
          </w14:textFill>
        </w:rPr>
        <w:t xml:space="preserve"> contain</w:t>
      </w:r>
      <w:r>
        <w:rPr>
          <w:rFonts w:hint="eastAsia"/>
          <w:color w:val="000000" w:themeColor="text1"/>
          <w:sz w:val="24"/>
          <w:szCs w:val="24"/>
          <w14:textFill>
            <w14:solidFill>
              <w14:schemeClr w14:val="tx1"/>
            </w14:solidFill>
          </w14:textFill>
        </w:rPr>
        <w:t>s</w:t>
      </w:r>
      <w:r>
        <w:rPr>
          <w:color w:val="000000" w:themeColor="text1"/>
          <w:sz w:val="24"/>
          <w:szCs w:val="24"/>
          <w14:textFill>
            <w14:solidFill>
              <w14:schemeClr w14:val="tx1"/>
            </w14:solidFill>
          </w14:textFill>
        </w:rPr>
        <w:t xml:space="preserve"> information on the mass of SO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 xml:space="preserve"> emitted directly into the stratosphere and the upper troposphere. </w:t>
      </w:r>
    </w:p>
    <w:p w14:paraId="353C0962">
      <w:pPr>
        <w:pStyle w:val="25"/>
        <w:snapToGrid w:val="0"/>
        <w:spacing w:line="480" w:lineRule="auto"/>
        <w:ind w:firstLine="480"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The SO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 xml:space="preserve"> signal was from satellites including Total Ozone Mapping Spectrometer (TOMS), Ozone Monitoring Instrument (OMI), Ozone Mapping Profile Suite (OMPS), Infrared Atmospheric Sounding Interferometer (IASI), Global Ozone Monitoring Experiment (GOME/2), Atmospheric Infrared Sounder (AIRS), Microwave Limb Sounder (MLS), Michelson Interferometer for Passive Atmospheric Sounding (MIPAS), and ground-based remote sensing or petrological methods. </w:t>
      </w:r>
    </w:p>
    <w:p w14:paraId="5B40D7BB">
      <w:pPr>
        <w:pStyle w:val="25"/>
        <w:snapToGrid w:val="0"/>
        <w:spacing w:line="480" w:lineRule="auto"/>
        <w:ind w:firstLine="480"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The plume heights were compiled based on published estimates of the eruption source parameters and reports from the Smithsonian Global Volcanism Program (http://volcano.si.edu/), National Aeronautics and Space Administration (NASA)'s Global Sulfur Dioxide Monitoring website (</w:t>
      </w:r>
      <w:r>
        <w:fldChar w:fldCharType="begin"/>
      </w:r>
      <w:r>
        <w:instrText xml:space="preserve"> HYPERLINK "http://so2.gsfc.nasa.gov/" </w:instrText>
      </w:r>
      <w:r>
        <w:fldChar w:fldCharType="separate"/>
      </w:r>
      <w:r>
        <w:rPr>
          <w:color w:val="000000" w:themeColor="text1"/>
          <w:sz w:val="24"/>
          <w:szCs w:val="24"/>
          <w14:textFill>
            <w14:solidFill>
              <w14:schemeClr w14:val="tx1"/>
            </w14:solidFill>
          </w14:textFill>
        </w:rPr>
        <w:t>http://so2.gsfc.nasa.gov/</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t>), and the Support to Aviation Control Service (</w:t>
      </w:r>
      <w:r>
        <w:fldChar w:fldCharType="begin"/>
      </w:r>
      <w:r>
        <w:instrText xml:space="preserve"> HYPERLINK "http://sacs.aeronomie.be/" </w:instrText>
      </w:r>
      <w:r>
        <w:fldChar w:fldCharType="separate"/>
      </w:r>
      <w:r>
        <w:rPr>
          <w:color w:val="000000" w:themeColor="text1"/>
          <w:sz w:val="24"/>
          <w:szCs w:val="24"/>
          <w14:textFill>
            <w14:solidFill>
              <w14:schemeClr w14:val="tx1"/>
            </w14:solidFill>
          </w14:textFill>
        </w:rPr>
        <w:t>http://sacs.aeronomie.be/</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t>).</w:t>
      </w:r>
    </w:p>
    <w:p w14:paraId="61A106AF">
      <w:pPr>
        <w:pStyle w:val="25"/>
        <w:snapToGrid w:val="0"/>
        <w:spacing w:line="480" w:lineRule="auto"/>
        <w:ind w:firstLine="480" w:firstLineChars="200"/>
        <w:jc w:val="left"/>
        <w:rPr>
          <w:color w:val="000000" w:themeColor="text1"/>
          <w:sz w:val="24"/>
          <w:szCs w:val="24"/>
          <w:lang w:val="en-US"/>
          <w14:textFill>
            <w14:solidFill>
              <w14:schemeClr w14:val="tx1"/>
            </w14:solidFill>
          </w14:textFill>
        </w:rPr>
      </w:pPr>
      <w:r>
        <w:rPr>
          <w:color w:val="000000" w:themeColor="text1"/>
          <w:sz w:val="24"/>
          <w:szCs w:val="24"/>
          <w:lang w:val="en-US"/>
          <w14:textFill>
            <w14:solidFill>
              <w14:schemeClr w14:val="tx1"/>
            </w14:solidFill>
          </w14:textFill>
        </w:rPr>
        <w:t>Supplementary Fig. 1 compares the altitude ranges of volcanic SO</w:t>
      </w:r>
      <w:r>
        <w:rPr>
          <w:rFonts w:hint="eastAsia"/>
          <w:color w:val="000000" w:themeColor="text1"/>
          <w:sz w:val="24"/>
          <w:szCs w:val="24"/>
          <w:vertAlign w:val="subscript"/>
          <w:lang w:val="en-US" w:eastAsia="zh-CN"/>
          <w14:textFill>
            <w14:solidFill>
              <w14:schemeClr w14:val="tx1"/>
            </w14:solidFill>
          </w14:textFill>
        </w:rPr>
        <w:t>2</w:t>
      </w:r>
      <w:r>
        <w:rPr>
          <w:color w:val="000000" w:themeColor="text1"/>
          <w:sz w:val="24"/>
          <w:szCs w:val="24"/>
          <w:lang w:val="en-US"/>
          <w14:textFill>
            <w14:solidFill>
              <w14:schemeClr w14:val="tx1"/>
            </w14:solidFill>
          </w14:textFill>
        </w:rPr>
        <w:t xml:space="preserve"> plumes from the </w:t>
      </w:r>
      <w:r>
        <w:rPr>
          <w:rFonts w:hint="eastAsia"/>
          <w:color w:val="000000" w:themeColor="text1"/>
          <w:sz w:val="24"/>
          <w:szCs w:val="24"/>
          <w:lang w:val="en-US"/>
          <w14:textFill>
            <w14:solidFill>
              <w14:schemeClr w14:val="tx1"/>
            </w14:solidFill>
          </w14:textFill>
        </w:rPr>
        <w:t>THRIVE-SO</w:t>
      </w:r>
      <w:r>
        <w:rPr>
          <w:rFonts w:hint="eastAsia"/>
          <w:color w:val="000000" w:themeColor="text1"/>
          <w:sz w:val="24"/>
          <w:szCs w:val="24"/>
          <w:vertAlign w:val="subscript"/>
          <w:lang w:val="en-US"/>
          <w14:textFill>
            <w14:solidFill>
              <w14:schemeClr w14:val="tx1"/>
            </w14:solidFill>
          </w14:textFill>
        </w:rPr>
        <w:t>2</w:t>
      </w:r>
      <w:r>
        <w:rPr>
          <w:color w:val="000000" w:themeColor="text1"/>
          <w:sz w:val="24"/>
          <w:szCs w:val="24"/>
          <w:lang w:val="en-US"/>
          <w14:textFill>
            <w14:solidFill>
              <w14:schemeClr w14:val="tx1"/>
            </w14:solidFill>
          </w14:textFill>
        </w:rPr>
        <w:t xml:space="preserve"> and the </w:t>
      </w:r>
      <w:r>
        <w:rPr>
          <w:rFonts w:hint="eastAsia"/>
          <w:color w:val="000000" w:themeColor="text1"/>
          <w:sz w:val="24"/>
          <w:szCs w:val="24"/>
          <w14:textFill>
            <w14:solidFill>
              <w14:schemeClr w14:val="tx1"/>
            </w14:solidFill>
          </w14:textFill>
        </w:rPr>
        <w:t xml:space="preserve">VolcanEESM </w:t>
      </w:r>
      <w:r>
        <w:rPr>
          <w:rFonts w:hint="eastAsia"/>
          <w:color w:val="000000" w:themeColor="text1"/>
          <w:sz w:val="24"/>
          <w:szCs w:val="24"/>
          <w:lang w:val="en-US"/>
          <w14:textFill>
            <w14:solidFill>
              <w14:schemeClr w14:val="tx1"/>
            </w14:solidFill>
          </w14:textFill>
        </w:rPr>
        <w:t>database</w:t>
      </w:r>
      <w:r>
        <w:rPr>
          <w:color w:val="000000" w:themeColor="text1"/>
          <w:sz w:val="24"/>
          <w:szCs w:val="24"/>
          <w:lang w:val="en-US"/>
          <w14:textFill>
            <w14:solidFill>
              <w14:schemeClr w14:val="tx1"/>
            </w14:solidFill>
          </w14:textFill>
        </w:rPr>
        <w:t xml:space="preserve">. It also clearly shows that the </w:t>
      </w:r>
      <w:r>
        <w:rPr>
          <w:rFonts w:hint="eastAsia"/>
          <w:color w:val="000000" w:themeColor="text1"/>
          <w:sz w:val="24"/>
          <w:szCs w:val="24"/>
          <w:lang w:val="en-US"/>
          <w14:textFill>
            <w14:solidFill>
              <w14:schemeClr w14:val="tx1"/>
            </w14:solidFill>
          </w14:textFill>
        </w:rPr>
        <w:t>THRIVE-SO</w:t>
      </w:r>
      <w:r>
        <w:rPr>
          <w:rFonts w:hint="eastAsia"/>
          <w:color w:val="000000" w:themeColor="text1"/>
          <w:sz w:val="24"/>
          <w:szCs w:val="24"/>
          <w:vertAlign w:val="subscript"/>
          <w:lang w:val="en-US"/>
          <w14:textFill>
            <w14:solidFill>
              <w14:schemeClr w14:val="tx1"/>
            </w14:solidFill>
          </w14:textFill>
        </w:rPr>
        <w:t>2</w:t>
      </w:r>
      <w:r>
        <w:rPr>
          <w:color w:val="000000" w:themeColor="text1"/>
          <w:sz w:val="24"/>
          <w:szCs w:val="24"/>
          <w:lang w:val="en-US"/>
          <w14:textFill>
            <w14:solidFill>
              <w14:schemeClr w14:val="tx1"/>
            </w14:solidFill>
          </w14:textFill>
        </w:rPr>
        <w:t xml:space="preserve"> includes more eruption cases than the </w:t>
      </w:r>
      <w:r>
        <w:rPr>
          <w:rFonts w:hint="eastAsia"/>
          <w:color w:val="000000" w:themeColor="text1"/>
          <w:sz w:val="24"/>
          <w:szCs w:val="24"/>
          <w14:textFill>
            <w14:solidFill>
              <w14:schemeClr w14:val="tx1"/>
            </w14:solidFill>
          </w14:textFill>
        </w:rPr>
        <w:t xml:space="preserve">VolcanEESM </w:t>
      </w:r>
      <w:r>
        <w:rPr>
          <w:rFonts w:hint="eastAsia"/>
          <w:color w:val="000000" w:themeColor="text1"/>
          <w:sz w:val="24"/>
          <w:szCs w:val="24"/>
          <w:lang w:val="en-US"/>
          <w14:textFill>
            <w14:solidFill>
              <w14:schemeClr w14:val="tx1"/>
            </w14:solidFill>
          </w14:textFill>
        </w:rPr>
        <w:t>database</w:t>
      </w:r>
      <w:r>
        <w:rPr>
          <w:color w:val="000000" w:themeColor="text1"/>
          <w:sz w:val="24"/>
          <w:szCs w:val="24"/>
          <w:lang w:val="en-US"/>
          <w14:textFill>
            <w14:solidFill>
              <w14:schemeClr w14:val="tx1"/>
            </w14:solidFill>
          </w14:textFill>
        </w:rPr>
        <w:t>.</w:t>
      </w:r>
    </w:p>
    <w:p w14:paraId="798A5B09">
      <w:pPr>
        <w:spacing w:after="0" w:line="240" w:lineRule="auto"/>
        <w:rPr>
          <w:rFonts w:ascii="Times New Roman" w:hAnsi="Times New Roman"/>
          <w:color w:val="000000" w:themeColor="text1"/>
          <w:sz w:val="24"/>
          <w:szCs w:val="24"/>
          <w:lang w:val="en-US"/>
          <w14:textFill>
            <w14:solidFill>
              <w14:schemeClr w14:val="tx1"/>
            </w14:solidFill>
          </w14:textFill>
        </w:rPr>
      </w:pPr>
      <w:r>
        <w:rPr>
          <w:color w:val="000000" w:themeColor="text1"/>
          <w:sz w:val="24"/>
          <w:szCs w:val="24"/>
          <w:lang w:val="en-US"/>
          <w14:textFill>
            <w14:solidFill>
              <w14:schemeClr w14:val="tx1"/>
            </w14:solidFill>
          </w14:textFill>
        </w:rPr>
        <w:br w:type="page"/>
      </w:r>
    </w:p>
    <w:p w14:paraId="4BD364F3">
      <w:pPr>
        <w:pStyle w:val="25"/>
        <w:snapToGrid w:val="0"/>
        <w:spacing w:line="480" w:lineRule="auto"/>
        <w:ind w:left="-880" w:leftChars="-400" w:firstLine="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drawing>
          <wp:inline distT="0" distB="0" distL="114300" distR="114300">
            <wp:extent cx="6383020" cy="3023870"/>
            <wp:effectExtent l="0" t="0" r="8255" b="5080"/>
            <wp:docPr id="6" name="图片 6" descr="E:/work/SO2_inventory/script/figure/mptrac_vs_waccm_height_percentile.pngmptrac_vs_waccm_height_percen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work/SO2_inventory/script/figure/mptrac_vs_waccm_height_percentile.pngmptrac_vs_waccm_height_percentile"/>
                    <pic:cNvPicPr>
                      <a:picLocks noChangeAspect="1"/>
                    </pic:cNvPicPr>
                  </pic:nvPicPr>
                  <pic:blipFill>
                    <a:blip r:embed="rId8"/>
                    <a:srcRect l="7776" r="7776"/>
                    <a:stretch>
                      <a:fillRect/>
                    </a:stretch>
                  </pic:blipFill>
                  <pic:spPr>
                    <a:xfrm>
                      <a:off x="0" y="0"/>
                      <a:ext cx="6383020" cy="3023870"/>
                    </a:xfrm>
                    <a:prstGeom prst="rect">
                      <a:avLst/>
                    </a:prstGeom>
                  </pic:spPr>
                </pic:pic>
              </a:graphicData>
            </a:graphic>
          </wp:inline>
        </w:drawing>
      </w:r>
    </w:p>
    <w:p w14:paraId="07D4A1B6">
      <w:pPr>
        <w:spacing w:line="260" w:lineRule="auto"/>
        <w:outlineLvl w:val="0"/>
        <w:rPr>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lang w:val="en-US" w:eastAsia="en-GB" w:bidi="en-GB"/>
          <w14:textFill>
            <w14:solidFill>
              <w14:schemeClr w14:val="tx1"/>
            </w14:solidFill>
          </w14:textFill>
        </w:rPr>
        <w:t>Supplementary Figure 1:</w:t>
      </w:r>
      <w:r>
        <w:rPr>
          <w:rFonts w:ascii="Times New Roman" w:hAnsi="Times New Roman" w:eastAsia="Times New Roman" w:cs="Times New Roman"/>
          <w:bCs/>
          <w:color w:val="000000" w:themeColor="text1"/>
          <w:sz w:val="24"/>
          <w:szCs w:val="24"/>
          <w:lang w:val="en-US" w:eastAsia="en-GB" w:bidi="en-GB"/>
          <w14:textFill>
            <w14:solidFill>
              <w14:schemeClr w14:val="tx1"/>
            </w14:solidFill>
          </w14:textFill>
        </w:rPr>
        <w:t xml:space="preserve"> </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Comparison of SO</w:t>
      </w:r>
      <w:r>
        <w:rPr>
          <w:rFonts w:hint="eastAsia" w:ascii="Times New Roman" w:hAnsi="Times New Roman" w:eastAsia="Times New Roman" w:cs="Times New Roman"/>
          <w:b/>
          <w:color w:val="000000" w:themeColor="text1"/>
          <w:sz w:val="24"/>
          <w:szCs w:val="24"/>
          <w:vertAlign w:val="subscript"/>
          <w:lang w:val="en-US" w:bidi="en-GB"/>
          <w14:textFill>
            <w14:solidFill>
              <w14:schemeClr w14:val="tx1"/>
            </w14:solidFill>
          </w14:textFill>
        </w:rPr>
        <w:t>2</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 plume altitude ranges between THRIVE-SO</w:t>
      </w:r>
      <w:r>
        <w:rPr>
          <w:rFonts w:hint="eastAsia" w:ascii="Times New Roman" w:hAnsi="Times New Roman" w:eastAsia="Times New Roman" w:cs="Times New Roman"/>
          <w:b/>
          <w:color w:val="000000" w:themeColor="text1"/>
          <w:sz w:val="24"/>
          <w:szCs w:val="24"/>
          <w:vertAlign w:val="subscript"/>
          <w:lang w:val="en-US" w:bidi="en-GB"/>
          <w14:textFill>
            <w14:solidFill>
              <w14:schemeClr w14:val="tx1"/>
            </w14:solidFill>
          </w14:textFill>
        </w:rPr>
        <w:t>2</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 and VolcanEESM. </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B</w:t>
      </w:r>
      <w:r>
        <w:rPr>
          <w:rFonts w:hint="eastAsia" w:ascii="Times New Roman" w:hAnsi="Times New Roman" w:eastAsia="Times New Roman" w:cs="Times New Roman"/>
          <w:bCs/>
          <w:color w:val="000000" w:themeColor="text1"/>
          <w:sz w:val="24"/>
          <w:szCs w:val="24"/>
          <w:lang w:val="en-US" w:bidi="en-GB"/>
          <w14:textFill>
            <w14:solidFill>
              <w14:schemeClr w14:val="tx1"/>
            </w14:solidFill>
          </w14:textFill>
        </w:rPr>
        <w:t>ox-and-whisker plots show THRIVE-SO</w:t>
      </w:r>
      <w:r>
        <w:rPr>
          <w:rFonts w:hint="eastAsia" w:ascii="Times New Roman" w:hAnsi="Times New Roman" w:eastAsia="Times New Roman" w:cs="Times New Roman"/>
          <w:bCs/>
          <w:color w:val="000000" w:themeColor="text1"/>
          <w:sz w:val="24"/>
          <w:szCs w:val="24"/>
          <w:vertAlign w:val="subscript"/>
          <w:lang w:val="en-US" w:bidi="en-GB"/>
          <w14:textFill>
            <w14:solidFill>
              <w14:schemeClr w14:val="tx1"/>
            </w14:solidFill>
          </w14:textFill>
        </w:rPr>
        <w:t>2</w:t>
      </w:r>
      <w:r>
        <w:rPr>
          <w:rFonts w:hint="eastAsia" w:ascii="Times New Roman" w:hAnsi="Times New Roman" w:eastAsia="Times New Roman" w:cs="Times New Roman"/>
          <w:bCs/>
          <w:color w:val="000000" w:themeColor="text1"/>
          <w:sz w:val="24"/>
          <w:szCs w:val="24"/>
          <w:lang w:val="en-US" w:bidi="en-GB"/>
          <w14:textFill>
            <w14:solidFill>
              <w14:schemeClr w14:val="tx1"/>
            </w14:solidFill>
          </w14:textFill>
        </w:rPr>
        <w:t xml:space="preserve"> retrievals (whiskers: plume top/bottom; box: 25th–75th percentiles; line: median altitude of SO</w:t>
      </w:r>
      <w:r>
        <w:rPr>
          <w:rFonts w:hint="eastAsia" w:ascii="Times New Roman" w:hAnsi="Times New Roman" w:eastAsia="Times New Roman" w:cs="Times New Roman"/>
          <w:bCs/>
          <w:color w:val="000000" w:themeColor="text1"/>
          <w:sz w:val="24"/>
          <w:szCs w:val="24"/>
          <w:vertAlign w:val="subscript"/>
          <w:lang w:val="en-US" w:bidi="en-GB"/>
          <w14:textFill>
            <w14:solidFill>
              <w14:schemeClr w14:val="tx1"/>
            </w14:solidFill>
          </w14:textFill>
        </w:rPr>
        <w:t>2</w:t>
      </w:r>
      <w:r>
        <w:rPr>
          <w:rFonts w:hint="eastAsia" w:ascii="Times New Roman" w:hAnsi="Times New Roman" w:eastAsia="Times New Roman" w:cs="Times New Roman"/>
          <w:bCs/>
          <w:color w:val="000000" w:themeColor="text1"/>
          <w:sz w:val="24"/>
          <w:szCs w:val="24"/>
          <w:lang w:val="en-US" w:bidi="en-GB"/>
          <w14:textFill>
            <w14:solidFill>
              <w14:schemeClr w14:val="tx1"/>
            </w14:solidFill>
          </w14:textFill>
        </w:rPr>
        <w:t xml:space="preserve"> mass). Gray bars show the VolcanEESM plume altitude range. Red crosses mark the eruptions that are present in the THRIVE-SO</w:t>
      </w:r>
      <w:r>
        <w:rPr>
          <w:rFonts w:hint="eastAsia" w:ascii="Times New Roman" w:hAnsi="Times New Roman" w:eastAsia="Times New Roman" w:cs="Times New Roman"/>
          <w:bCs/>
          <w:color w:val="000000" w:themeColor="text1"/>
          <w:sz w:val="24"/>
          <w:szCs w:val="24"/>
          <w:vertAlign w:val="subscript"/>
          <w:lang w:val="en-US" w:bidi="en-GB"/>
          <w14:textFill>
            <w14:solidFill>
              <w14:schemeClr w14:val="tx1"/>
            </w14:solidFill>
          </w14:textFill>
        </w:rPr>
        <w:t>2</w:t>
      </w:r>
      <w:r>
        <w:rPr>
          <w:rFonts w:hint="eastAsia" w:ascii="Times New Roman" w:hAnsi="Times New Roman" w:eastAsia="宋体" w:cs="Times New Roman"/>
          <w:bCs/>
          <w:color w:val="000000" w:themeColor="text1"/>
          <w:sz w:val="24"/>
          <w:szCs w:val="24"/>
          <w:vertAlign w:val="subscript"/>
          <w:lang w:val="en-US" w:bidi="en-GB"/>
          <w14:textFill>
            <w14:solidFill>
              <w14:schemeClr w14:val="tx1"/>
            </w14:solidFill>
          </w14:textFill>
        </w:rPr>
        <w:t xml:space="preserve"> </w:t>
      </w:r>
      <w:r>
        <w:rPr>
          <w:rFonts w:hint="eastAsia" w:ascii="Times New Roman" w:hAnsi="Times New Roman" w:eastAsia="Times New Roman" w:cs="Times New Roman"/>
          <w:bCs/>
          <w:color w:val="000000" w:themeColor="text1"/>
          <w:sz w:val="24"/>
          <w:szCs w:val="24"/>
          <w:lang w:val="en-US" w:bidi="en-GB"/>
          <w14:textFill>
            <w14:solidFill>
              <w14:schemeClr w14:val="tx1"/>
            </w14:solidFill>
          </w14:textFill>
        </w:rPr>
        <w:t>but absent from the VolcanEESM</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 xml:space="preserve"> database. </w:t>
      </w:r>
      <w:r>
        <w:rPr>
          <w:rFonts w:hint="eastAsia" w:ascii="Times New Roman" w:hAnsi="Times New Roman" w:eastAsia="Times New Roman" w:cs="Times New Roman"/>
          <w:bCs/>
          <w:color w:val="000000" w:themeColor="text1"/>
          <w:sz w:val="24"/>
          <w:szCs w:val="24"/>
          <w:lang w:val="en-US" w:bidi="en-GB"/>
          <w14:textFill>
            <w14:solidFill>
              <w14:schemeClr w14:val="tx1"/>
            </w14:solidFill>
          </w14:textFill>
        </w:rPr>
        <w:t>The full list of the 5</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2</w:t>
      </w:r>
      <w:r>
        <w:rPr>
          <w:rFonts w:hint="eastAsia" w:ascii="Times New Roman" w:hAnsi="Times New Roman" w:eastAsia="Times New Roman" w:cs="Times New Roman"/>
          <w:bCs/>
          <w:color w:val="000000" w:themeColor="text1"/>
          <w:sz w:val="24"/>
          <w:szCs w:val="24"/>
          <w:lang w:val="en-US" w:bidi="en-GB"/>
          <w14:textFill>
            <w14:solidFill>
              <w14:schemeClr w14:val="tx1"/>
            </w14:solidFill>
          </w14:textFill>
        </w:rPr>
        <w:t xml:space="preserve"> volcanic eruptions in the THRIVE-SO</w:t>
      </w:r>
      <w:r>
        <w:rPr>
          <w:rFonts w:hint="eastAsia" w:ascii="Times New Roman" w:hAnsi="Times New Roman" w:eastAsia="Times New Roman" w:cs="Times New Roman"/>
          <w:bCs/>
          <w:color w:val="000000" w:themeColor="text1"/>
          <w:sz w:val="24"/>
          <w:szCs w:val="24"/>
          <w:vertAlign w:val="subscript"/>
          <w:lang w:val="en-US" w:bidi="en-GB"/>
          <w14:textFill>
            <w14:solidFill>
              <w14:schemeClr w14:val="tx1"/>
            </w14:solidFill>
          </w14:textFill>
        </w:rPr>
        <w:t>2</w:t>
      </w:r>
      <w:r>
        <w:rPr>
          <w:rFonts w:hint="eastAsia" w:ascii="Times New Roman" w:hAnsi="Times New Roman" w:eastAsia="Times New Roman" w:cs="Times New Roman"/>
          <w:bCs/>
          <w:color w:val="000000" w:themeColor="text1"/>
          <w:sz w:val="24"/>
          <w:szCs w:val="24"/>
          <w:lang w:val="en-US" w:bidi="en-GB"/>
          <w14:textFill>
            <w14:solidFill>
              <w14:schemeClr w14:val="tx1"/>
            </w14:solidFill>
          </w14:textFill>
        </w:rPr>
        <w:t xml:space="preserve"> is at </w:t>
      </w:r>
      <w:r>
        <w:fldChar w:fldCharType="begin"/>
      </w:r>
      <w:r>
        <w:instrText xml:space="preserve"> HYPERLINK "https://datapub.fz-juelich.de/slcs/so2_inv/html/events.html." </w:instrText>
      </w:r>
      <w:r>
        <w:fldChar w:fldCharType="separate"/>
      </w:r>
      <w:r>
        <w:rPr>
          <w:rStyle w:val="11"/>
          <w:rFonts w:hint="eastAsia" w:ascii="Times New Roman" w:hAnsi="Times New Roman" w:eastAsia="Times New Roman" w:cs="Times New Roman"/>
          <w:bCs/>
          <w:sz w:val="24"/>
          <w:szCs w:val="24"/>
          <w:lang w:val="en-US" w:bidi="en-GB"/>
        </w:rPr>
        <w:t>https://datapub.fz-juelich.de/slcs/so2_inv/html/events.html.</w:t>
      </w:r>
      <w:r>
        <w:rPr>
          <w:rStyle w:val="11"/>
          <w:rFonts w:hint="eastAsia" w:ascii="Times New Roman" w:hAnsi="Times New Roman" w:eastAsia="Times New Roman" w:cs="Times New Roman"/>
          <w:bCs/>
          <w:sz w:val="24"/>
          <w:szCs w:val="24"/>
          <w:lang w:val="en-US" w:bidi="en-GB"/>
        </w:rPr>
        <w:fldChar w:fldCharType="end"/>
      </w:r>
    </w:p>
    <w:p w14:paraId="034C7805">
      <w:pPr>
        <w:ind w:left="-649" w:leftChars="-295"/>
      </w:pPr>
      <w:r>
        <w:rPr>
          <w:rFonts w:hint="eastAsia"/>
        </w:rPr>
        <w:drawing>
          <wp:inline distT="0" distB="0" distL="114300" distR="114300">
            <wp:extent cx="5951855" cy="5255895"/>
            <wp:effectExtent l="0" t="0" r="4445" b="1905"/>
            <wp:docPr id="3" name="图片 3" descr="F:/work/volcanic_list/traj_dif/compare_SO2depletion/FigureS1-sarychev.pngFigureS1-sarych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work/volcanic_list/traj_dif/compare_SO2depletion/FigureS1-sarychev.pngFigureS1-sarychev"/>
                    <pic:cNvPicPr>
                      <a:picLocks noChangeAspect="1"/>
                    </pic:cNvPicPr>
                  </pic:nvPicPr>
                  <pic:blipFill>
                    <a:blip r:embed="rId9"/>
                    <a:srcRect t="11" b="11"/>
                    <a:stretch>
                      <a:fillRect/>
                    </a:stretch>
                  </pic:blipFill>
                  <pic:spPr>
                    <a:xfrm>
                      <a:off x="0" y="0"/>
                      <a:ext cx="5951855" cy="5255895"/>
                    </a:xfrm>
                    <a:prstGeom prst="rect">
                      <a:avLst/>
                    </a:prstGeom>
                  </pic:spPr>
                </pic:pic>
              </a:graphicData>
            </a:graphic>
          </wp:inline>
        </w:drawing>
      </w:r>
    </w:p>
    <w:p w14:paraId="27A5146F">
      <w:pPr>
        <w:spacing w:line="260" w:lineRule="auto"/>
        <w:outlineLvl w:val="0"/>
        <w:rPr>
          <w:rFonts w:ascii="Times New Roman" w:hAnsi="Times New Roman" w:eastAsia="Times New Roman" w:cs="Times New Roman"/>
          <w:bCs/>
          <w:color w:val="000000" w:themeColor="text1"/>
          <w:sz w:val="24"/>
          <w:szCs w:val="24"/>
          <w:lang w:val="en-US" w:bidi="en-GB"/>
          <w14:textFill>
            <w14:solidFill>
              <w14:schemeClr w14:val="tx1"/>
            </w14:solidFill>
          </w14:textFill>
        </w:rPr>
      </w:pPr>
      <w:r>
        <w:rPr>
          <w:rFonts w:ascii="Times New Roman" w:hAnsi="Times New Roman" w:eastAsia="Times New Roman" w:cs="Times New Roman"/>
          <w:b/>
          <w:color w:val="000000" w:themeColor="text1"/>
          <w:sz w:val="24"/>
          <w:szCs w:val="24"/>
          <w:lang w:val="en-US" w:eastAsia="en-GB" w:bidi="en-GB"/>
          <w14:textFill>
            <w14:solidFill>
              <w14:schemeClr w14:val="tx1"/>
            </w14:solidFill>
          </w14:textFill>
        </w:rPr>
        <w:t xml:space="preserve">Supplementary Figure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2</w:t>
      </w:r>
      <w:r>
        <w:rPr>
          <w:rFonts w:ascii="Times New Roman" w:hAnsi="Times New Roman" w:eastAsia="Times New Roman" w:cs="Times New Roman"/>
          <w:b/>
          <w:color w:val="000000" w:themeColor="text1"/>
          <w:sz w:val="24"/>
          <w:szCs w:val="24"/>
          <w:lang w:val="en-US" w:eastAsia="en-GB" w:bidi="en-GB"/>
          <w14:textFill>
            <w14:solidFill>
              <w14:schemeClr w14:val="tx1"/>
            </w14:solidFill>
          </w14:textFill>
        </w:rPr>
        <w:t>:</w:t>
      </w:r>
      <w:r>
        <w:rPr>
          <w:rFonts w:ascii="Times New Roman" w:hAnsi="Times New Roman" w:eastAsia="Times New Roman" w:cs="Times New Roman"/>
          <w:bCs/>
          <w:color w:val="000000" w:themeColor="text1"/>
          <w:sz w:val="24"/>
          <w:szCs w:val="24"/>
          <w:lang w:val="en-US" w:eastAsia="en-GB" w:bidi="en-GB"/>
          <w14:textFill>
            <w14:solidFill>
              <w14:schemeClr w14:val="tx1"/>
            </w14:solidFill>
          </w14:textFill>
        </w:rPr>
        <w:t xml:space="preserve"> </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Comparison of the simulated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SO</w:t>
      </w:r>
      <w:r>
        <w:rPr>
          <w:rFonts w:hint="eastAsia" w:ascii="Times New Roman" w:hAnsi="Times New Roman" w:eastAsia="宋体" w:cs="Times New Roman"/>
          <w:b/>
          <w:color w:val="000000" w:themeColor="text1"/>
          <w:sz w:val="24"/>
          <w:szCs w:val="24"/>
          <w:vertAlign w:val="subscript"/>
          <w:lang w:val="en-US" w:bidi="en-GB"/>
          <w14:textFill>
            <w14:solidFill>
              <w14:schemeClr w14:val="tx1"/>
            </w14:solidFill>
          </w14:textFill>
        </w:rPr>
        <w:t xml:space="preserve">2 </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column density evolution initialized by the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THRIVE-SO</w:t>
      </w:r>
      <w:r>
        <w:rPr>
          <w:rFonts w:hint="eastAsia" w:ascii="Times New Roman" w:hAnsi="Times New Roman" w:eastAsia="宋体" w:cs="Times New Roman"/>
          <w:b/>
          <w:color w:val="000000" w:themeColor="text1"/>
          <w:sz w:val="24"/>
          <w:szCs w:val="24"/>
          <w:vertAlign w:val="subscript"/>
          <w:lang w:val="en-US" w:bidi="en-GB"/>
          <w14:textFill>
            <w14:solidFill>
              <w14:schemeClr w14:val="tx1"/>
            </w14:solidFill>
          </w14:textFill>
        </w:rPr>
        <w:t>2</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 and the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VolcanEESM</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 against AIRS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SO</w:t>
      </w:r>
      <w:r>
        <w:rPr>
          <w:rFonts w:hint="eastAsia" w:ascii="Times New Roman" w:hAnsi="Times New Roman" w:eastAsia="宋体" w:cs="Times New Roman"/>
          <w:b/>
          <w:color w:val="000000" w:themeColor="text1"/>
          <w:sz w:val="24"/>
          <w:szCs w:val="24"/>
          <w:vertAlign w:val="subscript"/>
          <w:lang w:val="en-US" w:bidi="en-GB"/>
          <w14:textFill>
            <w14:solidFill>
              <w14:schemeClr w14:val="tx1"/>
            </w14:solidFill>
          </w14:textFill>
        </w:rPr>
        <w:t xml:space="preserve">2 </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column density observations for the Sarychev eruption from 16 to 24 June 2009. </w:t>
      </w:r>
      <w:r>
        <w:rPr>
          <w:rFonts w:hint="eastAsia" w:ascii="Times New Roman" w:hAnsi="Times New Roman" w:eastAsia="Times New Roman" w:cs="Times New Roman"/>
          <w:bCs/>
          <w:color w:val="000000" w:themeColor="text1"/>
          <w:sz w:val="24"/>
          <w:szCs w:val="24"/>
          <w:lang w:val="en-US" w:bidi="en-GB"/>
          <w14:textFill>
            <w14:solidFill>
              <w14:schemeClr w14:val="tx1"/>
            </w14:solidFill>
          </w14:textFill>
        </w:rPr>
        <w:t xml:space="preserve">The MPTRAC </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SO</w:t>
      </w:r>
      <w:r>
        <w:rPr>
          <w:rFonts w:hint="eastAsia" w:ascii="Times New Roman" w:hAnsi="Times New Roman" w:eastAsia="宋体" w:cs="Times New Roman"/>
          <w:bCs/>
          <w:color w:val="000000" w:themeColor="text1"/>
          <w:sz w:val="24"/>
          <w:szCs w:val="24"/>
          <w:vertAlign w:val="subscript"/>
          <w:lang w:val="en-US" w:bidi="en-GB"/>
          <w14:textFill>
            <w14:solidFill>
              <w14:schemeClr w14:val="tx1"/>
            </w14:solidFill>
          </w14:textFill>
        </w:rPr>
        <w:t xml:space="preserve">2 </w:t>
      </w:r>
      <w:r>
        <w:rPr>
          <w:rFonts w:hint="eastAsia" w:ascii="Times New Roman" w:hAnsi="Times New Roman" w:eastAsia="Times New Roman" w:cs="Times New Roman"/>
          <w:bCs/>
          <w:color w:val="000000" w:themeColor="text1"/>
          <w:sz w:val="24"/>
          <w:szCs w:val="24"/>
          <w:lang w:val="en-US" w:bidi="en-GB"/>
          <w14:textFill>
            <w14:solidFill>
              <w14:schemeClr w14:val="tx1"/>
            </w14:solidFill>
          </w14:textFill>
        </w:rPr>
        <w:t>column densities are shown at 06:00 UTC on selected days, and AIRS data within ±6 h are shown. The red triangle denotes the location of the Sarychev volcano.</w:t>
      </w:r>
    </w:p>
    <w:p w14:paraId="030DBE26">
      <w:pPr>
        <w:ind w:left="-440" w:leftChars="-200"/>
        <w:jc w:val="both"/>
      </w:pPr>
      <w:r>
        <w:rPr>
          <w:rFonts w:hint="eastAsia"/>
        </w:rPr>
        <w:drawing>
          <wp:inline distT="0" distB="0" distL="114300" distR="114300">
            <wp:extent cx="5951855" cy="5255895"/>
            <wp:effectExtent l="0" t="0" r="4445" b="1905"/>
            <wp:docPr id="5" name="图片 5" descr="F:/work/volcanic_list/traj_dif/compare_SO2depletion/FigureS1-merapi.pngFigureS1-mera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work/volcanic_list/traj_dif/compare_SO2depletion/FigureS1-merapi.pngFigureS1-merapi"/>
                    <pic:cNvPicPr>
                      <a:picLocks noChangeAspect="1"/>
                    </pic:cNvPicPr>
                  </pic:nvPicPr>
                  <pic:blipFill>
                    <a:blip r:embed="rId10"/>
                    <a:srcRect t="37" b="37"/>
                    <a:stretch>
                      <a:fillRect/>
                    </a:stretch>
                  </pic:blipFill>
                  <pic:spPr>
                    <a:xfrm>
                      <a:off x="0" y="0"/>
                      <a:ext cx="5951855" cy="5255895"/>
                    </a:xfrm>
                    <a:prstGeom prst="rect">
                      <a:avLst/>
                    </a:prstGeom>
                  </pic:spPr>
                </pic:pic>
              </a:graphicData>
            </a:graphic>
          </wp:inline>
        </w:drawing>
      </w:r>
    </w:p>
    <w:p w14:paraId="4144576D">
      <w:pPr>
        <w:spacing w:line="260" w:lineRule="auto"/>
        <w:outlineLvl w:val="0"/>
        <w:rPr>
          <w:rFonts w:ascii="Times New Roman" w:hAnsi="Times New Roman" w:eastAsia="宋体" w:cs="Times New Roman"/>
          <w:bCs/>
          <w:color w:val="000000" w:themeColor="text1"/>
          <w:sz w:val="24"/>
          <w:szCs w:val="24"/>
          <w:lang w:val="en-US" w:bidi="en-GB"/>
          <w14:textFill>
            <w14:solidFill>
              <w14:schemeClr w14:val="tx1"/>
            </w14:solidFill>
          </w14:textFill>
        </w:rPr>
      </w:pPr>
      <w:r>
        <w:rPr>
          <w:rFonts w:ascii="Times New Roman" w:hAnsi="Times New Roman" w:eastAsia="Times New Roman" w:cs="Times New Roman"/>
          <w:b/>
          <w:color w:val="000000" w:themeColor="text1"/>
          <w:sz w:val="24"/>
          <w:szCs w:val="24"/>
          <w:lang w:val="en-US" w:eastAsia="en-GB" w:bidi="en-GB"/>
          <w14:textFill>
            <w14:solidFill>
              <w14:schemeClr w14:val="tx1"/>
            </w14:solidFill>
          </w14:textFill>
        </w:rPr>
        <w:t xml:space="preserve">Supplementary Figure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3</w:t>
      </w:r>
      <w:r>
        <w:rPr>
          <w:rFonts w:ascii="Times New Roman" w:hAnsi="Times New Roman" w:eastAsia="Times New Roman" w:cs="Times New Roman"/>
          <w:b/>
          <w:color w:val="000000" w:themeColor="text1"/>
          <w:sz w:val="24"/>
          <w:szCs w:val="24"/>
          <w:lang w:val="en-US" w:eastAsia="en-GB" w:bidi="en-GB"/>
          <w14:textFill>
            <w14:solidFill>
              <w14:schemeClr w14:val="tx1"/>
            </w14:solidFill>
          </w14:textFill>
        </w:rPr>
        <w:t>:</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 xml:space="preserve"> </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Comparison of the simulated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SO</w:t>
      </w:r>
      <w:r>
        <w:rPr>
          <w:rFonts w:hint="eastAsia" w:ascii="Times New Roman" w:hAnsi="Times New Roman" w:eastAsia="宋体" w:cs="Times New Roman"/>
          <w:b/>
          <w:color w:val="000000" w:themeColor="text1"/>
          <w:sz w:val="24"/>
          <w:szCs w:val="24"/>
          <w:vertAlign w:val="subscript"/>
          <w:lang w:val="en-US" w:bidi="en-GB"/>
          <w14:textFill>
            <w14:solidFill>
              <w14:schemeClr w14:val="tx1"/>
            </w14:solidFill>
          </w14:textFill>
        </w:rPr>
        <w:t xml:space="preserve">2 </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column density evolution initialized by the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THRIVE-SO</w:t>
      </w:r>
      <w:r>
        <w:rPr>
          <w:rFonts w:hint="eastAsia" w:ascii="Times New Roman" w:hAnsi="Times New Roman" w:eastAsia="宋体" w:cs="Times New Roman"/>
          <w:b/>
          <w:color w:val="000000" w:themeColor="text1"/>
          <w:sz w:val="24"/>
          <w:szCs w:val="24"/>
          <w:vertAlign w:val="subscript"/>
          <w:lang w:val="en-US" w:bidi="en-GB"/>
          <w14:textFill>
            <w14:solidFill>
              <w14:schemeClr w14:val="tx1"/>
            </w14:solidFill>
          </w14:textFill>
        </w:rPr>
        <w:t>2</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 and the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VolcanEESM</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 against AIRS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SO</w:t>
      </w:r>
      <w:r>
        <w:rPr>
          <w:rFonts w:hint="eastAsia" w:ascii="Times New Roman" w:hAnsi="Times New Roman" w:eastAsia="宋体" w:cs="Times New Roman"/>
          <w:b/>
          <w:color w:val="000000" w:themeColor="text1"/>
          <w:sz w:val="24"/>
          <w:szCs w:val="24"/>
          <w:vertAlign w:val="subscript"/>
          <w:lang w:val="en-US" w:bidi="en-GB"/>
          <w14:textFill>
            <w14:solidFill>
              <w14:schemeClr w14:val="tx1"/>
            </w14:solidFill>
          </w14:textFill>
        </w:rPr>
        <w:t xml:space="preserve">2 </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column density observations for the Merapi eruption from 05 to 13 November 2010. </w:t>
      </w:r>
      <w:r>
        <w:rPr>
          <w:rFonts w:hint="eastAsia" w:ascii="Times New Roman" w:hAnsi="Times New Roman" w:eastAsia="Times New Roman" w:cs="Times New Roman"/>
          <w:bCs/>
          <w:color w:val="000000" w:themeColor="text1"/>
          <w:sz w:val="24"/>
          <w:szCs w:val="24"/>
          <w:lang w:val="en-US" w:bidi="en-GB"/>
          <w14:textFill>
            <w14:solidFill>
              <w14:schemeClr w14:val="tx1"/>
            </w14:solidFill>
          </w14:textFill>
        </w:rPr>
        <w:t xml:space="preserve">The MPTRAC </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SO</w:t>
      </w:r>
      <w:r>
        <w:rPr>
          <w:rFonts w:hint="eastAsia" w:ascii="Times New Roman" w:hAnsi="Times New Roman" w:eastAsia="宋体" w:cs="Times New Roman"/>
          <w:bCs/>
          <w:color w:val="000000" w:themeColor="text1"/>
          <w:sz w:val="24"/>
          <w:szCs w:val="24"/>
          <w:vertAlign w:val="subscript"/>
          <w:lang w:val="en-US" w:bidi="en-GB"/>
          <w14:textFill>
            <w14:solidFill>
              <w14:schemeClr w14:val="tx1"/>
            </w14:solidFill>
          </w14:textFill>
        </w:rPr>
        <w:t xml:space="preserve">2 </w:t>
      </w:r>
      <w:r>
        <w:rPr>
          <w:rFonts w:hint="eastAsia" w:ascii="Times New Roman" w:hAnsi="Times New Roman" w:eastAsia="Times New Roman" w:cs="Times New Roman"/>
          <w:bCs/>
          <w:color w:val="000000" w:themeColor="text1"/>
          <w:sz w:val="24"/>
          <w:szCs w:val="24"/>
          <w:lang w:val="en-US" w:bidi="en-GB"/>
          <w14:textFill>
            <w14:solidFill>
              <w14:schemeClr w14:val="tx1"/>
            </w14:solidFill>
          </w14:textFill>
        </w:rPr>
        <w:t>column densities are shown at 06:00 UTC on selected days, and AIRS data within ±6 h are shown. The red triangle denotes the location of the Merapi volcano.</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 xml:space="preserve"> The VolcanEESM provides SO</w:t>
      </w:r>
      <w:r>
        <w:rPr>
          <w:rFonts w:hint="eastAsia" w:ascii="Times New Roman" w:hAnsi="Times New Roman" w:eastAsia="宋体" w:cs="Times New Roman"/>
          <w:bCs/>
          <w:color w:val="000000" w:themeColor="text1"/>
          <w:sz w:val="24"/>
          <w:szCs w:val="24"/>
          <w:vertAlign w:val="subscript"/>
          <w:lang w:val="en-US" w:bidi="en-GB"/>
          <w14:textFill>
            <w14:solidFill>
              <w14:schemeClr w14:val="tx1"/>
            </w14:solidFill>
          </w14:textFill>
        </w:rPr>
        <w:t>2</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 xml:space="preserve"> emissions only from 8 November 2010; hence, no SO</w:t>
      </w:r>
      <w:r>
        <w:rPr>
          <w:rFonts w:hint="eastAsia" w:ascii="Times New Roman" w:hAnsi="Times New Roman" w:eastAsia="宋体" w:cs="Times New Roman"/>
          <w:bCs/>
          <w:color w:val="000000" w:themeColor="text1"/>
          <w:sz w:val="24"/>
          <w:szCs w:val="24"/>
          <w:vertAlign w:val="subscript"/>
          <w:lang w:val="en-US" w:bidi="en-GB"/>
          <w14:textFill>
            <w14:solidFill>
              <w14:schemeClr w14:val="tx1"/>
            </w14:solidFill>
          </w14:textFill>
        </w:rPr>
        <w:t>2</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 xml:space="preserve"> plume data are available before this date.</w:t>
      </w:r>
    </w:p>
    <w:p w14:paraId="75DABD19">
      <w:pPr>
        <w:rPr>
          <w:rFonts w:ascii="Times New Roman" w:hAnsi="Times New Roman" w:eastAsia="等线" w:cs="Times New Roman"/>
          <w:color w:val="000000" w:themeColor="text1"/>
          <w:sz w:val="24"/>
          <w:szCs w:val="24"/>
          <w:lang w:val="en-US" w:eastAsia="en-US"/>
          <w14:textFill>
            <w14:solidFill>
              <w14:schemeClr w14:val="tx1"/>
            </w14:solidFill>
          </w14:textFill>
        </w:rPr>
      </w:pPr>
      <w:r>
        <w:rPr>
          <w:rFonts w:ascii="Times New Roman" w:hAnsi="Times New Roman" w:eastAsia="等线" w:cs="Times New Roman"/>
          <w:color w:val="000000" w:themeColor="text1"/>
          <w:sz w:val="24"/>
          <w:szCs w:val="24"/>
          <w:lang w:val="en-US" w:eastAsia="en-US"/>
          <w14:textFill>
            <w14:solidFill>
              <w14:schemeClr w14:val="tx1"/>
            </w14:solidFill>
          </w14:textFill>
        </w:rPr>
        <w:br w:type="page"/>
      </w:r>
    </w:p>
    <w:p w14:paraId="63956A61">
      <w:pPr>
        <w:ind w:left="-440" w:leftChars="-200"/>
      </w:pPr>
      <w:r>
        <w:rPr>
          <w:rFonts w:hint="eastAsia"/>
        </w:rPr>
        <w:drawing>
          <wp:inline distT="0" distB="0" distL="114300" distR="114300">
            <wp:extent cx="5951855" cy="5255895"/>
            <wp:effectExtent l="0" t="0" r="4445" b="1905"/>
            <wp:docPr id="7" name="图片 7" descr="F:/work/volcanic_list/traj_dif/compare_SO2depletion/FigureS1-kelud.pngFigureS1-kel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work/volcanic_list/traj_dif/compare_SO2depletion/FigureS1-kelud.pngFigureS1-kelud"/>
                    <pic:cNvPicPr>
                      <a:picLocks noChangeAspect="1"/>
                    </pic:cNvPicPr>
                  </pic:nvPicPr>
                  <pic:blipFill>
                    <a:blip r:embed="rId11"/>
                    <a:srcRect t="37" b="37"/>
                    <a:stretch>
                      <a:fillRect/>
                    </a:stretch>
                  </pic:blipFill>
                  <pic:spPr>
                    <a:xfrm>
                      <a:off x="0" y="0"/>
                      <a:ext cx="5951855" cy="5255895"/>
                    </a:xfrm>
                    <a:prstGeom prst="rect">
                      <a:avLst/>
                    </a:prstGeom>
                  </pic:spPr>
                </pic:pic>
              </a:graphicData>
            </a:graphic>
          </wp:inline>
        </w:drawing>
      </w:r>
    </w:p>
    <w:p w14:paraId="761F06A4">
      <w:pPr>
        <w:spacing w:line="260" w:lineRule="auto"/>
        <w:outlineLvl w:val="0"/>
        <w:rPr>
          <w:rFonts w:ascii="Times New Roman" w:hAnsi="Times New Roman" w:eastAsia="Times New Roman" w:cs="Times New Roman"/>
          <w:bCs/>
          <w:color w:val="000000" w:themeColor="text1"/>
          <w:sz w:val="24"/>
          <w:szCs w:val="24"/>
          <w:lang w:val="en-US" w:bidi="en-GB"/>
          <w14:textFill>
            <w14:solidFill>
              <w14:schemeClr w14:val="tx1"/>
            </w14:solidFill>
          </w14:textFill>
        </w:rPr>
      </w:pPr>
      <w:r>
        <w:rPr>
          <w:rFonts w:ascii="Times New Roman" w:hAnsi="Times New Roman" w:eastAsia="Times New Roman" w:cs="Times New Roman"/>
          <w:b/>
          <w:color w:val="000000" w:themeColor="text1"/>
          <w:sz w:val="24"/>
          <w:szCs w:val="24"/>
          <w:lang w:val="en-US" w:eastAsia="en-GB" w:bidi="en-GB"/>
          <w14:textFill>
            <w14:solidFill>
              <w14:schemeClr w14:val="tx1"/>
            </w14:solidFill>
          </w14:textFill>
        </w:rPr>
        <w:t xml:space="preserve">Supplementary Figure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4</w:t>
      </w:r>
      <w:r>
        <w:rPr>
          <w:rFonts w:ascii="Times New Roman" w:hAnsi="Times New Roman" w:eastAsia="Times New Roman" w:cs="Times New Roman"/>
          <w:b/>
          <w:color w:val="000000" w:themeColor="text1"/>
          <w:sz w:val="24"/>
          <w:szCs w:val="24"/>
          <w:lang w:val="en-US" w:eastAsia="en-GB" w:bidi="en-GB"/>
          <w14:textFill>
            <w14:solidFill>
              <w14:schemeClr w14:val="tx1"/>
            </w14:solidFill>
          </w14:textFill>
        </w:rPr>
        <w:t>:</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 xml:space="preserve"> </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Comparison of the simulated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SO</w:t>
      </w:r>
      <w:r>
        <w:rPr>
          <w:rFonts w:hint="eastAsia" w:ascii="Times New Roman" w:hAnsi="Times New Roman" w:eastAsia="宋体" w:cs="Times New Roman"/>
          <w:b/>
          <w:color w:val="000000" w:themeColor="text1"/>
          <w:sz w:val="24"/>
          <w:szCs w:val="24"/>
          <w:vertAlign w:val="subscript"/>
          <w:lang w:val="en-US" w:bidi="en-GB"/>
          <w14:textFill>
            <w14:solidFill>
              <w14:schemeClr w14:val="tx1"/>
            </w14:solidFill>
          </w14:textFill>
        </w:rPr>
        <w:t xml:space="preserve">2 </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column density evolution initialized by the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THRIVE-SO</w:t>
      </w:r>
      <w:r>
        <w:rPr>
          <w:rFonts w:hint="eastAsia" w:ascii="Times New Roman" w:hAnsi="Times New Roman" w:eastAsia="宋体" w:cs="Times New Roman"/>
          <w:b/>
          <w:color w:val="000000" w:themeColor="text1"/>
          <w:sz w:val="24"/>
          <w:szCs w:val="24"/>
          <w:vertAlign w:val="subscript"/>
          <w:lang w:val="en-US" w:bidi="en-GB"/>
          <w14:textFill>
            <w14:solidFill>
              <w14:schemeClr w14:val="tx1"/>
            </w14:solidFill>
          </w14:textFill>
        </w:rPr>
        <w:t>2</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 and the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VolcanEESM</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 against AIRS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SO</w:t>
      </w:r>
      <w:r>
        <w:rPr>
          <w:rFonts w:hint="eastAsia" w:ascii="Times New Roman" w:hAnsi="Times New Roman" w:eastAsia="宋体" w:cs="Times New Roman"/>
          <w:b/>
          <w:color w:val="000000" w:themeColor="text1"/>
          <w:sz w:val="24"/>
          <w:szCs w:val="24"/>
          <w:vertAlign w:val="subscript"/>
          <w:lang w:val="en-US" w:bidi="en-GB"/>
          <w14:textFill>
            <w14:solidFill>
              <w14:schemeClr w14:val="tx1"/>
            </w14:solidFill>
          </w14:textFill>
        </w:rPr>
        <w:t xml:space="preserve">2 </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column density observations for the Kelud eruption from 14 to 18 February 2014. </w:t>
      </w:r>
      <w:r>
        <w:rPr>
          <w:rFonts w:hint="eastAsia" w:ascii="Times New Roman" w:hAnsi="Times New Roman" w:eastAsia="Times New Roman" w:cs="Times New Roman"/>
          <w:bCs/>
          <w:color w:val="000000" w:themeColor="text1"/>
          <w:sz w:val="24"/>
          <w:szCs w:val="24"/>
          <w:lang w:val="en-US" w:bidi="en-GB"/>
          <w14:textFill>
            <w14:solidFill>
              <w14:schemeClr w14:val="tx1"/>
            </w14:solidFill>
          </w14:textFill>
        </w:rPr>
        <w:t xml:space="preserve">The MPTRAC </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SO</w:t>
      </w:r>
      <w:r>
        <w:rPr>
          <w:rFonts w:hint="eastAsia" w:ascii="Times New Roman" w:hAnsi="Times New Roman" w:eastAsia="宋体" w:cs="Times New Roman"/>
          <w:bCs/>
          <w:color w:val="000000" w:themeColor="text1"/>
          <w:sz w:val="24"/>
          <w:szCs w:val="24"/>
          <w:vertAlign w:val="subscript"/>
          <w:lang w:val="en-US" w:bidi="en-GB"/>
          <w14:textFill>
            <w14:solidFill>
              <w14:schemeClr w14:val="tx1"/>
            </w14:solidFill>
          </w14:textFill>
        </w:rPr>
        <w:t xml:space="preserve">2 </w:t>
      </w:r>
      <w:r>
        <w:rPr>
          <w:rFonts w:hint="eastAsia" w:ascii="Times New Roman" w:hAnsi="Times New Roman" w:eastAsia="Times New Roman" w:cs="Times New Roman"/>
          <w:bCs/>
          <w:color w:val="000000" w:themeColor="text1"/>
          <w:sz w:val="24"/>
          <w:szCs w:val="24"/>
          <w:lang w:val="en-US" w:bidi="en-GB"/>
          <w14:textFill>
            <w14:solidFill>
              <w14:schemeClr w14:val="tx1"/>
            </w14:solidFill>
          </w14:textFill>
        </w:rPr>
        <w:t>column densities are shown at 06:00 UTC on selected days, and AIRS data within ±6 h are shown. The red triangle denotes the location of the Kelud volcano.</w:t>
      </w:r>
    </w:p>
    <w:p w14:paraId="1F4EC800">
      <w:pPr>
        <w:rPr>
          <w:rFonts w:ascii="Times New Roman" w:hAnsi="Times New Roman" w:eastAsia="等线" w:cs="Times New Roman"/>
          <w:color w:val="000000" w:themeColor="text1"/>
          <w:sz w:val="24"/>
          <w:szCs w:val="24"/>
          <w:lang w:val="en-US" w:eastAsia="en-US"/>
          <w14:textFill>
            <w14:solidFill>
              <w14:schemeClr w14:val="tx1"/>
            </w14:solidFill>
          </w14:textFill>
        </w:rPr>
      </w:pPr>
      <w:r>
        <w:rPr>
          <w:rFonts w:ascii="Times New Roman" w:hAnsi="Times New Roman" w:eastAsia="等线" w:cs="Times New Roman"/>
          <w:color w:val="000000" w:themeColor="text1"/>
          <w:sz w:val="24"/>
          <w:szCs w:val="24"/>
          <w:lang w:val="en-US" w:eastAsia="en-US"/>
          <w14:textFill>
            <w14:solidFill>
              <w14:schemeClr w14:val="tx1"/>
            </w14:solidFill>
          </w14:textFill>
        </w:rPr>
        <w:br w:type="page"/>
      </w:r>
    </w:p>
    <w:p w14:paraId="2C5B7CBF">
      <w:pPr>
        <w:ind w:left="-440" w:leftChars="-200"/>
      </w:pPr>
      <w:r>
        <w:rPr>
          <w:rFonts w:hint="eastAsia"/>
        </w:rPr>
        <w:drawing>
          <wp:inline distT="0" distB="0" distL="114300" distR="114300">
            <wp:extent cx="5951855" cy="5255895"/>
            <wp:effectExtent l="0" t="0" r="4445" b="1905"/>
            <wp:docPr id="8" name="图片 8" descr="F:/work/volcanic_list/traj_dif/compare_SO2depletion/FigureS1-calbuco.pngFigureS1-calbu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work/volcanic_list/traj_dif/compare_SO2depletion/FigureS1-calbuco.pngFigureS1-calbuco"/>
                    <pic:cNvPicPr>
                      <a:picLocks noChangeAspect="1"/>
                    </pic:cNvPicPr>
                  </pic:nvPicPr>
                  <pic:blipFill>
                    <a:blip r:embed="rId12"/>
                    <a:srcRect t="37" b="37"/>
                    <a:stretch>
                      <a:fillRect/>
                    </a:stretch>
                  </pic:blipFill>
                  <pic:spPr>
                    <a:xfrm>
                      <a:off x="0" y="0"/>
                      <a:ext cx="5951855" cy="5255895"/>
                    </a:xfrm>
                    <a:prstGeom prst="rect">
                      <a:avLst/>
                    </a:prstGeom>
                  </pic:spPr>
                </pic:pic>
              </a:graphicData>
            </a:graphic>
          </wp:inline>
        </w:drawing>
      </w:r>
    </w:p>
    <w:p w14:paraId="4CCD6F92">
      <w:pPr>
        <w:spacing w:line="260" w:lineRule="auto"/>
        <w:outlineLvl w:val="0"/>
        <w:rPr>
          <w:rFonts w:ascii="Times New Roman" w:hAnsi="Times New Roman" w:eastAsia="Times New Roman" w:cs="Times New Roman"/>
          <w:bCs/>
          <w:color w:val="000000" w:themeColor="text1"/>
          <w:sz w:val="24"/>
          <w:szCs w:val="24"/>
          <w:lang w:val="en-US" w:bidi="en-GB"/>
          <w14:textFill>
            <w14:solidFill>
              <w14:schemeClr w14:val="tx1"/>
            </w14:solidFill>
          </w14:textFill>
        </w:rPr>
      </w:pPr>
      <w:r>
        <w:rPr>
          <w:rFonts w:ascii="Times New Roman" w:hAnsi="Times New Roman" w:eastAsia="Times New Roman" w:cs="Times New Roman"/>
          <w:b/>
          <w:color w:val="000000" w:themeColor="text1"/>
          <w:sz w:val="24"/>
          <w:szCs w:val="24"/>
          <w:lang w:val="en-US" w:eastAsia="en-GB" w:bidi="en-GB"/>
          <w14:textFill>
            <w14:solidFill>
              <w14:schemeClr w14:val="tx1"/>
            </w14:solidFill>
          </w14:textFill>
        </w:rPr>
        <w:t xml:space="preserve">Supplementary Figure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5</w:t>
      </w:r>
      <w:r>
        <w:rPr>
          <w:rFonts w:ascii="Times New Roman" w:hAnsi="Times New Roman" w:eastAsia="Times New Roman" w:cs="Times New Roman"/>
          <w:b/>
          <w:color w:val="000000" w:themeColor="text1"/>
          <w:sz w:val="24"/>
          <w:szCs w:val="24"/>
          <w:lang w:val="en-US" w:eastAsia="en-GB" w:bidi="en-GB"/>
          <w14:textFill>
            <w14:solidFill>
              <w14:schemeClr w14:val="tx1"/>
            </w14:solidFill>
          </w14:textFill>
        </w:rPr>
        <w:t>:</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 xml:space="preserve"> </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Comparison of the simulated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SO</w:t>
      </w:r>
      <w:r>
        <w:rPr>
          <w:rFonts w:hint="eastAsia" w:ascii="Times New Roman" w:hAnsi="Times New Roman" w:eastAsia="宋体" w:cs="Times New Roman"/>
          <w:b/>
          <w:color w:val="000000" w:themeColor="text1"/>
          <w:sz w:val="24"/>
          <w:szCs w:val="24"/>
          <w:vertAlign w:val="subscript"/>
          <w:lang w:val="en-US" w:bidi="en-GB"/>
          <w14:textFill>
            <w14:solidFill>
              <w14:schemeClr w14:val="tx1"/>
            </w14:solidFill>
          </w14:textFill>
        </w:rPr>
        <w:t xml:space="preserve">2 </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column density evolution initialized by the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THRIVE-SO</w:t>
      </w:r>
      <w:r>
        <w:rPr>
          <w:rFonts w:hint="eastAsia" w:ascii="Times New Roman" w:hAnsi="Times New Roman" w:eastAsia="宋体" w:cs="Times New Roman"/>
          <w:b/>
          <w:color w:val="000000" w:themeColor="text1"/>
          <w:sz w:val="24"/>
          <w:szCs w:val="24"/>
          <w:vertAlign w:val="subscript"/>
          <w:lang w:val="en-US" w:bidi="en-GB"/>
          <w14:textFill>
            <w14:solidFill>
              <w14:schemeClr w14:val="tx1"/>
            </w14:solidFill>
          </w14:textFill>
        </w:rPr>
        <w:t>2</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 and the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VolcanEESM</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 against AIRS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SO</w:t>
      </w:r>
      <w:r>
        <w:rPr>
          <w:rFonts w:hint="eastAsia" w:ascii="Times New Roman" w:hAnsi="Times New Roman" w:eastAsia="宋体" w:cs="Times New Roman"/>
          <w:b/>
          <w:color w:val="000000" w:themeColor="text1"/>
          <w:sz w:val="24"/>
          <w:szCs w:val="24"/>
          <w:vertAlign w:val="subscript"/>
          <w:lang w:val="en-US" w:bidi="en-GB"/>
          <w14:textFill>
            <w14:solidFill>
              <w14:schemeClr w14:val="tx1"/>
            </w14:solidFill>
          </w14:textFill>
        </w:rPr>
        <w:t xml:space="preserve">2 </w:t>
      </w:r>
      <w:r>
        <w:rPr>
          <w:rFonts w:hint="eastAsia" w:ascii="Times New Roman" w:hAnsi="Times New Roman" w:eastAsia="Times New Roman" w:cs="Times New Roman"/>
          <w:b/>
          <w:color w:val="000000" w:themeColor="text1"/>
          <w:sz w:val="24"/>
          <w:szCs w:val="24"/>
          <w:lang w:val="en-US" w:bidi="en-GB"/>
          <w14:textFill>
            <w14:solidFill>
              <w14:schemeClr w14:val="tx1"/>
            </w14:solidFill>
          </w14:textFill>
        </w:rPr>
        <w:t xml:space="preserve">column density observations for the Calbuco eruption from 24 April to 02 May 2015. </w:t>
      </w:r>
      <w:r>
        <w:rPr>
          <w:rFonts w:hint="eastAsia" w:ascii="Times New Roman" w:hAnsi="Times New Roman" w:eastAsia="Times New Roman" w:cs="Times New Roman"/>
          <w:bCs/>
          <w:color w:val="000000" w:themeColor="text1"/>
          <w:sz w:val="24"/>
          <w:szCs w:val="24"/>
          <w:lang w:val="en-US" w:bidi="en-GB"/>
          <w14:textFill>
            <w14:solidFill>
              <w14:schemeClr w14:val="tx1"/>
            </w14:solidFill>
          </w14:textFill>
        </w:rPr>
        <w:t xml:space="preserve">The MPTRAC </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SO</w:t>
      </w:r>
      <w:r>
        <w:rPr>
          <w:rFonts w:hint="eastAsia" w:ascii="Times New Roman" w:hAnsi="Times New Roman" w:eastAsia="宋体" w:cs="Times New Roman"/>
          <w:bCs/>
          <w:color w:val="000000" w:themeColor="text1"/>
          <w:sz w:val="24"/>
          <w:szCs w:val="24"/>
          <w:vertAlign w:val="subscript"/>
          <w:lang w:val="en-US" w:bidi="en-GB"/>
          <w14:textFill>
            <w14:solidFill>
              <w14:schemeClr w14:val="tx1"/>
            </w14:solidFill>
          </w14:textFill>
        </w:rPr>
        <w:t xml:space="preserve">2 </w:t>
      </w:r>
      <w:r>
        <w:rPr>
          <w:rFonts w:hint="eastAsia" w:ascii="Times New Roman" w:hAnsi="Times New Roman" w:eastAsia="Times New Roman" w:cs="Times New Roman"/>
          <w:bCs/>
          <w:color w:val="000000" w:themeColor="text1"/>
          <w:sz w:val="24"/>
          <w:szCs w:val="24"/>
          <w:lang w:val="en-US" w:bidi="en-GB"/>
          <w14:textFill>
            <w14:solidFill>
              <w14:schemeClr w14:val="tx1"/>
            </w14:solidFill>
          </w14:textFill>
        </w:rPr>
        <w:t>column densities are shown at 06:00 UTC on selected days, and AIRS data within ±6 h are shown. The red triangle denotes the location of the Calbuco volcano.</w:t>
      </w:r>
    </w:p>
    <w:p w14:paraId="003E191F">
      <w:pPr>
        <w:rPr>
          <w:rFonts w:ascii="Times New Roman" w:hAnsi="Times New Roman" w:eastAsia="等线" w:cs="Times New Roman"/>
          <w:color w:val="000000" w:themeColor="text1"/>
          <w:sz w:val="24"/>
          <w:szCs w:val="24"/>
          <w:lang w:val="en-US" w:eastAsia="en-US"/>
          <w14:textFill>
            <w14:solidFill>
              <w14:schemeClr w14:val="tx1"/>
            </w14:solidFill>
          </w14:textFill>
        </w:rPr>
      </w:pPr>
      <w:r>
        <w:rPr>
          <w:rFonts w:ascii="Times New Roman" w:hAnsi="Times New Roman" w:eastAsia="等线" w:cs="Times New Roman"/>
          <w:color w:val="000000" w:themeColor="text1"/>
          <w:sz w:val="24"/>
          <w:szCs w:val="24"/>
          <w:lang w:val="en-US" w:eastAsia="en-US"/>
          <w14:textFill>
            <w14:solidFill>
              <w14:schemeClr w14:val="tx1"/>
            </w14:solidFill>
          </w14:textFill>
        </w:rPr>
        <w:br w:type="page"/>
      </w:r>
    </w:p>
    <w:p w14:paraId="69566F02">
      <w:pPr>
        <w:ind w:left="-660" w:leftChars="-300"/>
        <w:jc w:val="center"/>
      </w:pPr>
      <w:r>
        <w:rPr>
          <w:rFonts w:hint="eastAsia"/>
        </w:rPr>
        <w:drawing>
          <wp:inline distT="0" distB="0" distL="114300" distR="114300">
            <wp:extent cx="6058535" cy="3456305"/>
            <wp:effectExtent l="0" t="0" r="12065" b="10795"/>
            <wp:docPr id="4" name="图片 4" descr="F:/work/volcanic_list/traj_dif/compare_with_aerosol_climatology/FigureSX-sarychev.pngFigureSX-sarych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work/volcanic_list/traj_dif/compare_with_aerosol_climatology/FigureSX-sarychev.pngFigureSX-sarychev"/>
                    <pic:cNvPicPr>
                      <a:picLocks noChangeAspect="1"/>
                    </pic:cNvPicPr>
                  </pic:nvPicPr>
                  <pic:blipFill>
                    <a:blip r:embed="rId13"/>
                    <a:srcRect l="9" r="9"/>
                    <a:stretch>
                      <a:fillRect/>
                    </a:stretch>
                  </pic:blipFill>
                  <pic:spPr>
                    <a:xfrm>
                      <a:off x="0" y="0"/>
                      <a:ext cx="6058535" cy="3456305"/>
                    </a:xfrm>
                    <a:prstGeom prst="rect">
                      <a:avLst/>
                    </a:prstGeom>
                  </pic:spPr>
                </pic:pic>
              </a:graphicData>
            </a:graphic>
          </wp:inline>
        </w:drawing>
      </w:r>
    </w:p>
    <w:p w14:paraId="33ED9B23">
      <w:pPr>
        <w:spacing w:line="260" w:lineRule="auto"/>
        <w:outlineLvl w:val="0"/>
        <w:rPr>
          <w:rFonts w:ascii="Times New Roman" w:hAnsi="Times New Roman" w:eastAsia="宋体" w:cs="Times New Roman"/>
          <w:bCs/>
          <w:color w:val="000000" w:themeColor="text1"/>
          <w:sz w:val="24"/>
          <w:szCs w:val="24"/>
          <w:lang w:val="en-US" w:bidi="en-GB"/>
          <w14:textFill>
            <w14:solidFill>
              <w14:schemeClr w14:val="tx1"/>
            </w14:solidFill>
          </w14:textFill>
        </w:rPr>
      </w:pPr>
      <w:r>
        <w:rPr>
          <w:rFonts w:ascii="Times New Roman" w:hAnsi="Times New Roman" w:eastAsia="Times New Roman" w:cs="Times New Roman"/>
          <w:b/>
          <w:color w:val="000000" w:themeColor="text1"/>
          <w:sz w:val="24"/>
          <w:szCs w:val="24"/>
          <w:lang w:val="en-US" w:eastAsia="en-GB" w:bidi="en-GB"/>
          <w14:textFill>
            <w14:solidFill>
              <w14:schemeClr w14:val="tx1"/>
            </w14:solidFill>
          </w14:textFill>
        </w:rPr>
        <w:t xml:space="preserve">Supplementary Figure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6</w:t>
      </w:r>
      <w:r>
        <w:rPr>
          <w:rFonts w:ascii="Times New Roman" w:hAnsi="Times New Roman" w:eastAsia="Times New Roman" w:cs="Times New Roman"/>
          <w:b/>
          <w:color w:val="000000" w:themeColor="text1"/>
          <w:sz w:val="24"/>
          <w:szCs w:val="24"/>
          <w:lang w:val="en-US" w:eastAsia="en-GB" w:bidi="en-GB"/>
          <w14:textFill>
            <w14:solidFill>
              <w14:schemeClr w14:val="tx1"/>
            </w14:solidFill>
          </w14:textFill>
        </w:rPr>
        <w:t>:</w:t>
      </w:r>
      <w:r>
        <w:rPr>
          <w:rFonts w:ascii="Times New Roman" w:hAnsi="Times New Roman" w:eastAsia="Times New Roman" w:cs="Times New Roman"/>
          <w:bCs/>
          <w:color w:val="000000" w:themeColor="text1"/>
          <w:sz w:val="24"/>
          <w:szCs w:val="24"/>
          <w:lang w:val="en-US" w:eastAsia="en-GB" w:bidi="en-GB"/>
          <w14:textFill>
            <w14:solidFill>
              <w14:schemeClr w14:val="tx1"/>
            </w14:solidFill>
          </w14:textFill>
        </w:rPr>
        <w:t xml:space="preserve">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 xml:space="preserve">Latitude-altitude cross-sections of aerosols from July to November 2009 following the Sarychev volcano eruption in June 2009. </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Left column: the 525 nm CALIOP aerosol extinction coefficients from the Global Space-based Stratospheric Aerosol Climatology (GloSSAC); Middle column: simulated aerosol particle count initialized by the THRIVE-SO</w:t>
      </w:r>
      <w:r>
        <w:rPr>
          <w:rFonts w:hint="eastAsia" w:ascii="Times New Roman" w:hAnsi="Times New Roman" w:eastAsia="宋体" w:cs="Times New Roman"/>
          <w:bCs/>
          <w:color w:val="000000" w:themeColor="text1"/>
          <w:sz w:val="24"/>
          <w:szCs w:val="24"/>
          <w:vertAlign w:val="subscript"/>
          <w:lang w:val="en-US" w:bidi="en-GB"/>
          <w14:textFill>
            <w14:solidFill>
              <w14:schemeClr w14:val="tx1"/>
            </w14:solidFill>
          </w14:textFill>
        </w:rPr>
        <w:t>2</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 xml:space="preserve">; Right column: simulated aerosol particle count initialized by the VolcanEESM. The </w:t>
      </w:r>
      <w:r>
        <w:rPr>
          <w:rFonts w:ascii="Times New Roman" w:hAnsi="Times New Roman" w:eastAsia="宋体" w:cs="Times New Roman"/>
          <w:bCs/>
          <w:color w:val="000000" w:themeColor="text1"/>
          <w:sz w:val="24"/>
          <w:szCs w:val="24"/>
          <w:lang w:val="en-US" w:bidi="en-GB"/>
          <w14:textFill>
            <w14:solidFill>
              <w14:schemeClr w14:val="tx1"/>
            </w14:solidFill>
          </w14:textFill>
        </w:rPr>
        <w:t>bin size is 5°×0.5 km. The red triangle</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s</w:t>
      </w:r>
      <w:r>
        <w:rPr>
          <w:rFonts w:ascii="Times New Roman" w:hAnsi="Times New Roman" w:eastAsia="宋体" w:cs="Times New Roman"/>
          <w:bCs/>
          <w:color w:val="000000" w:themeColor="text1"/>
          <w:sz w:val="24"/>
          <w:szCs w:val="24"/>
          <w:lang w:val="en-US" w:bidi="en-GB"/>
          <w14:textFill>
            <w14:solidFill>
              <w14:schemeClr w14:val="tx1"/>
            </w14:solidFill>
          </w14:textFill>
        </w:rPr>
        <w:t xml:space="preserve"> indicate the latitude of Sarychev volcano. Regions with missing CALIOP data are masked in the simulations for better comparison.</w:t>
      </w:r>
    </w:p>
    <w:p w14:paraId="3D6555CC">
      <w:pPr>
        <w:rPr>
          <w:rFonts w:ascii="Times New Roman" w:hAnsi="Times New Roman" w:eastAsia="宋体" w:cs="Times New Roman"/>
          <w:bCs/>
          <w:color w:val="000000" w:themeColor="text1"/>
          <w:sz w:val="24"/>
          <w:szCs w:val="24"/>
          <w:lang w:val="en-US" w:bidi="en-GB"/>
          <w14:textFill>
            <w14:solidFill>
              <w14:schemeClr w14:val="tx1"/>
            </w14:solidFill>
          </w14:textFill>
        </w:rPr>
      </w:pPr>
      <w:r>
        <w:rPr>
          <w:rFonts w:ascii="Times New Roman" w:hAnsi="Times New Roman" w:eastAsia="宋体" w:cs="Times New Roman"/>
          <w:bCs/>
          <w:color w:val="000000" w:themeColor="text1"/>
          <w:sz w:val="24"/>
          <w:szCs w:val="24"/>
          <w:lang w:val="en-US" w:bidi="en-GB"/>
          <w14:textFill>
            <w14:solidFill>
              <w14:schemeClr w14:val="tx1"/>
            </w14:solidFill>
          </w14:textFill>
        </w:rPr>
        <w:br w:type="page"/>
      </w:r>
    </w:p>
    <w:p w14:paraId="739942E8">
      <w:pPr>
        <w:ind w:left="-660" w:leftChars="-300"/>
        <w:jc w:val="center"/>
      </w:pPr>
      <w:r>
        <w:rPr>
          <w:rFonts w:hint="eastAsia"/>
        </w:rPr>
        <w:drawing>
          <wp:inline distT="0" distB="0" distL="114300" distR="114300">
            <wp:extent cx="6058535" cy="3456305"/>
            <wp:effectExtent l="0" t="0" r="12065" b="10795"/>
            <wp:docPr id="1" name="图片 1" descr="F:/work/volcanic_list/traj_dif/compare_with_aerosol_climatology/FigureSX-merapi.pngFigureSX-mera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work/volcanic_list/traj_dif/compare_with_aerosol_climatology/FigureSX-merapi.pngFigureSX-merapi"/>
                    <pic:cNvPicPr>
                      <a:picLocks noChangeAspect="1"/>
                    </pic:cNvPicPr>
                  </pic:nvPicPr>
                  <pic:blipFill>
                    <a:blip r:embed="rId14"/>
                    <a:srcRect l="28" r="28"/>
                    <a:stretch>
                      <a:fillRect/>
                    </a:stretch>
                  </pic:blipFill>
                  <pic:spPr>
                    <a:xfrm>
                      <a:off x="0" y="0"/>
                      <a:ext cx="6058535" cy="3456305"/>
                    </a:xfrm>
                    <a:prstGeom prst="rect">
                      <a:avLst/>
                    </a:prstGeom>
                  </pic:spPr>
                </pic:pic>
              </a:graphicData>
            </a:graphic>
          </wp:inline>
        </w:drawing>
      </w:r>
    </w:p>
    <w:p w14:paraId="59A8A947">
      <w:pPr>
        <w:spacing w:line="260" w:lineRule="auto"/>
        <w:outlineLvl w:val="0"/>
        <w:rPr>
          <w:rFonts w:ascii="Times New Roman" w:hAnsi="Times New Roman" w:eastAsia="宋体" w:cs="Times New Roman"/>
          <w:bCs/>
          <w:color w:val="000000" w:themeColor="text1"/>
          <w:sz w:val="24"/>
          <w:szCs w:val="24"/>
          <w:lang w:val="en-US" w:bidi="en-GB"/>
          <w14:textFill>
            <w14:solidFill>
              <w14:schemeClr w14:val="tx1"/>
            </w14:solidFill>
          </w14:textFill>
        </w:rPr>
      </w:pPr>
      <w:r>
        <w:rPr>
          <w:rFonts w:ascii="Times New Roman" w:hAnsi="Times New Roman" w:eastAsia="Times New Roman" w:cs="Times New Roman"/>
          <w:b/>
          <w:color w:val="000000" w:themeColor="text1"/>
          <w:sz w:val="24"/>
          <w:szCs w:val="24"/>
          <w:lang w:val="en-US" w:eastAsia="en-GB" w:bidi="en-GB"/>
          <w14:textFill>
            <w14:solidFill>
              <w14:schemeClr w14:val="tx1"/>
            </w14:solidFill>
          </w14:textFill>
        </w:rPr>
        <w:t xml:space="preserve">Supplementary Figure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7</w:t>
      </w:r>
      <w:r>
        <w:rPr>
          <w:rFonts w:ascii="Times New Roman" w:hAnsi="Times New Roman" w:eastAsia="Times New Roman" w:cs="Times New Roman"/>
          <w:b/>
          <w:color w:val="000000" w:themeColor="text1"/>
          <w:sz w:val="24"/>
          <w:szCs w:val="24"/>
          <w:lang w:val="en-US" w:eastAsia="en-GB" w:bidi="en-GB"/>
          <w14:textFill>
            <w14:solidFill>
              <w14:schemeClr w14:val="tx1"/>
            </w14:solidFill>
          </w14:textFill>
        </w:rPr>
        <w:t>:</w:t>
      </w:r>
      <w:r>
        <w:rPr>
          <w:rFonts w:ascii="Times New Roman" w:hAnsi="Times New Roman" w:eastAsia="Times New Roman" w:cs="Times New Roman"/>
          <w:bCs/>
          <w:color w:val="000000" w:themeColor="text1"/>
          <w:sz w:val="24"/>
          <w:szCs w:val="24"/>
          <w:lang w:val="en-US" w:eastAsia="en-GB" w:bidi="en-GB"/>
          <w14:textFill>
            <w14:solidFill>
              <w14:schemeClr w14:val="tx1"/>
            </w14:solidFill>
          </w14:textFill>
        </w:rPr>
        <w:t xml:space="preserve">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 xml:space="preserve">Latitude-altitude cross-sections of aerosols from December 2010 to April 2011 following the Merapi volcano eruption in November 2010. </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Left column: the 525 nm CALIOP aerosol extinction coefficients from the Global Space-based Stratospheric Aerosol Climatology (GloSSAC); Middle column: simulated aerosol particle count initialized by the THRIVE-SO</w:t>
      </w:r>
      <w:r>
        <w:rPr>
          <w:rFonts w:hint="eastAsia" w:ascii="Times New Roman" w:hAnsi="Times New Roman" w:eastAsia="宋体" w:cs="Times New Roman"/>
          <w:bCs/>
          <w:color w:val="000000" w:themeColor="text1"/>
          <w:sz w:val="24"/>
          <w:szCs w:val="24"/>
          <w:vertAlign w:val="subscript"/>
          <w:lang w:val="en-US" w:bidi="en-GB"/>
          <w14:textFill>
            <w14:solidFill>
              <w14:schemeClr w14:val="tx1"/>
            </w14:solidFill>
          </w14:textFill>
        </w:rPr>
        <w:t>2</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 xml:space="preserve">; Right column: simulated aerosol particle count initialized by the VolcanEESM. The </w:t>
      </w:r>
      <w:r>
        <w:rPr>
          <w:rFonts w:ascii="Times New Roman" w:hAnsi="Times New Roman" w:eastAsia="宋体" w:cs="Times New Roman"/>
          <w:bCs/>
          <w:color w:val="000000" w:themeColor="text1"/>
          <w:sz w:val="24"/>
          <w:szCs w:val="24"/>
          <w:lang w:val="en-US" w:bidi="en-GB"/>
          <w14:textFill>
            <w14:solidFill>
              <w14:schemeClr w14:val="tx1"/>
            </w14:solidFill>
          </w14:textFill>
        </w:rPr>
        <w:t>bin size is 5°×0.5 km. The red triangle</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s</w:t>
      </w:r>
      <w:r>
        <w:rPr>
          <w:rFonts w:ascii="Times New Roman" w:hAnsi="Times New Roman" w:eastAsia="宋体" w:cs="Times New Roman"/>
          <w:bCs/>
          <w:color w:val="000000" w:themeColor="text1"/>
          <w:sz w:val="24"/>
          <w:szCs w:val="24"/>
          <w:lang w:val="en-US" w:bidi="en-GB"/>
          <w14:textFill>
            <w14:solidFill>
              <w14:schemeClr w14:val="tx1"/>
            </w14:solidFill>
          </w14:textFill>
        </w:rPr>
        <w:t xml:space="preserve"> indicate the </w:t>
      </w:r>
      <w:r>
        <w:rPr>
          <w:rFonts w:hint="eastAsia" w:ascii="Times New Roman" w:hAnsi="Times New Roman" w:eastAsia="宋体"/>
          <w:bCs/>
          <w:color w:val="000000" w:themeColor="text1"/>
          <w:sz w:val="24"/>
          <w:szCs w:val="24"/>
          <w:lang w:bidi="en-GB"/>
          <w14:textFill>
            <w14:solidFill>
              <w14:schemeClr w14:val="tx1"/>
            </w14:solidFill>
          </w14:textFill>
        </w:rPr>
        <w:t>latitude</w:t>
      </w:r>
      <w:r>
        <w:rPr>
          <w:rFonts w:ascii="Times New Roman" w:hAnsi="Times New Roman" w:eastAsia="宋体"/>
          <w:bCs/>
          <w:color w:val="000000" w:themeColor="text1"/>
          <w:sz w:val="24"/>
          <w:szCs w:val="24"/>
          <w:lang w:bidi="en-GB"/>
          <w14:textFill>
            <w14:solidFill>
              <w14:schemeClr w14:val="tx1"/>
            </w14:solidFill>
          </w14:textFill>
        </w:rPr>
        <w:t xml:space="preserve"> </w:t>
      </w:r>
      <w:r>
        <w:rPr>
          <w:rFonts w:ascii="Times New Roman" w:hAnsi="Times New Roman" w:eastAsia="宋体" w:cs="Times New Roman"/>
          <w:bCs/>
          <w:color w:val="000000" w:themeColor="text1"/>
          <w:sz w:val="24"/>
          <w:szCs w:val="24"/>
          <w:lang w:val="en-US" w:bidi="en-GB"/>
          <w14:textFill>
            <w14:solidFill>
              <w14:schemeClr w14:val="tx1"/>
            </w14:solidFill>
          </w14:textFill>
        </w:rPr>
        <w:t xml:space="preserve">of the </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 xml:space="preserve">Merapi </w:t>
      </w:r>
      <w:r>
        <w:rPr>
          <w:rFonts w:ascii="Times New Roman" w:hAnsi="Times New Roman" w:eastAsia="宋体" w:cs="Times New Roman"/>
          <w:bCs/>
          <w:color w:val="000000" w:themeColor="text1"/>
          <w:sz w:val="24"/>
          <w:szCs w:val="24"/>
          <w:lang w:val="en-US" w:bidi="en-GB"/>
          <w14:textFill>
            <w14:solidFill>
              <w14:schemeClr w14:val="tx1"/>
            </w14:solidFill>
          </w14:textFill>
        </w:rPr>
        <w:t>volcano. Regions with missing CALIOP data are masked in the simulations for better comparison.</w:t>
      </w:r>
    </w:p>
    <w:p w14:paraId="3672F152">
      <w:pPr>
        <w:rPr>
          <w:rFonts w:ascii="Times New Roman" w:hAnsi="Times New Roman" w:eastAsia="宋体" w:cs="Times New Roman"/>
          <w:bCs/>
          <w:color w:val="000000" w:themeColor="text1"/>
          <w:sz w:val="24"/>
          <w:szCs w:val="24"/>
          <w:lang w:val="en-US" w:bidi="en-GB"/>
          <w14:textFill>
            <w14:solidFill>
              <w14:schemeClr w14:val="tx1"/>
            </w14:solidFill>
          </w14:textFill>
        </w:rPr>
      </w:pPr>
      <w:r>
        <w:rPr>
          <w:rFonts w:ascii="Times New Roman" w:hAnsi="Times New Roman" w:eastAsia="宋体" w:cs="Times New Roman"/>
          <w:bCs/>
          <w:color w:val="000000" w:themeColor="text1"/>
          <w:sz w:val="24"/>
          <w:szCs w:val="24"/>
          <w:lang w:val="en-US" w:bidi="en-GB"/>
          <w14:textFill>
            <w14:solidFill>
              <w14:schemeClr w14:val="tx1"/>
            </w14:solidFill>
          </w14:textFill>
        </w:rPr>
        <w:br w:type="page"/>
      </w:r>
    </w:p>
    <w:p w14:paraId="72A0992C">
      <w:pPr>
        <w:ind w:left="-660" w:leftChars="-300"/>
        <w:jc w:val="center"/>
      </w:pPr>
      <w:r>
        <w:rPr>
          <w:rFonts w:hint="eastAsia"/>
        </w:rPr>
        <w:drawing>
          <wp:inline distT="0" distB="0" distL="114300" distR="114300">
            <wp:extent cx="6058535" cy="3456305"/>
            <wp:effectExtent l="0" t="0" r="12065" b="10795"/>
            <wp:docPr id="10" name="图片 10" descr="F:/work/volcanic_list/traj_dif/compare_with_aerosol_climatology/FigureSX-calbuco.pngFigureSX-calbu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work/volcanic_list/traj_dif/compare_with_aerosol_climatology/FigureSX-calbuco.pngFigureSX-calbuco"/>
                    <pic:cNvPicPr>
                      <a:picLocks noChangeAspect="1"/>
                    </pic:cNvPicPr>
                  </pic:nvPicPr>
                  <pic:blipFill>
                    <a:blip r:embed="rId15"/>
                    <a:srcRect l="9" r="9"/>
                    <a:stretch>
                      <a:fillRect/>
                    </a:stretch>
                  </pic:blipFill>
                  <pic:spPr>
                    <a:xfrm>
                      <a:off x="0" y="0"/>
                      <a:ext cx="6058535" cy="3456305"/>
                    </a:xfrm>
                    <a:prstGeom prst="rect">
                      <a:avLst/>
                    </a:prstGeom>
                  </pic:spPr>
                </pic:pic>
              </a:graphicData>
            </a:graphic>
          </wp:inline>
        </w:drawing>
      </w:r>
    </w:p>
    <w:p w14:paraId="116DA096">
      <w:pPr>
        <w:rPr>
          <w:rFonts w:ascii="Times New Roman" w:hAnsi="Times New Roman" w:eastAsia="宋体" w:cs="Times New Roman"/>
          <w:bCs/>
          <w:color w:val="000000" w:themeColor="text1"/>
          <w:sz w:val="24"/>
          <w:szCs w:val="24"/>
          <w:lang w:val="en-US" w:bidi="en-GB"/>
          <w14:textFill>
            <w14:solidFill>
              <w14:schemeClr w14:val="tx1"/>
            </w14:solidFill>
          </w14:textFill>
        </w:rPr>
      </w:pPr>
      <w:r>
        <w:rPr>
          <w:rFonts w:ascii="Times New Roman" w:hAnsi="Times New Roman" w:eastAsia="Times New Roman" w:cs="Times New Roman"/>
          <w:b/>
          <w:color w:val="000000" w:themeColor="text1"/>
          <w:sz w:val="24"/>
          <w:szCs w:val="24"/>
          <w:lang w:val="en-US" w:eastAsia="en-GB" w:bidi="en-GB"/>
          <w14:textFill>
            <w14:solidFill>
              <w14:schemeClr w14:val="tx1"/>
            </w14:solidFill>
          </w14:textFill>
        </w:rPr>
        <w:t xml:space="preserve">Supplementary Figure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8</w:t>
      </w:r>
      <w:r>
        <w:rPr>
          <w:rFonts w:ascii="Times New Roman" w:hAnsi="Times New Roman" w:eastAsia="Times New Roman" w:cs="Times New Roman"/>
          <w:b/>
          <w:color w:val="000000" w:themeColor="text1"/>
          <w:sz w:val="24"/>
          <w:szCs w:val="24"/>
          <w:lang w:val="en-US" w:eastAsia="en-GB" w:bidi="en-GB"/>
          <w14:textFill>
            <w14:solidFill>
              <w14:schemeClr w14:val="tx1"/>
            </w14:solidFill>
          </w14:textFill>
        </w:rPr>
        <w:t>:</w:t>
      </w:r>
      <w:r>
        <w:rPr>
          <w:rFonts w:ascii="Times New Roman" w:hAnsi="Times New Roman" w:eastAsia="Times New Roman" w:cs="Times New Roman"/>
          <w:bCs/>
          <w:color w:val="000000" w:themeColor="text1"/>
          <w:sz w:val="24"/>
          <w:szCs w:val="24"/>
          <w:lang w:val="en-US" w:eastAsia="en-GB" w:bidi="en-GB"/>
          <w14:textFill>
            <w14:solidFill>
              <w14:schemeClr w14:val="tx1"/>
            </w14:solidFill>
          </w14:textFill>
        </w:rPr>
        <w:t xml:space="preserve"> </w:t>
      </w:r>
      <w:r>
        <w:rPr>
          <w:rFonts w:hint="eastAsia" w:ascii="Times New Roman" w:hAnsi="Times New Roman" w:eastAsia="宋体" w:cs="Times New Roman"/>
          <w:b/>
          <w:color w:val="000000" w:themeColor="text1"/>
          <w:sz w:val="24"/>
          <w:szCs w:val="24"/>
          <w:lang w:val="en-US" w:bidi="en-GB"/>
          <w14:textFill>
            <w14:solidFill>
              <w14:schemeClr w14:val="tx1"/>
            </w14:solidFill>
          </w14:textFill>
        </w:rPr>
        <w:t xml:space="preserve">Latitude-altitude cross-sections of aerosols from June 2015 to October 2015 following the Calbuco volcano eruption in April 2015. </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Left column: the 525 nm CALIOP aerosol extinction coefficients from the Global Space-based Stratospheric Aerosol Climatology (GloSSAC); Middle column: simulated aerosol particle count initialized by the THRIVE-SO</w:t>
      </w:r>
      <w:r>
        <w:rPr>
          <w:rFonts w:hint="eastAsia" w:ascii="Times New Roman" w:hAnsi="Times New Roman" w:eastAsia="宋体" w:cs="Times New Roman"/>
          <w:bCs/>
          <w:color w:val="000000" w:themeColor="text1"/>
          <w:sz w:val="24"/>
          <w:szCs w:val="24"/>
          <w:vertAlign w:val="subscript"/>
          <w:lang w:val="en-US" w:bidi="en-GB"/>
          <w14:textFill>
            <w14:solidFill>
              <w14:schemeClr w14:val="tx1"/>
            </w14:solidFill>
          </w14:textFill>
        </w:rPr>
        <w:t>2</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 xml:space="preserve">; Right column: simulated aerosol particle count initialized by the VolcanEESM. The </w:t>
      </w:r>
      <w:r>
        <w:rPr>
          <w:rFonts w:ascii="Times New Roman" w:hAnsi="Times New Roman" w:eastAsia="宋体" w:cs="Times New Roman"/>
          <w:bCs/>
          <w:color w:val="000000" w:themeColor="text1"/>
          <w:sz w:val="24"/>
          <w:szCs w:val="24"/>
          <w:lang w:val="en-US" w:bidi="en-GB"/>
          <w14:textFill>
            <w14:solidFill>
              <w14:schemeClr w14:val="tx1"/>
            </w14:solidFill>
          </w14:textFill>
        </w:rPr>
        <w:t>bin size is 5°×0.5 km. The red triangle</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s</w:t>
      </w:r>
      <w:r>
        <w:rPr>
          <w:rFonts w:ascii="Times New Roman" w:hAnsi="Times New Roman" w:eastAsia="宋体" w:cs="Times New Roman"/>
          <w:bCs/>
          <w:color w:val="000000" w:themeColor="text1"/>
          <w:sz w:val="24"/>
          <w:szCs w:val="24"/>
          <w:lang w:val="en-US" w:bidi="en-GB"/>
          <w14:textFill>
            <w14:solidFill>
              <w14:schemeClr w14:val="tx1"/>
            </w14:solidFill>
          </w14:textFill>
        </w:rPr>
        <w:t xml:space="preserve"> indicate the </w:t>
      </w:r>
      <w:r>
        <w:rPr>
          <w:rFonts w:hint="eastAsia" w:ascii="Times New Roman" w:hAnsi="Times New Roman" w:eastAsia="宋体"/>
          <w:bCs/>
          <w:color w:val="000000" w:themeColor="text1"/>
          <w:sz w:val="24"/>
          <w:szCs w:val="24"/>
          <w:lang w:bidi="en-GB"/>
          <w14:textFill>
            <w14:solidFill>
              <w14:schemeClr w14:val="tx1"/>
            </w14:solidFill>
          </w14:textFill>
        </w:rPr>
        <w:t>latitude</w:t>
      </w:r>
      <w:r>
        <w:rPr>
          <w:rFonts w:ascii="Times New Roman" w:hAnsi="Times New Roman" w:eastAsia="宋体"/>
          <w:bCs/>
          <w:color w:val="000000" w:themeColor="text1"/>
          <w:sz w:val="24"/>
          <w:szCs w:val="24"/>
          <w:lang w:bidi="en-GB"/>
          <w14:textFill>
            <w14:solidFill>
              <w14:schemeClr w14:val="tx1"/>
            </w14:solidFill>
          </w14:textFill>
        </w:rPr>
        <w:t xml:space="preserve"> </w:t>
      </w:r>
      <w:r>
        <w:rPr>
          <w:rFonts w:ascii="Times New Roman" w:hAnsi="Times New Roman" w:eastAsia="宋体" w:cs="Times New Roman"/>
          <w:bCs/>
          <w:color w:val="000000" w:themeColor="text1"/>
          <w:sz w:val="24"/>
          <w:szCs w:val="24"/>
          <w:lang w:val="en-US" w:bidi="en-GB"/>
          <w14:textFill>
            <w14:solidFill>
              <w14:schemeClr w14:val="tx1"/>
            </w14:solidFill>
          </w14:textFill>
        </w:rPr>
        <w:t xml:space="preserve">of the </w:t>
      </w:r>
      <w:r>
        <w:rPr>
          <w:rFonts w:hint="eastAsia" w:ascii="Times New Roman" w:hAnsi="Times New Roman" w:eastAsia="宋体" w:cs="Times New Roman"/>
          <w:bCs/>
          <w:color w:val="000000" w:themeColor="text1"/>
          <w:sz w:val="24"/>
          <w:szCs w:val="24"/>
          <w:lang w:val="en-US" w:bidi="en-GB"/>
          <w14:textFill>
            <w14:solidFill>
              <w14:schemeClr w14:val="tx1"/>
            </w14:solidFill>
          </w14:textFill>
        </w:rPr>
        <w:t xml:space="preserve">Calbuco </w:t>
      </w:r>
      <w:r>
        <w:rPr>
          <w:rFonts w:ascii="Times New Roman" w:hAnsi="Times New Roman" w:eastAsia="宋体" w:cs="Times New Roman"/>
          <w:bCs/>
          <w:color w:val="000000" w:themeColor="text1"/>
          <w:sz w:val="24"/>
          <w:szCs w:val="24"/>
          <w:lang w:val="en-US" w:bidi="en-GB"/>
          <w14:textFill>
            <w14:solidFill>
              <w14:schemeClr w14:val="tx1"/>
            </w14:solidFill>
          </w14:textFill>
        </w:rPr>
        <w:t>volcano. Regions with missing CALIOP data are masked in the simulations for better comparison.</w:t>
      </w:r>
    </w:p>
    <w:p w14:paraId="35B64727">
      <w:pPr>
        <w:rPr>
          <w:rFonts w:ascii="Times New Roman" w:hAnsi="Times New Roman" w:eastAsia="宋体" w:cs="Times New Roman"/>
          <w:bCs/>
          <w:color w:val="000000" w:themeColor="text1"/>
          <w:sz w:val="24"/>
          <w:szCs w:val="24"/>
          <w:lang w:val="en-US" w:eastAsia="en-US" w:bidi="en-GB"/>
          <w14:textFill>
            <w14:solidFill>
              <w14:schemeClr w14:val="tx1"/>
            </w14:solidFill>
          </w14:textFill>
        </w:rPr>
      </w:pPr>
    </w:p>
    <w:p w14:paraId="2CD46089">
      <w:pPr>
        <w:rPr>
          <w:rFonts w:ascii="Times New Roman" w:hAnsi="Times New Roman" w:eastAsia="宋体" w:cs="Times New Roman"/>
          <w:b/>
          <w:bCs/>
          <w:color w:val="000000" w:themeColor="text1"/>
          <w:sz w:val="24"/>
          <w:szCs w:val="24"/>
          <w:lang w:val="en-US" w:eastAsia="en-US"/>
          <w14:textFill>
            <w14:solidFill>
              <w14:schemeClr w14:val="tx1"/>
            </w14:solidFill>
          </w14:textFill>
        </w:rPr>
      </w:pPr>
      <w:r>
        <w:rPr>
          <w:rFonts w:ascii="Times New Roman" w:hAnsi="Times New Roman" w:eastAsia="宋体" w:cs="Times New Roman"/>
          <w:b/>
          <w:bCs/>
          <w:color w:val="000000" w:themeColor="text1"/>
          <w:sz w:val="24"/>
          <w:szCs w:val="24"/>
          <w:lang w:val="en-US" w:eastAsia="en-US"/>
          <w14:textFill>
            <w14:solidFill>
              <w14:schemeClr w14:val="tx1"/>
            </w14:solidFill>
          </w14:textFill>
        </w:rPr>
        <w:br w:type="page"/>
      </w:r>
    </w:p>
    <w:p w14:paraId="6A88388A">
      <w:pPr>
        <w:snapToGrid w:val="0"/>
        <w:spacing w:after="0" w:line="480" w:lineRule="auto"/>
        <w:ind w:left="-297" w:leftChars="-135"/>
        <w:rPr>
          <w:rFonts w:ascii="Times New Roman" w:hAnsi="Times New Roman" w:eastAsia="宋体" w:cs="Times New Roman"/>
          <w:b/>
          <w:bCs/>
          <w:color w:val="000000" w:themeColor="text1"/>
          <w:sz w:val="24"/>
          <w:szCs w:val="24"/>
          <w:lang w:val="en-US" w:eastAsia="en-US"/>
          <w14:textFill>
            <w14:solidFill>
              <w14:schemeClr w14:val="tx1"/>
            </w14:solidFill>
          </w14:textFill>
        </w:rPr>
        <w:sectPr>
          <w:footerReference r:id="rId6" w:type="first"/>
          <w:footerReference r:id="rId5" w:type="default"/>
          <w:type w:val="continuous"/>
          <w:pgSz w:w="11906" w:h="16838"/>
          <w:pgMar w:top="1440" w:right="1800" w:bottom="1440" w:left="1800" w:header="709" w:footer="709" w:gutter="0"/>
          <w:lnNumType w:countBy="1" w:restart="continuous"/>
          <w:cols w:space="227" w:num="1"/>
          <w:titlePg/>
          <w:docGrid w:linePitch="360" w:charSpace="0"/>
          <mc:AlternateContent>
            <mc:Choice Requires="wpsCustomData">
              <wpsCustomData:blankLineNoLineNum/>
            </mc:Choice>
          </mc:AlternateContent>
        </w:sectPr>
      </w:pPr>
    </w:p>
    <w:p w14:paraId="06EDFEFF">
      <w:pPr>
        <w:pStyle w:val="2"/>
        <w:snapToGrid w:val="0"/>
        <w:spacing w:before="0" w:line="480" w:lineRule="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Supplementary References</w:t>
      </w:r>
    </w:p>
    <w:p w14:paraId="735C2F96">
      <w:pPr>
        <w:numPr>
          <w:ilvl w:val="0"/>
          <w:numId w:val="1"/>
        </w:numPr>
        <w:snapToGrid w:val="0"/>
        <w:spacing w:after="0" w:line="480" w:lineRule="auto"/>
        <w:ind w:hanging="720"/>
        <w:rPr>
          <w:rFonts w:ascii="Times New Roman" w:hAnsi="Times New Roman" w:eastAsia="等线" w:cs="Times New Roman"/>
          <w:sz w:val="24"/>
          <w:szCs w:val="24"/>
          <w:lang w:val="en-US" w:eastAsia="en-US"/>
        </w:rPr>
      </w:pPr>
      <w:r>
        <w:rPr>
          <w:rFonts w:ascii="Times New Roman" w:hAnsi="Times New Roman" w:eastAsia="等线" w:cs="Times New Roman"/>
          <w:sz w:val="24"/>
          <w:szCs w:val="24"/>
          <w:lang w:val="en-US" w:eastAsia="en-US"/>
        </w:rPr>
        <w:t xml:space="preserve">Hoffmann L, Rößler T, Griessbach S, Heng Y, Stein O. Lagrangian transport simulations of volcanic sulfur dioxide emissions: Impact of meteorological data products. </w:t>
      </w:r>
      <w:r>
        <w:rPr>
          <w:rFonts w:hint="eastAsia" w:ascii="Times New Roman" w:hAnsi="Times New Roman" w:eastAsia="等线" w:cs="Times New Roman"/>
          <w:i/>
          <w:iCs/>
          <w:sz w:val="24"/>
          <w:szCs w:val="24"/>
          <w:lang w:val="en-US" w:eastAsia="en-US"/>
        </w:rPr>
        <w:t>J. Geophys. Res.-Atmos.</w:t>
      </w:r>
      <w:r>
        <w:rPr>
          <w:rFonts w:ascii="Times New Roman" w:hAnsi="Times New Roman" w:eastAsia="等线" w:cs="Times New Roman"/>
          <w:sz w:val="24"/>
          <w:szCs w:val="24"/>
          <w:lang w:val="en-US" w:eastAsia="en-US"/>
        </w:rPr>
        <w:t xml:space="preserve"> </w:t>
      </w:r>
      <w:r>
        <w:rPr>
          <w:rFonts w:ascii="Times New Roman" w:hAnsi="Times New Roman" w:eastAsia="等线" w:cs="Times New Roman"/>
          <w:b/>
          <w:bCs/>
          <w:sz w:val="24"/>
          <w:szCs w:val="24"/>
          <w:lang w:val="en-US" w:eastAsia="en-US"/>
        </w:rPr>
        <w:t>121</w:t>
      </w:r>
      <w:r>
        <w:rPr>
          <w:rFonts w:ascii="Times New Roman" w:hAnsi="Times New Roman" w:eastAsia="等线" w:cs="Times New Roman"/>
          <w:sz w:val="24"/>
          <w:szCs w:val="24"/>
          <w:lang w:val="en-US" w:eastAsia="en-US"/>
        </w:rPr>
        <w:t>, 4651-4673 (2016).</w:t>
      </w:r>
    </w:p>
    <w:p w14:paraId="329A7B1D">
      <w:pPr>
        <w:numPr>
          <w:ilvl w:val="0"/>
          <w:numId w:val="1"/>
        </w:numPr>
        <w:snapToGrid w:val="0"/>
        <w:spacing w:after="0" w:line="480" w:lineRule="auto"/>
        <w:ind w:hanging="720"/>
        <w:rPr>
          <w:rFonts w:ascii="Times New Roman" w:hAnsi="Times New Roman" w:eastAsia="等线" w:cs="Times New Roman"/>
          <w:sz w:val="24"/>
          <w:szCs w:val="24"/>
          <w:lang w:val="en-US" w:eastAsia="en-US"/>
        </w:rPr>
      </w:pPr>
      <w:r>
        <w:rPr>
          <w:rFonts w:ascii="Times New Roman" w:hAnsi="Times New Roman" w:eastAsia="等线" w:cs="Times New Roman"/>
          <w:sz w:val="24"/>
          <w:szCs w:val="24"/>
          <w:lang w:val="en-US" w:eastAsia="en-US"/>
        </w:rPr>
        <w:t xml:space="preserve">Baumeister PF and Hoffmann L. Fast infrared radiative transfer calculations using graphics processing units: JURASSIC-GPU v2.0, </w:t>
      </w:r>
      <w:r>
        <w:rPr>
          <w:rFonts w:ascii="Times New Roman" w:hAnsi="Times New Roman" w:eastAsia="等线" w:cs="Times New Roman"/>
          <w:i/>
          <w:iCs/>
          <w:sz w:val="24"/>
          <w:szCs w:val="24"/>
          <w:lang w:val="en-US" w:eastAsia="en-US"/>
        </w:rPr>
        <w:t>Geosci. Model Dev.</w:t>
      </w:r>
      <w:r>
        <w:rPr>
          <w:rFonts w:ascii="Times New Roman" w:hAnsi="Times New Roman" w:eastAsia="等线" w:cs="Times New Roman"/>
          <w:sz w:val="24"/>
          <w:szCs w:val="24"/>
          <w:lang w:val="en-US" w:eastAsia="en-US"/>
        </w:rPr>
        <w:t xml:space="preserve">, </w:t>
      </w:r>
      <w:r>
        <w:rPr>
          <w:rFonts w:ascii="Times New Roman" w:hAnsi="Times New Roman" w:eastAsia="等线" w:cs="Times New Roman"/>
          <w:b/>
          <w:bCs/>
          <w:sz w:val="24"/>
          <w:szCs w:val="24"/>
          <w:lang w:val="en-US" w:eastAsia="en-US"/>
        </w:rPr>
        <w:t>15</w:t>
      </w:r>
      <w:r>
        <w:rPr>
          <w:rFonts w:ascii="Times New Roman" w:hAnsi="Times New Roman" w:eastAsia="等线" w:cs="Times New Roman"/>
          <w:sz w:val="24"/>
          <w:szCs w:val="24"/>
          <w:lang w:val="en-US" w:eastAsia="en-US"/>
        </w:rPr>
        <w:t>, 1855–1874</w:t>
      </w:r>
      <w:r>
        <w:rPr>
          <w:rFonts w:hint="eastAsia" w:ascii="Times New Roman" w:hAnsi="Times New Roman" w:eastAsia="等线" w:cs="Times New Roman"/>
          <w:sz w:val="24"/>
          <w:szCs w:val="24"/>
          <w:lang w:val="en-US"/>
        </w:rPr>
        <w:t xml:space="preserve"> (</w:t>
      </w:r>
      <w:r>
        <w:rPr>
          <w:rFonts w:ascii="Times New Roman" w:hAnsi="Times New Roman" w:eastAsia="等线" w:cs="Times New Roman"/>
          <w:sz w:val="24"/>
          <w:szCs w:val="24"/>
          <w:lang w:val="en-US" w:eastAsia="en-US"/>
        </w:rPr>
        <w:t>2022</w:t>
      </w:r>
      <w:r>
        <w:rPr>
          <w:rFonts w:hint="eastAsia" w:ascii="Times New Roman" w:hAnsi="Times New Roman" w:eastAsia="等线" w:cs="Times New Roman"/>
          <w:sz w:val="24"/>
          <w:szCs w:val="24"/>
          <w:lang w:val="en-US"/>
        </w:rPr>
        <w:t>)</w:t>
      </w:r>
      <w:r>
        <w:rPr>
          <w:rFonts w:ascii="Times New Roman" w:hAnsi="Times New Roman" w:eastAsia="等线" w:cs="Times New Roman"/>
          <w:sz w:val="24"/>
          <w:szCs w:val="24"/>
          <w:lang w:val="en-US" w:eastAsia="en-US"/>
        </w:rPr>
        <w:t>.</w:t>
      </w:r>
    </w:p>
    <w:p w14:paraId="6B71D77B">
      <w:pPr>
        <w:numPr>
          <w:ilvl w:val="0"/>
          <w:numId w:val="1"/>
        </w:numPr>
        <w:snapToGrid w:val="0"/>
        <w:spacing w:after="0" w:line="480" w:lineRule="auto"/>
        <w:ind w:hanging="720"/>
        <w:rPr>
          <w:rFonts w:ascii="Times New Roman" w:hAnsi="Times New Roman" w:eastAsia="等线" w:cs="Times New Roman"/>
          <w:sz w:val="24"/>
          <w:szCs w:val="24"/>
          <w:lang w:val="en-US" w:eastAsia="en-US"/>
        </w:rPr>
      </w:pPr>
      <w:r>
        <w:rPr>
          <w:rFonts w:ascii="Times New Roman" w:hAnsi="Times New Roman" w:eastAsia="等线" w:cs="Times New Roman"/>
          <w:sz w:val="24"/>
          <w:szCs w:val="24"/>
          <w:lang w:val="en-US" w:eastAsia="en-US"/>
        </w:rPr>
        <w:t xml:space="preserve">Neely RR, and Schmidt A. VolcanEESM: Global volcanic sulphur dioxide (SO2) emissions database from 1850 to present Version 1.0., </w:t>
      </w:r>
      <w:r>
        <w:rPr>
          <w:rFonts w:ascii="Times New Roman" w:hAnsi="Times New Roman" w:eastAsia="等线" w:cs="Times New Roman"/>
          <w:i/>
          <w:iCs/>
          <w:sz w:val="24"/>
          <w:szCs w:val="24"/>
          <w:lang w:val="en-US" w:eastAsia="en-US"/>
        </w:rPr>
        <w:t>Centre for Environmental Data Analysis</w:t>
      </w:r>
      <w:r>
        <w:rPr>
          <w:rFonts w:hint="eastAsia" w:ascii="Times New Roman" w:hAnsi="Times New Roman" w:eastAsia="等线" w:cs="Times New Roman"/>
          <w:sz w:val="24"/>
          <w:szCs w:val="24"/>
          <w:lang w:val="en-US" w:eastAsia="en-US"/>
        </w:rPr>
        <w:t xml:space="preserve"> (</w:t>
      </w:r>
      <w:r>
        <w:rPr>
          <w:rFonts w:ascii="Times New Roman" w:hAnsi="Times New Roman" w:eastAsia="等线" w:cs="Times New Roman"/>
          <w:sz w:val="24"/>
          <w:szCs w:val="24"/>
          <w:lang w:val="en-US" w:eastAsia="en-US"/>
        </w:rPr>
        <w:t>2016</w:t>
      </w:r>
      <w:r>
        <w:rPr>
          <w:rFonts w:hint="eastAsia" w:ascii="Times New Roman" w:hAnsi="Times New Roman" w:eastAsia="等线" w:cs="Times New Roman"/>
          <w:sz w:val="24"/>
          <w:szCs w:val="24"/>
          <w:lang w:val="en-US" w:eastAsia="en-US"/>
        </w:rPr>
        <w:t>)</w:t>
      </w:r>
      <w:r>
        <w:rPr>
          <w:rFonts w:ascii="Times New Roman" w:hAnsi="Times New Roman" w:eastAsia="等线" w:cs="Times New Roman"/>
          <w:sz w:val="24"/>
          <w:szCs w:val="24"/>
          <w:lang w:val="en-US" w:eastAsia="en-US"/>
        </w:rPr>
        <w:t>.</w:t>
      </w:r>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alatino Linotype">
    <w:panose1 w:val="02040502050505030304"/>
    <w:charset w:val="00"/>
    <w:family w:val="roman"/>
    <w:pitch w:val="default"/>
    <w:sig w:usb0="E0000287" w:usb1="40000013" w:usb2="00000000"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0"/>
        <w:szCs w:val="20"/>
      </w:rPr>
      <w:id w:val="-1525166640"/>
    </w:sdtPr>
    <w:sdtEndPr>
      <w:rPr>
        <w:rFonts w:ascii="Times New Roman" w:hAnsi="Times New Roman" w:cs="Times New Roman"/>
        <w:sz w:val="20"/>
        <w:szCs w:val="20"/>
      </w:rPr>
    </w:sdtEndPr>
    <w:sdtContent>
      <w:p w14:paraId="2CA5349B">
        <w:pPr>
          <w:pStyle w:val="5"/>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w:instrText>
        </w:r>
        <w:r>
          <w:rPr>
            <w:rFonts w:ascii="Times New Roman" w:hAnsi="Times New Roman" w:cs="Times New Roman"/>
            <w:sz w:val="20"/>
            <w:szCs w:val="20"/>
          </w:rPr>
          <w:fldChar w:fldCharType="separate"/>
        </w:r>
        <w:r>
          <w:rPr>
            <w:rFonts w:ascii="Times New Roman" w:hAnsi="Times New Roman" w:cs="Times New Roman"/>
            <w:sz w:val="20"/>
            <w:szCs w:val="20"/>
            <w:lang w:val="zh-CN"/>
          </w:rPr>
          <w:t>2</w:t>
        </w:r>
        <w:r>
          <w:rPr>
            <w:rFonts w:ascii="Times New Roman" w:hAnsi="Times New Roman" w:cs="Times New Roman"/>
            <w:sz w:val="20"/>
            <w:szCs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0"/>
        <w:szCs w:val="20"/>
      </w:rPr>
      <w:id w:val="476273895"/>
    </w:sdtPr>
    <w:sdtEndPr>
      <w:rPr>
        <w:rFonts w:ascii="Times New Roman" w:hAnsi="Times New Roman" w:cs="Times New Roman"/>
        <w:sz w:val="20"/>
        <w:szCs w:val="20"/>
      </w:rPr>
    </w:sdtEndPr>
    <w:sdtContent>
      <w:p w14:paraId="210C34D4">
        <w:pPr>
          <w:pStyle w:val="5"/>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w:instrText>
        </w:r>
        <w:r>
          <w:rPr>
            <w:rFonts w:ascii="Times New Roman" w:hAnsi="Times New Roman" w:cs="Times New Roman"/>
            <w:sz w:val="20"/>
            <w:szCs w:val="20"/>
          </w:rPr>
          <w:fldChar w:fldCharType="separate"/>
        </w:r>
        <w:r>
          <w:rPr>
            <w:rFonts w:ascii="Times New Roman" w:hAnsi="Times New Roman" w:cs="Times New Roman"/>
            <w:sz w:val="20"/>
            <w:szCs w:val="20"/>
            <w:lang w:val="zh-CN"/>
          </w:rPr>
          <w:t>2</w:t>
        </w:r>
        <w:r>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DB68F7"/>
    <w:multiLevelType w:val="multilevel"/>
    <w:tmpl w:val="5DDB68F7"/>
    <w:lvl w:ilvl="0" w:tentative="0">
      <w:start w:val="1"/>
      <w:numFmt w:val="decimal"/>
      <w:suff w:val="space"/>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hideSpellingErrors/>
  <w:hideGrammaticalErrors/>
  <w:documentProtection w:enforcement="0"/>
  <w:defaultTabStop w:val="720"/>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G1MDCzNDE1MDE3sjBW0lEKTi0uzszPAykwNKwFAGagAngtAAAA"/>
    <w:docVar w:name="EN.InstantFormat" w:val="&lt;ENInstantFormat&gt;&lt;Enabled&gt;1&lt;/Enabled&gt;&lt;ScanUnformatted&gt;1&lt;/ScanUnformatted&gt;&lt;ScanChanges&gt;1&lt;/ScanChanges&gt;&lt;Suspended&gt;1&lt;/Suspended&gt;&lt;/ENInstantFormat&gt;"/>
  </w:docVars>
  <w:rsids>
    <w:rsidRoot w:val="00821B7C"/>
    <w:rsid w:val="00013147"/>
    <w:rsid w:val="00013DA0"/>
    <w:rsid w:val="00014FEE"/>
    <w:rsid w:val="00016EEF"/>
    <w:rsid w:val="00022BBD"/>
    <w:rsid w:val="00041150"/>
    <w:rsid w:val="00053BAA"/>
    <w:rsid w:val="00055608"/>
    <w:rsid w:val="00055903"/>
    <w:rsid w:val="00056171"/>
    <w:rsid w:val="000649A6"/>
    <w:rsid w:val="000716C1"/>
    <w:rsid w:val="000761D8"/>
    <w:rsid w:val="0008351F"/>
    <w:rsid w:val="000869A5"/>
    <w:rsid w:val="000A29D8"/>
    <w:rsid w:val="000A2E39"/>
    <w:rsid w:val="000A39DC"/>
    <w:rsid w:val="000A5AFD"/>
    <w:rsid w:val="000B1B53"/>
    <w:rsid w:val="000D0270"/>
    <w:rsid w:val="000D43AD"/>
    <w:rsid w:val="000D55D2"/>
    <w:rsid w:val="000D7341"/>
    <w:rsid w:val="000E2C00"/>
    <w:rsid w:val="000E510C"/>
    <w:rsid w:val="000F0BAC"/>
    <w:rsid w:val="00104211"/>
    <w:rsid w:val="001123CA"/>
    <w:rsid w:val="00113E49"/>
    <w:rsid w:val="0011750E"/>
    <w:rsid w:val="00117909"/>
    <w:rsid w:val="00117B2C"/>
    <w:rsid w:val="00123F96"/>
    <w:rsid w:val="001261BB"/>
    <w:rsid w:val="00134588"/>
    <w:rsid w:val="00137CD1"/>
    <w:rsid w:val="001415F9"/>
    <w:rsid w:val="00153212"/>
    <w:rsid w:val="00160706"/>
    <w:rsid w:val="00164480"/>
    <w:rsid w:val="00176908"/>
    <w:rsid w:val="0019550B"/>
    <w:rsid w:val="001969A2"/>
    <w:rsid w:val="00197CBA"/>
    <w:rsid w:val="001C0710"/>
    <w:rsid w:val="001D17DF"/>
    <w:rsid w:val="001D7440"/>
    <w:rsid w:val="001E0434"/>
    <w:rsid w:val="001E1D57"/>
    <w:rsid w:val="002059AA"/>
    <w:rsid w:val="00206A9C"/>
    <w:rsid w:val="00207970"/>
    <w:rsid w:val="0021082F"/>
    <w:rsid w:val="00211BF2"/>
    <w:rsid w:val="0021660C"/>
    <w:rsid w:val="00220779"/>
    <w:rsid w:val="0023165F"/>
    <w:rsid w:val="00231E36"/>
    <w:rsid w:val="00233641"/>
    <w:rsid w:val="002439B2"/>
    <w:rsid w:val="0025685A"/>
    <w:rsid w:val="002675A1"/>
    <w:rsid w:val="002729D1"/>
    <w:rsid w:val="0027331B"/>
    <w:rsid w:val="002834A1"/>
    <w:rsid w:val="002860AD"/>
    <w:rsid w:val="00286576"/>
    <w:rsid w:val="00286FB0"/>
    <w:rsid w:val="002A05BC"/>
    <w:rsid w:val="002A457A"/>
    <w:rsid w:val="002B3579"/>
    <w:rsid w:val="002B64A7"/>
    <w:rsid w:val="002C1557"/>
    <w:rsid w:val="002C467F"/>
    <w:rsid w:val="002D0CB4"/>
    <w:rsid w:val="002D2673"/>
    <w:rsid w:val="003040B1"/>
    <w:rsid w:val="003124DB"/>
    <w:rsid w:val="00316C34"/>
    <w:rsid w:val="0032341F"/>
    <w:rsid w:val="00331BB4"/>
    <w:rsid w:val="00337E7B"/>
    <w:rsid w:val="003429DC"/>
    <w:rsid w:val="003471D1"/>
    <w:rsid w:val="00351952"/>
    <w:rsid w:val="00362CC4"/>
    <w:rsid w:val="00372A46"/>
    <w:rsid w:val="00373E30"/>
    <w:rsid w:val="00383AAD"/>
    <w:rsid w:val="00392730"/>
    <w:rsid w:val="003A1A7A"/>
    <w:rsid w:val="003A4587"/>
    <w:rsid w:val="003A744A"/>
    <w:rsid w:val="003B2A6F"/>
    <w:rsid w:val="003B798F"/>
    <w:rsid w:val="003C072A"/>
    <w:rsid w:val="003C577F"/>
    <w:rsid w:val="003C5FF5"/>
    <w:rsid w:val="003C7536"/>
    <w:rsid w:val="003D090F"/>
    <w:rsid w:val="003D51C1"/>
    <w:rsid w:val="003E08BE"/>
    <w:rsid w:val="0041215E"/>
    <w:rsid w:val="004141CF"/>
    <w:rsid w:val="0041460E"/>
    <w:rsid w:val="00417787"/>
    <w:rsid w:val="00427766"/>
    <w:rsid w:val="0043760B"/>
    <w:rsid w:val="00437BE7"/>
    <w:rsid w:val="00447D82"/>
    <w:rsid w:val="00461A9B"/>
    <w:rsid w:val="004631D3"/>
    <w:rsid w:val="00480AF1"/>
    <w:rsid w:val="0048348B"/>
    <w:rsid w:val="00486125"/>
    <w:rsid w:val="004901B5"/>
    <w:rsid w:val="00491538"/>
    <w:rsid w:val="00493353"/>
    <w:rsid w:val="004C014B"/>
    <w:rsid w:val="004C12B0"/>
    <w:rsid w:val="004C63F3"/>
    <w:rsid w:val="004D2A76"/>
    <w:rsid w:val="004D371F"/>
    <w:rsid w:val="004D3765"/>
    <w:rsid w:val="004D3C9C"/>
    <w:rsid w:val="004E109B"/>
    <w:rsid w:val="004E5458"/>
    <w:rsid w:val="004F12D0"/>
    <w:rsid w:val="004F2107"/>
    <w:rsid w:val="00500D61"/>
    <w:rsid w:val="00505E65"/>
    <w:rsid w:val="00512583"/>
    <w:rsid w:val="00512815"/>
    <w:rsid w:val="00520674"/>
    <w:rsid w:val="0052211F"/>
    <w:rsid w:val="005235F5"/>
    <w:rsid w:val="00523AFE"/>
    <w:rsid w:val="0053006E"/>
    <w:rsid w:val="005311B4"/>
    <w:rsid w:val="00531813"/>
    <w:rsid w:val="00537713"/>
    <w:rsid w:val="00553B2F"/>
    <w:rsid w:val="005601CB"/>
    <w:rsid w:val="005621AC"/>
    <w:rsid w:val="00566BD5"/>
    <w:rsid w:val="00566F97"/>
    <w:rsid w:val="00571A2E"/>
    <w:rsid w:val="00571B3D"/>
    <w:rsid w:val="00581529"/>
    <w:rsid w:val="005A6D38"/>
    <w:rsid w:val="005A7AD6"/>
    <w:rsid w:val="005B03CF"/>
    <w:rsid w:val="005B1E82"/>
    <w:rsid w:val="005B7155"/>
    <w:rsid w:val="005C35D9"/>
    <w:rsid w:val="005D314E"/>
    <w:rsid w:val="005E088F"/>
    <w:rsid w:val="005E279B"/>
    <w:rsid w:val="005E2E74"/>
    <w:rsid w:val="005E41D9"/>
    <w:rsid w:val="005F0583"/>
    <w:rsid w:val="0060112C"/>
    <w:rsid w:val="00603774"/>
    <w:rsid w:val="006117B7"/>
    <w:rsid w:val="006155B5"/>
    <w:rsid w:val="0061724F"/>
    <w:rsid w:val="00617C52"/>
    <w:rsid w:val="00622670"/>
    <w:rsid w:val="00635FFB"/>
    <w:rsid w:val="00640D44"/>
    <w:rsid w:val="0065032A"/>
    <w:rsid w:val="00650B72"/>
    <w:rsid w:val="00651510"/>
    <w:rsid w:val="0065203A"/>
    <w:rsid w:val="00654DD4"/>
    <w:rsid w:val="00660659"/>
    <w:rsid w:val="00662C39"/>
    <w:rsid w:val="00662F61"/>
    <w:rsid w:val="00664BE1"/>
    <w:rsid w:val="00666BCC"/>
    <w:rsid w:val="00667CAB"/>
    <w:rsid w:val="00676185"/>
    <w:rsid w:val="00676E44"/>
    <w:rsid w:val="006824A4"/>
    <w:rsid w:val="0068604D"/>
    <w:rsid w:val="00686C7F"/>
    <w:rsid w:val="00690EF2"/>
    <w:rsid w:val="00693FB0"/>
    <w:rsid w:val="00694CF1"/>
    <w:rsid w:val="006A5E40"/>
    <w:rsid w:val="006B0D9C"/>
    <w:rsid w:val="006B5362"/>
    <w:rsid w:val="006B74EA"/>
    <w:rsid w:val="006B7CE5"/>
    <w:rsid w:val="006C60DF"/>
    <w:rsid w:val="006C6CD8"/>
    <w:rsid w:val="006C7010"/>
    <w:rsid w:val="006C7FC8"/>
    <w:rsid w:val="006D24D6"/>
    <w:rsid w:val="006D34E8"/>
    <w:rsid w:val="006E2512"/>
    <w:rsid w:val="006F0F4C"/>
    <w:rsid w:val="006F101D"/>
    <w:rsid w:val="006F18D6"/>
    <w:rsid w:val="006F3217"/>
    <w:rsid w:val="00702E82"/>
    <w:rsid w:val="0070406B"/>
    <w:rsid w:val="00717E92"/>
    <w:rsid w:val="00723434"/>
    <w:rsid w:val="00730040"/>
    <w:rsid w:val="00740F20"/>
    <w:rsid w:val="007465EF"/>
    <w:rsid w:val="007528CC"/>
    <w:rsid w:val="00755DF0"/>
    <w:rsid w:val="00777DE9"/>
    <w:rsid w:val="00787971"/>
    <w:rsid w:val="00791AFA"/>
    <w:rsid w:val="007958E0"/>
    <w:rsid w:val="007A3001"/>
    <w:rsid w:val="007B4BCF"/>
    <w:rsid w:val="007B6A78"/>
    <w:rsid w:val="007B76C4"/>
    <w:rsid w:val="007C1726"/>
    <w:rsid w:val="007C42D6"/>
    <w:rsid w:val="007C5B37"/>
    <w:rsid w:val="007C60BC"/>
    <w:rsid w:val="007D14A3"/>
    <w:rsid w:val="007D5991"/>
    <w:rsid w:val="007E2ECD"/>
    <w:rsid w:val="007E374B"/>
    <w:rsid w:val="007E6EAB"/>
    <w:rsid w:val="007E71DD"/>
    <w:rsid w:val="007E760A"/>
    <w:rsid w:val="007F0C16"/>
    <w:rsid w:val="007F2EB4"/>
    <w:rsid w:val="00800D70"/>
    <w:rsid w:val="00802132"/>
    <w:rsid w:val="00802E1C"/>
    <w:rsid w:val="00803B79"/>
    <w:rsid w:val="00806FAF"/>
    <w:rsid w:val="00816B0D"/>
    <w:rsid w:val="00821B7C"/>
    <w:rsid w:val="0082353F"/>
    <w:rsid w:val="00824C5F"/>
    <w:rsid w:val="0082605D"/>
    <w:rsid w:val="00830C4F"/>
    <w:rsid w:val="00831385"/>
    <w:rsid w:val="00842C1E"/>
    <w:rsid w:val="0084605B"/>
    <w:rsid w:val="00846725"/>
    <w:rsid w:val="00851474"/>
    <w:rsid w:val="00853E34"/>
    <w:rsid w:val="0085480A"/>
    <w:rsid w:val="0087215F"/>
    <w:rsid w:val="00875E61"/>
    <w:rsid w:val="00877B0A"/>
    <w:rsid w:val="00897D7A"/>
    <w:rsid w:val="008A2489"/>
    <w:rsid w:val="008B7433"/>
    <w:rsid w:val="008C1587"/>
    <w:rsid w:val="008C4462"/>
    <w:rsid w:val="008D4B73"/>
    <w:rsid w:val="008D4F3E"/>
    <w:rsid w:val="008D5EF7"/>
    <w:rsid w:val="008E31BB"/>
    <w:rsid w:val="008E52A1"/>
    <w:rsid w:val="008E7819"/>
    <w:rsid w:val="008F3346"/>
    <w:rsid w:val="008F47E7"/>
    <w:rsid w:val="00910AD0"/>
    <w:rsid w:val="00914324"/>
    <w:rsid w:val="009161EF"/>
    <w:rsid w:val="00922DDF"/>
    <w:rsid w:val="00925581"/>
    <w:rsid w:val="009323EF"/>
    <w:rsid w:val="00935AEB"/>
    <w:rsid w:val="0094400B"/>
    <w:rsid w:val="009456BD"/>
    <w:rsid w:val="009477F9"/>
    <w:rsid w:val="00950533"/>
    <w:rsid w:val="00950C66"/>
    <w:rsid w:val="0096285C"/>
    <w:rsid w:val="0097018A"/>
    <w:rsid w:val="009720F9"/>
    <w:rsid w:val="00975132"/>
    <w:rsid w:val="00977BCB"/>
    <w:rsid w:val="00982818"/>
    <w:rsid w:val="00982C37"/>
    <w:rsid w:val="0099438A"/>
    <w:rsid w:val="009958B2"/>
    <w:rsid w:val="009A2922"/>
    <w:rsid w:val="009B49AC"/>
    <w:rsid w:val="009B619D"/>
    <w:rsid w:val="009B733A"/>
    <w:rsid w:val="009C030E"/>
    <w:rsid w:val="009D24CD"/>
    <w:rsid w:val="009D49DF"/>
    <w:rsid w:val="009D6A9C"/>
    <w:rsid w:val="009E1932"/>
    <w:rsid w:val="009E5338"/>
    <w:rsid w:val="009E7445"/>
    <w:rsid w:val="009E7CCB"/>
    <w:rsid w:val="009F6CB8"/>
    <w:rsid w:val="00A01612"/>
    <w:rsid w:val="00A0273E"/>
    <w:rsid w:val="00A056EF"/>
    <w:rsid w:val="00A063FE"/>
    <w:rsid w:val="00A07A15"/>
    <w:rsid w:val="00A20E46"/>
    <w:rsid w:val="00A2155D"/>
    <w:rsid w:val="00A255A2"/>
    <w:rsid w:val="00A3073B"/>
    <w:rsid w:val="00A326AE"/>
    <w:rsid w:val="00A3321C"/>
    <w:rsid w:val="00A37CD2"/>
    <w:rsid w:val="00A37DA7"/>
    <w:rsid w:val="00A544D3"/>
    <w:rsid w:val="00A6776B"/>
    <w:rsid w:val="00A70F59"/>
    <w:rsid w:val="00A7177F"/>
    <w:rsid w:val="00A729DF"/>
    <w:rsid w:val="00A73FC6"/>
    <w:rsid w:val="00A8215E"/>
    <w:rsid w:val="00A85A29"/>
    <w:rsid w:val="00A9148B"/>
    <w:rsid w:val="00A91BBD"/>
    <w:rsid w:val="00A95BF7"/>
    <w:rsid w:val="00A97068"/>
    <w:rsid w:val="00AA4C5E"/>
    <w:rsid w:val="00AB0489"/>
    <w:rsid w:val="00AB33F8"/>
    <w:rsid w:val="00AB7D96"/>
    <w:rsid w:val="00AC22D1"/>
    <w:rsid w:val="00AC44D7"/>
    <w:rsid w:val="00AC51ED"/>
    <w:rsid w:val="00AC563D"/>
    <w:rsid w:val="00AD0C49"/>
    <w:rsid w:val="00AD1D61"/>
    <w:rsid w:val="00AE38A1"/>
    <w:rsid w:val="00AF0C1C"/>
    <w:rsid w:val="00B04DB5"/>
    <w:rsid w:val="00B05CA0"/>
    <w:rsid w:val="00B05F36"/>
    <w:rsid w:val="00B15604"/>
    <w:rsid w:val="00B257D0"/>
    <w:rsid w:val="00B31F60"/>
    <w:rsid w:val="00B44BBE"/>
    <w:rsid w:val="00B52406"/>
    <w:rsid w:val="00B57668"/>
    <w:rsid w:val="00B608D3"/>
    <w:rsid w:val="00B61D3F"/>
    <w:rsid w:val="00B638BB"/>
    <w:rsid w:val="00B63BFD"/>
    <w:rsid w:val="00B671C0"/>
    <w:rsid w:val="00B85A5E"/>
    <w:rsid w:val="00B87C9F"/>
    <w:rsid w:val="00B943A5"/>
    <w:rsid w:val="00B955FA"/>
    <w:rsid w:val="00BA0D7A"/>
    <w:rsid w:val="00BB0C00"/>
    <w:rsid w:val="00BB0E2B"/>
    <w:rsid w:val="00BC3F3E"/>
    <w:rsid w:val="00BC4853"/>
    <w:rsid w:val="00BC65DA"/>
    <w:rsid w:val="00BD15D7"/>
    <w:rsid w:val="00BD68A9"/>
    <w:rsid w:val="00BD78D0"/>
    <w:rsid w:val="00BE207E"/>
    <w:rsid w:val="00BE3B56"/>
    <w:rsid w:val="00BE3CDC"/>
    <w:rsid w:val="00BE3DF8"/>
    <w:rsid w:val="00C05219"/>
    <w:rsid w:val="00C1773B"/>
    <w:rsid w:val="00C256D8"/>
    <w:rsid w:val="00C27193"/>
    <w:rsid w:val="00C34A65"/>
    <w:rsid w:val="00C34B53"/>
    <w:rsid w:val="00C350FA"/>
    <w:rsid w:val="00C42AA3"/>
    <w:rsid w:val="00C46512"/>
    <w:rsid w:val="00C53CC8"/>
    <w:rsid w:val="00C56C14"/>
    <w:rsid w:val="00C57BFE"/>
    <w:rsid w:val="00C73B73"/>
    <w:rsid w:val="00C765EE"/>
    <w:rsid w:val="00C932D8"/>
    <w:rsid w:val="00C94415"/>
    <w:rsid w:val="00C97550"/>
    <w:rsid w:val="00CA1266"/>
    <w:rsid w:val="00CA1BE0"/>
    <w:rsid w:val="00CA6F57"/>
    <w:rsid w:val="00CB1A6D"/>
    <w:rsid w:val="00CB506A"/>
    <w:rsid w:val="00CB7D1B"/>
    <w:rsid w:val="00CB7DD4"/>
    <w:rsid w:val="00CC1C2D"/>
    <w:rsid w:val="00CD5920"/>
    <w:rsid w:val="00CE62E8"/>
    <w:rsid w:val="00CF2529"/>
    <w:rsid w:val="00D0657B"/>
    <w:rsid w:val="00D127EF"/>
    <w:rsid w:val="00D14735"/>
    <w:rsid w:val="00D17584"/>
    <w:rsid w:val="00D17CE1"/>
    <w:rsid w:val="00D268BC"/>
    <w:rsid w:val="00D31426"/>
    <w:rsid w:val="00D40C40"/>
    <w:rsid w:val="00D44FDC"/>
    <w:rsid w:val="00D456DF"/>
    <w:rsid w:val="00D45B19"/>
    <w:rsid w:val="00D50BF7"/>
    <w:rsid w:val="00D557F7"/>
    <w:rsid w:val="00D64572"/>
    <w:rsid w:val="00D65F96"/>
    <w:rsid w:val="00D74433"/>
    <w:rsid w:val="00D75C01"/>
    <w:rsid w:val="00D77635"/>
    <w:rsid w:val="00D831A8"/>
    <w:rsid w:val="00D86513"/>
    <w:rsid w:val="00D87309"/>
    <w:rsid w:val="00D90B3A"/>
    <w:rsid w:val="00DA3FDB"/>
    <w:rsid w:val="00DA4706"/>
    <w:rsid w:val="00DA601C"/>
    <w:rsid w:val="00DB5F6C"/>
    <w:rsid w:val="00DB6A26"/>
    <w:rsid w:val="00DC4AF5"/>
    <w:rsid w:val="00DD0988"/>
    <w:rsid w:val="00DD5B06"/>
    <w:rsid w:val="00DE3AEF"/>
    <w:rsid w:val="00DE5568"/>
    <w:rsid w:val="00DF25F4"/>
    <w:rsid w:val="00E01810"/>
    <w:rsid w:val="00E03EFF"/>
    <w:rsid w:val="00E10C43"/>
    <w:rsid w:val="00E12915"/>
    <w:rsid w:val="00E23C16"/>
    <w:rsid w:val="00E245B5"/>
    <w:rsid w:val="00E252E8"/>
    <w:rsid w:val="00E27710"/>
    <w:rsid w:val="00E278CD"/>
    <w:rsid w:val="00E40259"/>
    <w:rsid w:val="00E41AD1"/>
    <w:rsid w:val="00E455FD"/>
    <w:rsid w:val="00E4776A"/>
    <w:rsid w:val="00E57B1D"/>
    <w:rsid w:val="00E66B7C"/>
    <w:rsid w:val="00E72AF4"/>
    <w:rsid w:val="00E74D51"/>
    <w:rsid w:val="00E75E83"/>
    <w:rsid w:val="00E8033B"/>
    <w:rsid w:val="00E8540B"/>
    <w:rsid w:val="00E85587"/>
    <w:rsid w:val="00E91780"/>
    <w:rsid w:val="00E91B8F"/>
    <w:rsid w:val="00EA1EB3"/>
    <w:rsid w:val="00EA23C5"/>
    <w:rsid w:val="00EA2D48"/>
    <w:rsid w:val="00EB2ACB"/>
    <w:rsid w:val="00EB3CD0"/>
    <w:rsid w:val="00EC2A24"/>
    <w:rsid w:val="00EC5D91"/>
    <w:rsid w:val="00EE4BD7"/>
    <w:rsid w:val="00EE5FE6"/>
    <w:rsid w:val="00EE68DF"/>
    <w:rsid w:val="00EF47BB"/>
    <w:rsid w:val="00EF7BF3"/>
    <w:rsid w:val="00F018C9"/>
    <w:rsid w:val="00F1182E"/>
    <w:rsid w:val="00F23A94"/>
    <w:rsid w:val="00F36A81"/>
    <w:rsid w:val="00F46674"/>
    <w:rsid w:val="00F46EEF"/>
    <w:rsid w:val="00F52A7A"/>
    <w:rsid w:val="00F56BA7"/>
    <w:rsid w:val="00F60080"/>
    <w:rsid w:val="00F62C50"/>
    <w:rsid w:val="00F72246"/>
    <w:rsid w:val="00F73668"/>
    <w:rsid w:val="00F979C9"/>
    <w:rsid w:val="00FA1BCC"/>
    <w:rsid w:val="00FB083B"/>
    <w:rsid w:val="00FC1917"/>
    <w:rsid w:val="00FC3C13"/>
    <w:rsid w:val="00FD3DC9"/>
    <w:rsid w:val="00FD46F9"/>
    <w:rsid w:val="00FF2838"/>
    <w:rsid w:val="014D0B1B"/>
    <w:rsid w:val="01811741"/>
    <w:rsid w:val="01A06E9D"/>
    <w:rsid w:val="01F50609"/>
    <w:rsid w:val="02D14515"/>
    <w:rsid w:val="02FC2AA9"/>
    <w:rsid w:val="035D4597"/>
    <w:rsid w:val="03B92498"/>
    <w:rsid w:val="04ED69BB"/>
    <w:rsid w:val="052E44FE"/>
    <w:rsid w:val="05A7288A"/>
    <w:rsid w:val="062C51A3"/>
    <w:rsid w:val="06672B42"/>
    <w:rsid w:val="067E79D8"/>
    <w:rsid w:val="06A44D39"/>
    <w:rsid w:val="07A70F85"/>
    <w:rsid w:val="07E93B46"/>
    <w:rsid w:val="087F5A5E"/>
    <w:rsid w:val="090E6DE2"/>
    <w:rsid w:val="09252865"/>
    <w:rsid w:val="094A2D56"/>
    <w:rsid w:val="095A5B83"/>
    <w:rsid w:val="09A45ACE"/>
    <w:rsid w:val="0A860446"/>
    <w:rsid w:val="0B031C21"/>
    <w:rsid w:val="0B275F39"/>
    <w:rsid w:val="0B5F096C"/>
    <w:rsid w:val="0B915894"/>
    <w:rsid w:val="0B9A2BAF"/>
    <w:rsid w:val="0BBC0D77"/>
    <w:rsid w:val="0BD63E8B"/>
    <w:rsid w:val="0BFC6504"/>
    <w:rsid w:val="0CA248BC"/>
    <w:rsid w:val="0CA52B9D"/>
    <w:rsid w:val="0CC86D0F"/>
    <w:rsid w:val="0CE2480D"/>
    <w:rsid w:val="0D1A2B22"/>
    <w:rsid w:val="0E211365"/>
    <w:rsid w:val="0E303794"/>
    <w:rsid w:val="0ECA5559"/>
    <w:rsid w:val="0EFF4BF8"/>
    <w:rsid w:val="0FB74A59"/>
    <w:rsid w:val="0FC57EEE"/>
    <w:rsid w:val="0FD16337"/>
    <w:rsid w:val="104B6809"/>
    <w:rsid w:val="11EC4AEE"/>
    <w:rsid w:val="12364185"/>
    <w:rsid w:val="125C0BBE"/>
    <w:rsid w:val="14134B52"/>
    <w:rsid w:val="147C605C"/>
    <w:rsid w:val="14DA0603"/>
    <w:rsid w:val="154C316C"/>
    <w:rsid w:val="15864176"/>
    <w:rsid w:val="15C076B6"/>
    <w:rsid w:val="15C27640"/>
    <w:rsid w:val="16777D74"/>
    <w:rsid w:val="16922E00"/>
    <w:rsid w:val="170512F9"/>
    <w:rsid w:val="17766CFB"/>
    <w:rsid w:val="17B6000A"/>
    <w:rsid w:val="17D17958"/>
    <w:rsid w:val="18292A11"/>
    <w:rsid w:val="18C748B7"/>
    <w:rsid w:val="18F63C9B"/>
    <w:rsid w:val="19B13FAC"/>
    <w:rsid w:val="19B32CDE"/>
    <w:rsid w:val="19D05A8B"/>
    <w:rsid w:val="19E602F5"/>
    <w:rsid w:val="1A0F57C1"/>
    <w:rsid w:val="1A2646F6"/>
    <w:rsid w:val="1A3A1238"/>
    <w:rsid w:val="1A4408B5"/>
    <w:rsid w:val="1A736497"/>
    <w:rsid w:val="1A7D4828"/>
    <w:rsid w:val="1AA72BF2"/>
    <w:rsid w:val="1ADC5523"/>
    <w:rsid w:val="1B4F7512"/>
    <w:rsid w:val="1B9413C8"/>
    <w:rsid w:val="1CD06430"/>
    <w:rsid w:val="1D0D4151"/>
    <w:rsid w:val="1D8B3416"/>
    <w:rsid w:val="1DD968F2"/>
    <w:rsid w:val="1F010FA2"/>
    <w:rsid w:val="1F9961B3"/>
    <w:rsid w:val="2041501E"/>
    <w:rsid w:val="208D63E6"/>
    <w:rsid w:val="20B93CDD"/>
    <w:rsid w:val="21275814"/>
    <w:rsid w:val="21307981"/>
    <w:rsid w:val="2139157F"/>
    <w:rsid w:val="21AD6D40"/>
    <w:rsid w:val="21B53E47"/>
    <w:rsid w:val="21E533F6"/>
    <w:rsid w:val="21F04E7F"/>
    <w:rsid w:val="223C6316"/>
    <w:rsid w:val="22B96607"/>
    <w:rsid w:val="23CD0DAD"/>
    <w:rsid w:val="243D74EF"/>
    <w:rsid w:val="2477581A"/>
    <w:rsid w:val="248C6639"/>
    <w:rsid w:val="24A02B8C"/>
    <w:rsid w:val="24CA2EEC"/>
    <w:rsid w:val="25217561"/>
    <w:rsid w:val="258433DD"/>
    <w:rsid w:val="25CF4D85"/>
    <w:rsid w:val="26555BF8"/>
    <w:rsid w:val="26D23572"/>
    <w:rsid w:val="26DD00C8"/>
    <w:rsid w:val="26F56E14"/>
    <w:rsid w:val="27167136"/>
    <w:rsid w:val="276145F5"/>
    <w:rsid w:val="27BD6E37"/>
    <w:rsid w:val="28D177B8"/>
    <w:rsid w:val="28E30FDD"/>
    <w:rsid w:val="290851A4"/>
    <w:rsid w:val="29475CCC"/>
    <w:rsid w:val="29F37C02"/>
    <w:rsid w:val="29FA689B"/>
    <w:rsid w:val="2A731ED7"/>
    <w:rsid w:val="2AA2389E"/>
    <w:rsid w:val="2BE041B6"/>
    <w:rsid w:val="2C30021B"/>
    <w:rsid w:val="2C4D7C6A"/>
    <w:rsid w:val="2C606401"/>
    <w:rsid w:val="2C640CB3"/>
    <w:rsid w:val="2D2F2CFF"/>
    <w:rsid w:val="2D3F0473"/>
    <w:rsid w:val="2E3C2B88"/>
    <w:rsid w:val="2EE87715"/>
    <w:rsid w:val="2F2E028B"/>
    <w:rsid w:val="2F4A2072"/>
    <w:rsid w:val="2F930885"/>
    <w:rsid w:val="30786BB3"/>
    <w:rsid w:val="30A47560"/>
    <w:rsid w:val="30C776F3"/>
    <w:rsid w:val="314805C3"/>
    <w:rsid w:val="31AC4978"/>
    <w:rsid w:val="3293062C"/>
    <w:rsid w:val="32BC47BB"/>
    <w:rsid w:val="32CD4892"/>
    <w:rsid w:val="33150BE9"/>
    <w:rsid w:val="340C7660"/>
    <w:rsid w:val="340F7196"/>
    <w:rsid w:val="346516FC"/>
    <w:rsid w:val="34B561E0"/>
    <w:rsid w:val="34E46AC5"/>
    <w:rsid w:val="3566572C"/>
    <w:rsid w:val="35756001"/>
    <w:rsid w:val="35A27ACA"/>
    <w:rsid w:val="362D4C91"/>
    <w:rsid w:val="36FA25D0"/>
    <w:rsid w:val="373F7FE3"/>
    <w:rsid w:val="374B6987"/>
    <w:rsid w:val="37CB3BCF"/>
    <w:rsid w:val="388655F7"/>
    <w:rsid w:val="38F60BED"/>
    <w:rsid w:val="38FB262F"/>
    <w:rsid w:val="390037A2"/>
    <w:rsid w:val="391D4354"/>
    <w:rsid w:val="3AED7D56"/>
    <w:rsid w:val="3B345984"/>
    <w:rsid w:val="3B5A188F"/>
    <w:rsid w:val="3B7E3BD8"/>
    <w:rsid w:val="3C2F1E93"/>
    <w:rsid w:val="3C860462"/>
    <w:rsid w:val="3CDD0C1B"/>
    <w:rsid w:val="3E447408"/>
    <w:rsid w:val="3E9E1A93"/>
    <w:rsid w:val="3F202B7D"/>
    <w:rsid w:val="3FDD3AFD"/>
    <w:rsid w:val="3FE56E4E"/>
    <w:rsid w:val="402E17AD"/>
    <w:rsid w:val="40302D75"/>
    <w:rsid w:val="4073499A"/>
    <w:rsid w:val="40DC5A69"/>
    <w:rsid w:val="4168282C"/>
    <w:rsid w:val="41B24C4F"/>
    <w:rsid w:val="428F2402"/>
    <w:rsid w:val="42CA38FC"/>
    <w:rsid w:val="437E50CA"/>
    <w:rsid w:val="43B47E83"/>
    <w:rsid w:val="43DD305D"/>
    <w:rsid w:val="4434588C"/>
    <w:rsid w:val="44512399"/>
    <w:rsid w:val="448226F3"/>
    <w:rsid w:val="455E0086"/>
    <w:rsid w:val="46CC38A0"/>
    <w:rsid w:val="47B75973"/>
    <w:rsid w:val="47D6229D"/>
    <w:rsid w:val="47F87E4B"/>
    <w:rsid w:val="48D93D7E"/>
    <w:rsid w:val="497529A1"/>
    <w:rsid w:val="49794E63"/>
    <w:rsid w:val="49EA64D4"/>
    <w:rsid w:val="4A1654D0"/>
    <w:rsid w:val="4AEB66A3"/>
    <w:rsid w:val="4B524331"/>
    <w:rsid w:val="4BDE5BC4"/>
    <w:rsid w:val="4C303F46"/>
    <w:rsid w:val="4C377D59"/>
    <w:rsid w:val="4C4A325A"/>
    <w:rsid w:val="4C7319EB"/>
    <w:rsid w:val="4CF66F3E"/>
    <w:rsid w:val="4D027691"/>
    <w:rsid w:val="4D2C7783"/>
    <w:rsid w:val="4D6935E3"/>
    <w:rsid w:val="4D6D39CD"/>
    <w:rsid w:val="4EDE2E4C"/>
    <w:rsid w:val="4EFD50D2"/>
    <w:rsid w:val="4F0A10D5"/>
    <w:rsid w:val="4FE319FB"/>
    <w:rsid w:val="520C3183"/>
    <w:rsid w:val="520D4CD2"/>
    <w:rsid w:val="522B1438"/>
    <w:rsid w:val="527755FB"/>
    <w:rsid w:val="527A5F1B"/>
    <w:rsid w:val="52BB6C5F"/>
    <w:rsid w:val="53993BAE"/>
    <w:rsid w:val="55293F05"/>
    <w:rsid w:val="55980179"/>
    <w:rsid w:val="56FF5B35"/>
    <w:rsid w:val="579E3876"/>
    <w:rsid w:val="57A049F8"/>
    <w:rsid w:val="57EE6D4B"/>
    <w:rsid w:val="58A600B4"/>
    <w:rsid w:val="59E81791"/>
    <w:rsid w:val="59E93747"/>
    <w:rsid w:val="59F21E3A"/>
    <w:rsid w:val="5A016C3B"/>
    <w:rsid w:val="5A737E20"/>
    <w:rsid w:val="5AA20705"/>
    <w:rsid w:val="5AD93CE2"/>
    <w:rsid w:val="5B370E4D"/>
    <w:rsid w:val="5B94782C"/>
    <w:rsid w:val="5B9F5A80"/>
    <w:rsid w:val="5BB029AE"/>
    <w:rsid w:val="5C621EFA"/>
    <w:rsid w:val="5D6A0EC8"/>
    <w:rsid w:val="5D8D2FA6"/>
    <w:rsid w:val="5DE23BB6"/>
    <w:rsid w:val="5E0C0D49"/>
    <w:rsid w:val="5ED115B9"/>
    <w:rsid w:val="5F2E4743"/>
    <w:rsid w:val="5F950838"/>
    <w:rsid w:val="5FA768B5"/>
    <w:rsid w:val="600532C8"/>
    <w:rsid w:val="60614992"/>
    <w:rsid w:val="60640FCF"/>
    <w:rsid w:val="60CE4002"/>
    <w:rsid w:val="615556EB"/>
    <w:rsid w:val="617167E5"/>
    <w:rsid w:val="624A6E1D"/>
    <w:rsid w:val="62D33E1C"/>
    <w:rsid w:val="63B068EC"/>
    <w:rsid w:val="63B773AF"/>
    <w:rsid w:val="63C06930"/>
    <w:rsid w:val="641F5466"/>
    <w:rsid w:val="646D1DA4"/>
    <w:rsid w:val="64D836A1"/>
    <w:rsid w:val="64F14BF5"/>
    <w:rsid w:val="65765E72"/>
    <w:rsid w:val="65C67F8E"/>
    <w:rsid w:val="65D2447B"/>
    <w:rsid w:val="66D14F9A"/>
    <w:rsid w:val="678278F4"/>
    <w:rsid w:val="67D9097F"/>
    <w:rsid w:val="688D3886"/>
    <w:rsid w:val="68BE0D78"/>
    <w:rsid w:val="68D83F4F"/>
    <w:rsid w:val="695C7961"/>
    <w:rsid w:val="6A1461F5"/>
    <w:rsid w:val="6A7A48B2"/>
    <w:rsid w:val="6A8355EC"/>
    <w:rsid w:val="6AA22B7A"/>
    <w:rsid w:val="6D8E233C"/>
    <w:rsid w:val="6E2A7DF5"/>
    <w:rsid w:val="6E8C382B"/>
    <w:rsid w:val="6EBF42F0"/>
    <w:rsid w:val="6EC737DF"/>
    <w:rsid w:val="6F2179F2"/>
    <w:rsid w:val="6F2319BD"/>
    <w:rsid w:val="6FB2478F"/>
    <w:rsid w:val="6FB31727"/>
    <w:rsid w:val="6FE01896"/>
    <w:rsid w:val="70B623BC"/>
    <w:rsid w:val="71467BE4"/>
    <w:rsid w:val="71CC31D7"/>
    <w:rsid w:val="71E01DE7"/>
    <w:rsid w:val="72EE2007"/>
    <w:rsid w:val="72F95204"/>
    <w:rsid w:val="731D2D5A"/>
    <w:rsid w:val="734A3E91"/>
    <w:rsid w:val="73DB2E79"/>
    <w:rsid w:val="74057315"/>
    <w:rsid w:val="740B6EE0"/>
    <w:rsid w:val="742B4A0D"/>
    <w:rsid w:val="757A4300"/>
    <w:rsid w:val="759B1B2A"/>
    <w:rsid w:val="75F72EC9"/>
    <w:rsid w:val="76CA4E14"/>
    <w:rsid w:val="76E527AD"/>
    <w:rsid w:val="770E1F6A"/>
    <w:rsid w:val="77372DF0"/>
    <w:rsid w:val="774150D6"/>
    <w:rsid w:val="77EB3293"/>
    <w:rsid w:val="78224A61"/>
    <w:rsid w:val="78BF7D2B"/>
    <w:rsid w:val="79053EE1"/>
    <w:rsid w:val="794E61EE"/>
    <w:rsid w:val="7B892BA7"/>
    <w:rsid w:val="7BB33FFD"/>
    <w:rsid w:val="7BD1454E"/>
    <w:rsid w:val="7BD519B1"/>
    <w:rsid w:val="7BD5403F"/>
    <w:rsid w:val="7C2B0E1F"/>
    <w:rsid w:val="7CB4634A"/>
    <w:rsid w:val="7CE16A13"/>
    <w:rsid w:val="7D113EE6"/>
    <w:rsid w:val="7D9D293A"/>
    <w:rsid w:val="7DA27F66"/>
    <w:rsid w:val="7EB443DF"/>
    <w:rsid w:val="7F3D2627"/>
    <w:rsid w:val="7F673200"/>
    <w:rsid w:val="7F9950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GB" w:eastAsia="zh-CN" w:bidi="ar-SA"/>
    </w:rPr>
  </w:style>
  <w:style w:type="paragraph" w:styleId="2">
    <w:name w:val="heading 1"/>
    <w:basedOn w:val="1"/>
    <w:next w:val="1"/>
    <w:link w:val="1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3"/>
    <w:basedOn w:val="1"/>
    <w:next w:val="1"/>
    <w:semiHidden/>
    <w:unhideWhenUsed/>
    <w:qFormat/>
    <w:uiPriority w:val="9"/>
    <w:pPr>
      <w:spacing w:beforeAutospacing="1" w:after="0" w:afterAutospacing="1"/>
      <w:outlineLvl w:val="2"/>
    </w:pPr>
    <w:rPr>
      <w:rFonts w:hint="eastAsia" w:ascii="宋体" w:hAnsi="宋体" w:eastAsia="宋体" w:cs="Times New Roman"/>
      <w:b/>
      <w:bCs/>
      <w:sz w:val="27"/>
      <w:szCs w:val="27"/>
      <w:lang w:val="en-US"/>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annotation text"/>
    <w:basedOn w:val="1"/>
    <w:semiHidden/>
    <w:unhideWhenUsed/>
    <w:qFormat/>
    <w:uiPriority w:val="99"/>
  </w:style>
  <w:style w:type="paragraph" w:styleId="5">
    <w:name w:val="footer"/>
    <w:basedOn w:val="1"/>
    <w:link w:val="14"/>
    <w:unhideWhenUsed/>
    <w:qFormat/>
    <w:uiPriority w:val="99"/>
    <w:pPr>
      <w:tabs>
        <w:tab w:val="center" w:pos="4153"/>
        <w:tab w:val="right" w:pos="8306"/>
      </w:tabs>
      <w:spacing w:after="0" w:line="240" w:lineRule="auto"/>
    </w:pPr>
  </w:style>
  <w:style w:type="paragraph" w:styleId="6">
    <w:name w:val="header"/>
    <w:basedOn w:val="1"/>
    <w:link w:val="13"/>
    <w:unhideWhenUsed/>
    <w:qFormat/>
    <w:uiPriority w:val="99"/>
    <w:pPr>
      <w:tabs>
        <w:tab w:val="center" w:pos="4153"/>
        <w:tab w:val="right" w:pos="8306"/>
      </w:tabs>
      <w:spacing w:after="0" w:line="240" w:lineRule="auto"/>
    </w:pPr>
  </w:style>
  <w:style w:type="paragraph" w:styleId="7">
    <w:name w:val="Normal (Web)"/>
    <w:basedOn w:val="1"/>
    <w:semiHidden/>
    <w:unhideWhenUsed/>
    <w:qFormat/>
    <w:uiPriority w:val="99"/>
    <w:pPr>
      <w:spacing w:beforeAutospacing="1" w:after="0" w:afterAutospacing="1"/>
    </w:pPr>
    <w:rPr>
      <w:rFonts w:cs="Times New Roman"/>
      <w:sz w:val="24"/>
      <w:lang w:val="en-US"/>
    </w:rPr>
  </w:style>
  <w:style w:type="character" w:styleId="10">
    <w:name w:val="FollowedHyperlink"/>
    <w:basedOn w:val="9"/>
    <w:semiHidden/>
    <w:unhideWhenUsed/>
    <w:qFormat/>
    <w:uiPriority w:val="99"/>
    <w:rPr>
      <w:color w:val="800080"/>
      <w:u w:val="single"/>
    </w:rPr>
  </w:style>
  <w:style w:type="character" w:styleId="11">
    <w:name w:val="Hyperlink"/>
    <w:basedOn w:val="9"/>
    <w:unhideWhenUsed/>
    <w:qFormat/>
    <w:uiPriority w:val="99"/>
    <w:rPr>
      <w:color w:val="0000FF" w:themeColor="hyperlink"/>
      <w:u w:val="single"/>
      <w14:textFill>
        <w14:solidFill>
          <w14:schemeClr w14:val="hlink"/>
        </w14:solidFill>
      </w14:textFill>
    </w:rPr>
  </w:style>
  <w:style w:type="character" w:customStyle="1" w:styleId="12">
    <w:name w:val="标题 1 字符"/>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13">
    <w:name w:val="页眉 字符"/>
    <w:basedOn w:val="9"/>
    <w:link w:val="6"/>
    <w:qFormat/>
    <w:uiPriority w:val="99"/>
  </w:style>
  <w:style w:type="character" w:customStyle="1" w:styleId="14">
    <w:name w:val="页脚 字符"/>
    <w:basedOn w:val="9"/>
    <w:link w:val="5"/>
    <w:qFormat/>
    <w:uiPriority w:val="99"/>
  </w:style>
  <w:style w:type="paragraph" w:customStyle="1" w:styleId="15">
    <w:name w:val="Default"/>
    <w:qFormat/>
    <w:uiPriority w:val="0"/>
    <w:pPr>
      <w:autoSpaceDE w:val="0"/>
      <w:autoSpaceDN w:val="0"/>
      <w:adjustRightInd w:val="0"/>
    </w:pPr>
    <w:rPr>
      <w:rFonts w:ascii="Times New Roman" w:hAnsi="Times New Roman" w:cs="Times New Roman" w:eastAsiaTheme="minorEastAsia"/>
      <w:color w:val="000000"/>
      <w:sz w:val="24"/>
      <w:szCs w:val="24"/>
      <w:lang w:val="en-GB" w:eastAsia="zh-CN" w:bidi="ar-SA"/>
    </w:rPr>
  </w:style>
  <w:style w:type="paragraph" w:customStyle="1" w:styleId="16">
    <w:name w:val="EndNote Bibliography Title"/>
    <w:basedOn w:val="1"/>
    <w:link w:val="17"/>
    <w:qFormat/>
    <w:uiPriority w:val="0"/>
    <w:pPr>
      <w:spacing w:after="0"/>
      <w:jc w:val="center"/>
    </w:pPr>
    <w:rPr>
      <w:rFonts w:ascii="Cambria" w:hAnsi="Cambria"/>
      <w:sz w:val="32"/>
    </w:rPr>
  </w:style>
  <w:style w:type="character" w:customStyle="1" w:styleId="17">
    <w:name w:val="EndNote Bibliography Title 字符"/>
    <w:basedOn w:val="9"/>
    <w:link w:val="16"/>
    <w:qFormat/>
    <w:uiPriority w:val="0"/>
    <w:rPr>
      <w:rFonts w:ascii="Cambria" w:hAnsi="Cambria"/>
      <w:sz w:val="32"/>
    </w:rPr>
  </w:style>
  <w:style w:type="paragraph" w:customStyle="1" w:styleId="18">
    <w:name w:val="EndNote Bibliography"/>
    <w:basedOn w:val="1"/>
    <w:link w:val="19"/>
    <w:qFormat/>
    <w:uiPriority w:val="0"/>
    <w:pPr>
      <w:spacing w:line="240" w:lineRule="auto"/>
    </w:pPr>
    <w:rPr>
      <w:rFonts w:ascii="Cambria" w:hAnsi="Cambria"/>
      <w:sz w:val="32"/>
    </w:rPr>
  </w:style>
  <w:style w:type="character" w:customStyle="1" w:styleId="19">
    <w:name w:val="EndNote Bibliography 字符"/>
    <w:basedOn w:val="9"/>
    <w:link w:val="18"/>
    <w:qFormat/>
    <w:uiPriority w:val="0"/>
    <w:rPr>
      <w:rFonts w:ascii="Cambria" w:hAnsi="Cambria"/>
      <w:sz w:val="32"/>
    </w:rPr>
  </w:style>
  <w:style w:type="paragraph" w:styleId="20">
    <w:name w:val="List Paragraph"/>
    <w:basedOn w:val="1"/>
    <w:qFormat/>
    <w:uiPriority w:val="34"/>
    <w:pPr>
      <w:ind w:left="720"/>
      <w:contextualSpacing/>
    </w:pPr>
  </w:style>
  <w:style w:type="paragraph" w:customStyle="1" w:styleId="21">
    <w:name w:val="修订1"/>
    <w:hidden/>
    <w:semiHidden/>
    <w:qFormat/>
    <w:uiPriority w:val="99"/>
    <w:rPr>
      <w:rFonts w:asciiTheme="minorHAnsi" w:hAnsiTheme="minorHAnsi" w:eastAsiaTheme="minorEastAsia" w:cstheme="minorBidi"/>
      <w:sz w:val="22"/>
      <w:szCs w:val="22"/>
      <w:lang w:val="en-GB" w:eastAsia="zh-CN" w:bidi="ar-SA"/>
    </w:rPr>
  </w:style>
  <w:style w:type="paragraph" w:customStyle="1" w:styleId="22">
    <w:name w:val="IOPAuthor"/>
    <w:basedOn w:val="1"/>
    <w:qFormat/>
    <w:uiPriority w:val="0"/>
    <w:pPr>
      <w:spacing w:after="200"/>
      <w:ind w:right="2552"/>
    </w:pPr>
    <w:rPr>
      <w:b/>
    </w:rPr>
  </w:style>
  <w:style w:type="paragraph" w:customStyle="1" w:styleId="23">
    <w:name w:val="IOPAff"/>
    <w:basedOn w:val="22"/>
    <w:qFormat/>
    <w:uiPriority w:val="0"/>
    <w:pPr>
      <w:spacing w:after="0"/>
    </w:pPr>
    <w:rPr>
      <w:rFonts w:ascii="Times New Roman" w:hAnsi="Times New Roman"/>
      <w:b w:val="0"/>
      <w:sz w:val="18"/>
      <w:szCs w:val="18"/>
    </w:rPr>
  </w:style>
  <w:style w:type="paragraph" w:customStyle="1" w:styleId="24">
    <w:name w:val="MDPI_2.3_heading3"/>
    <w:basedOn w:val="1"/>
    <w:qFormat/>
    <w:uiPriority w:val="0"/>
    <w:pPr>
      <w:adjustRightInd w:val="0"/>
      <w:snapToGrid w:val="0"/>
      <w:spacing w:before="240" w:after="120" w:line="260" w:lineRule="atLeast"/>
      <w:outlineLvl w:val="2"/>
    </w:pPr>
    <w:rPr>
      <w:rFonts w:ascii="Palatino Linotype" w:hAnsi="Palatino Linotype" w:eastAsia="Times New Roman"/>
      <w:snapToGrid w:val="0"/>
      <w:color w:val="000000"/>
      <w:sz w:val="20"/>
      <w:lang w:eastAsia="de-DE" w:bidi="en-US"/>
    </w:rPr>
  </w:style>
  <w:style w:type="paragraph" w:customStyle="1" w:styleId="25">
    <w:name w:val="IOPText"/>
    <w:basedOn w:val="26"/>
    <w:qFormat/>
    <w:uiPriority w:val="0"/>
    <w:pPr>
      <w:ind w:right="0" w:firstLine="227"/>
      <w:jc w:val="both"/>
    </w:pPr>
  </w:style>
  <w:style w:type="paragraph" w:customStyle="1" w:styleId="26">
    <w:name w:val="IOPAbsText"/>
    <w:basedOn w:val="1"/>
    <w:qFormat/>
    <w:uiPriority w:val="0"/>
    <w:pPr>
      <w:spacing w:after="0"/>
      <w:ind w:right="2552"/>
    </w:pPr>
    <w:rPr>
      <w:rFonts w:ascii="Times New Roman" w:hAnsi="Times New Roman"/>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1718</Words>
  <Characters>10369</Characters>
  <Lines>209</Lines>
  <Paragraphs>49</Paragraphs>
  <TotalTime>40</TotalTime>
  <ScaleCrop>false</ScaleCrop>
  <LinksUpToDate>false</LinksUpToDate>
  <CharactersWithSpaces>12055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2022-11-26T16:44:00Z</dcterms:created>
  <dc:creator>Wu Xue</dc:creator>
  <cp:lastModifiedBy>Xue Wu</cp:lastModifiedBy>
  <cp:lastPrinted>2022-08-17T05:50:00Z</cp:lastPrinted>
  <dcterms:modified xsi:type="dcterms:W3CDTF">2026-09-27T08:01:47Z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5f305b46bc494e1890f34a10cd93dc127db80121182f23f2c290a841899b2ab6</vt:lpwstr>
  </property>
  <property fmtid="{D5CDD505-2E9C-101B-9397-08002B2CF9AE}" pid="3" name="KSOTemplateDocerSaveRecord">
    <vt:lpwstr>eyJoZGlkIjoiYWY2MGYzNTRiNzkxMDljYTM5NmEwMDAwYjc1N2ZlNDYiLCJ1c2VySWQiOiIxNzAxNTA2NzY0In0=</vt:lpwstr>
  </property>
  <property fmtid="{D5CDD505-2E9C-101B-9397-08002B2CF9AE}" pid="4" name="KSOProductBuildVer">
    <vt:lpwstr>2052-12.1.0.28505</vt:lpwstr>
  </property>
  <property fmtid="{D5CDD505-2E9C-101B-9397-08002B2CF9AE}" pid="5" name="ICV">
    <vt:lpwstr>FDD0C9657B3B47859082A0B0DB327000_13</vt:lpwstr>
  </property>
</Properties>
</file>