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EAFAA" w14:textId="6B9FD343" w:rsidR="00F32AC9" w:rsidRPr="00771BFB" w:rsidRDefault="00F32AC9" w:rsidP="00F32AC9">
      <w:pPr>
        <w:pBdr>
          <w:top w:val="nil"/>
          <w:left w:val="nil"/>
          <w:bottom w:val="nil"/>
          <w:right w:val="nil"/>
          <w:between w:val="nil"/>
        </w:pBdr>
        <w:spacing w:after="0" w:line="480" w:lineRule="auto"/>
        <w:jc w:val="both"/>
        <w:rPr>
          <w:rFonts w:ascii="Arial" w:eastAsia="Arial" w:hAnsi="Arial" w:cs="Arial"/>
          <w:b/>
          <w:bCs/>
          <w:iCs/>
          <w:sz w:val="24"/>
          <w:szCs w:val="24"/>
          <w:lang w:val="en-GB"/>
        </w:rPr>
      </w:pPr>
      <w:r>
        <w:rPr>
          <w:rFonts w:ascii="Arial" w:eastAsia="Arial" w:hAnsi="Arial" w:cs="Arial"/>
          <w:b/>
          <w:bCs/>
          <w:iCs/>
          <w:sz w:val="24"/>
          <w:szCs w:val="24"/>
          <w:lang w:val="en-GB"/>
        </w:rPr>
        <w:t xml:space="preserve">Supplemental </w:t>
      </w:r>
      <w:r w:rsidRPr="00771BFB">
        <w:rPr>
          <w:rFonts w:ascii="Arial" w:eastAsia="Arial" w:hAnsi="Arial" w:cs="Arial"/>
          <w:b/>
          <w:bCs/>
          <w:iCs/>
          <w:sz w:val="24"/>
          <w:szCs w:val="24"/>
          <w:lang w:val="en-GB"/>
        </w:rPr>
        <w:t>methods</w:t>
      </w:r>
    </w:p>
    <w:p w14:paraId="5655EC97"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b/>
          <w:bCs/>
          <w:iCs/>
          <w:sz w:val="24"/>
          <w:szCs w:val="24"/>
          <w:lang w:val="en-GB"/>
        </w:rPr>
      </w:pPr>
      <w:r w:rsidRPr="00771BFB">
        <w:rPr>
          <w:rFonts w:ascii="Arial" w:eastAsia="Arial" w:hAnsi="Arial" w:cs="Arial"/>
          <w:b/>
          <w:bCs/>
          <w:iCs/>
          <w:sz w:val="24"/>
          <w:szCs w:val="24"/>
          <w:lang w:val="en-GB"/>
        </w:rPr>
        <w:t>Patients’ selection and study design</w:t>
      </w:r>
    </w:p>
    <w:p w14:paraId="396242E9"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This is a retrospective, observational, multicentre real- world study across 12 Italian haematology centres.</w:t>
      </w:r>
      <w:r w:rsidRPr="00771BFB">
        <w:rPr>
          <w:rFonts w:ascii="Arial" w:hAnsi="Arial" w:cs="Arial"/>
          <w:sz w:val="24"/>
          <w:szCs w:val="24"/>
          <w:lang w:val="en-GB"/>
        </w:rPr>
        <w:t xml:space="preserve"> </w:t>
      </w:r>
      <w:r w:rsidRPr="00771BFB">
        <w:rPr>
          <w:rFonts w:ascii="Arial" w:eastAsia="Arial" w:hAnsi="Arial" w:cs="Arial"/>
          <w:iCs/>
          <w:sz w:val="24"/>
          <w:szCs w:val="24"/>
          <w:lang w:val="en-GB"/>
        </w:rPr>
        <w:t>Patients were eligible if they met the following inclusion criteria: (</w:t>
      </w:r>
      <w:proofErr w:type="spellStart"/>
      <w:r w:rsidRPr="00771BFB">
        <w:rPr>
          <w:rFonts w:ascii="Arial" w:eastAsia="Arial" w:hAnsi="Arial" w:cs="Arial"/>
          <w:iCs/>
          <w:sz w:val="24"/>
          <w:szCs w:val="24"/>
          <w:lang w:val="en-GB"/>
        </w:rPr>
        <w:t>i</w:t>
      </w:r>
      <w:proofErr w:type="spellEnd"/>
      <w:r w:rsidRPr="00771BFB">
        <w:rPr>
          <w:rFonts w:ascii="Arial" w:eastAsia="Arial" w:hAnsi="Arial" w:cs="Arial"/>
          <w:iCs/>
          <w:sz w:val="24"/>
          <w:szCs w:val="24"/>
          <w:lang w:val="en-GB"/>
        </w:rPr>
        <w:t xml:space="preserve">) age ≥18 years; (ii) diagnosis of chronic lymphocytic </w:t>
      </w:r>
      <w:proofErr w:type="spellStart"/>
      <w:r w:rsidRPr="00771BFB">
        <w:rPr>
          <w:rFonts w:ascii="Arial" w:eastAsia="Arial" w:hAnsi="Arial" w:cs="Arial"/>
          <w:iCs/>
          <w:sz w:val="24"/>
          <w:szCs w:val="24"/>
          <w:lang w:val="en-GB"/>
        </w:rPr>
        <w:t>leukemia</w:t>
      </w:r>
      <w:proofErr w:type="spellEnd"/>
      <w:r w:rsidRPr="00771BFB">
        <w:rPr>
          <w:rFonts w:ascii="Arial" w:eastAsia="Arial" w:hAnsi="Arial" w:cs="Arial"/>
          <w:iCs/>
          <w:sz w:val="24"/>
          <w:szCs w:val="24"/>
          <w:lang w:val="en-GB"/>
        </w:rPr>
        <w:t xml:space="preserve"> (CLL) according to the International Workshop on Chronic Lymphocytic </w:t>
      </w:r>
      <w:proofErr w:type="spellStart"/>
      <w:r w:rsidRPr="00771BFB">
        <w:rPr>
          <w:rFonts w:ascii="Arial" w:eastAsia="Arial" w:hAnsi="Arial" w:cs="Arial"/>
          <w:iCs/>
          <w:sz w:val="24"/>
          <w:szCs w:val="24"/>
          <w:lang w:val="en-GB"/>
        </w:rPr>
        <w:t>Leukemia</w:t>
      </w:r>
      <w:proofErr w:type="spellEnd"/>
      <w:r w:rsidRPr="00771BFB">
        <w:rPr>
          <w:rFonts w:ascii="Arial" w:eastAsia="Arial" w:hAnsi="Arial" w:cs="Arial"/>
          <w:iCs/>
          <w:sz w:val="24"/>
          <w:szCs w:val="24"/>
          <w:lang w:val="en-GB"/>
        </w:rPr>
        <w:t xml:space="preserve"> (</w:t>
      </w:r>
      <w:proofErr w:type="spellStart"/>
      <w:r w:rsidRPr="00771BFB">
        <w:rPr>
          <w:rFonts w:ascii="Arial" w:eastAsia="Arial" w:hAnsi="Arial" w:cs="Arial"/>
          <w:iCs/>
          <w:sz w:val="24"/>
          <w:szCs w:val="24"/>
          <w:lang w:val="en-GB"/>
        </w:rPr>
        <w:t>iwCLL</w:t>
      </w:r>
      <w:proofErr w:type="spellEnd"/>
      <w:r w:rsidRPr="00771BFB">
        <w:rPr>
          <w:rFonts w:ascii="Arial" w:eastAsia="Arial" w:hAnsi="Arial" w:cs="Arial"/>
          <w:iCs/>
          <w:sz w:val="24"/>
          <w:szCs w:val="24"/>
          <w:lang w:val="en-GB"/>
        </w:rPr>
        <w:t xml:space="preserve">) criteria [9]; (iii) relapsed or refractory disease requiring treatment according to current </w:t>
      </w:r>
      <w:proofErr w:type="spellStart"/>
      <w:r w:rsidRPr="00771BFB">
        <w:rPr>
          <w:rFonts w:ascii="Arial" w:eastAsia="Arial" w:hAnsi="Arial" w:cs="Arial"/>
          <w:iCs/>
          <w:sz w:val="24"/>
          <w:szCs w:val="24"/>
          <w:lang w:val="en-GB"/>
        </w:rPr>
        <w:t>iwCLL</w:t>
      </w:r>
      <w:proofErr w:type="spellEnd"/>
      <w:r w:rsidRPr="00771BFB">
        <w:rPr>
          <w:rFonts w:ascii="Arial" w:eastAsia="Arial" w:hAnsi="Arial" w:cs="Arial"/>
          <w:iCs/>
          <w:sz w:val="24"/>
          <w:szCs w:val="24"/>
          <w:lang w:val="en-GB"/>
        </w:rPr>
        <w:t xml:space="preserve"> indications [9]; (iv) treatment with fixed-duration </w:t>
      </w:r>
      <w:proofErr w:type="spellStart"/>
      <w:r w:rsidRPr="00771BFB">
        <w:rPr>
          <w:rFonts w:ascii="Arial" w:eastAsia="Arial" w:hAnsi="Arial" w:cs="Arial"/>
          <w:iCs/>
          <w:sz w:val="24"/>
          <w:szCs w:val="24"/>
          <w:lang w:val="en-GB"/>
        </w:rPr>
        <w:t>VenR</w:t>
      </w:r>
      <w:proofErr w:type="spellEnd"/>
      <w:r w:rsidRPr="00771BFB">
        <w:rPr>
          <w:rFonts w:ascii="Arial" w:eastAsia="Arial" w:hAnsi="Arial" w:cs="Arial"/>
          <w:iCs/>
          <w:sz w:val="24"/>
          <w:szCs w:val="24"/>
          <w:lang w:val="en-GB"/>
        </w:rPr>
        <w:t xml:space="preserve"> initiated between June 2020 and January 2025 in one of the participating </w:t>
      </w:r>
      <w:proofErr w:type="spellStart"/>
      <w:r w:rsidRPr="00771BFB">
        <w:rPr>
          <w:rFonts w:ascii="Arial" w:eastAsia="Arial" w:hAnsi="Arial" w:cs="Arial"/>
          <w:iCs/>
          <w:sz w:val="24"/>
          <w:szCs w:val="24"/>
          <w:lang w:val="en-GB"/>
        </w:rPr>
        <w:t>Hematology</w:t>
      </w:r>
      <w:proofErr w:type="spellEnd"/>
      <w:r w:rsidRPr="00771BFB">
        <w:rPr>
          <w:rFonts w:ascii="Arial" w:eastAsia="Arial" w:hAnsi="Arial" w:cs="Arial"/>
          <w:iCs/>
          <w:sz w:val="24"/>
          <w:szCs w:val="24"/>
          <w:lang w:val="en-GB"/>
        </w:rPr>
        <w:t xml:space="preserve"> Units of the Campania regional network; and (v) availability of baseline clinical and treatment data.</w:t>
      </w:r>
    </w:p>
    <w:p w14:paraId="09ADA742" w14:textId="77777777" w:rsidR="00F32AC9" w:rsidRPr="00771BFB" w:rsidRDefault="00F32AC9" w:rsidP="00F32AC9">
      <w:pPr>
        <w:pBdr>
          <w:top w:val="nil"/>
          <w:left w:val="nil"/>
          <w:bottom w:val="nil"/>
          <w:right w:val="nil"/>
          <w:between w:val="nil"/>
        </w:pBdr>
        <w:spacing w:after="0" w:line="480" w:lineRule="auto"/>
        <w:jc w:val="both"/>
        <w:rPr>
          <w:rFonts w:ascii="Arial" w:hAnsi="Arial" w:cs="Arial"/>
          <w:sz w:val="24"/>
          <w:szCs w:val="24"/>
          <w:lang w:val="en-GB"/>
        </w:rPr>
      </w:pPr>
      <w:r w:rsidRPr="00771BFB">
        <w:rPr>
          <w:rFonts w:ascii="Arial" w:eastAsia="Arial" w:hAnsi="Arial" w:cs="Arial"/>
          <w:sz w:val="24"/>
          <w:szCs w:val="24"/>
          <w:lang w:val="en-GB"/>
        </w:rPr>
        <w:t xml:space="preserve">For treatment-sequencing analyses, patients were classified as BTKi-naïve if they had previously received CIT alone and as BTKi-exposed if they had received a BTKi either alone or sequentially after CIT. Patients who permanently discontinued </w:t>
      </w:r>
      <w:proofErr w:type="spellStart"/>
      <w:r w:rsidRPr="00771BFB">
        <w:rPr>
          <w:rFonts w:ascii="Arial" w:eastAsia="Arial" w:hAnsi="Arial" w:cs="Arial"/>
          <w:sz w:val="24"/>
          <w:szCs w:val="24"/>
          <w:lang w:val="en-GB"/>
        </w:rPr>
        <w:t>VenR</w:t>
      </w:r>
      <w:proofErr w:type="spellEnd"/>
      <w:r w:rsidRPr="00771BFB">
        <w:rPr>
          <w:rFonts w:ascii="Arial" w:eastAsia="Arial" w:hAnsi="Arial" w:cs="Arial"/>
          <w:sz w:val="24"/>
          <w:szCs w:val="24"/>
          <w:lang w:val="en-GB"/>
        </w:rPr>
        <w:t xml:space="preserve"> before completing the planned treatment because of toxicity, disease progression, death, transplantation, or physician decision remained included in the study cohort. The study was conducted in accordance with the Declaration of Helsinki and was approved by the local Ethics Committee (protocol No. 163/2026).</w:t>
      </w:r>
    </w:p>
    <w:p w14:paraId="65F654CF"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p>
    <w:p w14:paraId="36206E21"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b/>
          <w:bCs/>
          <w:iCs/>
          <w:sz w:val="24"/>
          <w:szCs w:val="24"/>
          <w:lang w:val="en-GB"/>
        </w:rPr>
      </w:pPr>
      <w:r w:rsidRPr="00771BFB">
        <w:rPr>
          <w:rFonts w:ascii="Arial" w:eastAsia="Arial" w:hAnsi="Arial" w:cs="Arial"/>
          <w:b/>
          <w:bCs/>
          <w:iCs/>
          <w:sz w:val="24"/>
          <w:szCs w:val="24"/>
          <w:lang w:val="en-GB"/>
        </w:rPr>
        <w:t>Data collection</w:t>
      </w:r>
    </w:p>
    <w:p w14:paraId="152DB52B"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 xml:space="preserve">Clinical data were retrospectively collected from the electronic medical records and institutional databases of the participating </w:t>
      </w:r>
      <w:proofErr w:type="spellStart"/>
      <w:r w:rsidRPr="00771BFB">
        <w:rPr>
          <w:rFonts w:ascii="Arial" w:eastAsia="Arial" w:hAnsi="Arial" w:cs="Arial"/>
          <w:iCs/>
          <w:sz w:val="24"/>
          <w:szCs w:val="24"/>
          <w:lang w:val="en-GB"/>
        </w:rPr>
        <w:t>centers</w:t>
      </w:r>
      <w:proofErr w:type="spellEnd"/>
      <w:r w:rsidRPr="00771BFB">
        <w:rPr>
          <w:rFonts w:ascii="Arial" w:eastAsia="Arial" w:hAnsi="Arial" w:cs="Arial"/>
          <w:iCs/>
          <w:sz w:val="24"/>
          <w:szCs w:val="24"/>
          <w:lang w:val="en-GB"/>
        </w:rPr>
        <w:t xml:space="preserve"> using a standardized data collection form.</w:t>
      </w:r>
    </w:p>
    <w:p w14:paraId="158BE98C"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 xml:space="preserve">Baseline variables included demographic characteristics, age, sex, ECOG performance status, Cumulative Illness Rating Scale (CIRS), Rai and Binet stage, previous treatment history, number and type of prior therapies, previous exposure to BTK inhibitors, bulky disease, laboratory parameters and treatment indication. A comprehensive biological assessment was performed at </w:t>
      </w:r>
      <w:proofErr w:type="spellStart"/>
      <w:r w:rsidRPr="00771BFB">
        <w:rPr>
          <w:rFonts w:ascii="Arial" w:eastAsia="Arial" w:hAnsi="Arial" w:cs="Arial"/>
          <w:iCs/>
          <w:sz w:val="24"/>
          <w:szCs w:val="24"/>
          <w:lang w:val="en-GB"/>
        </w:rPr>
        <w:t>VenR</w:t>
      </w:r>
      <w:proofErr w:type="spellEnd"/>
      <w:r w:rsidRPr="00771BFB">
        <w:rPr>
          <w:rFonts w:ascii="Arial" w:eastAsia="Arial" w:hAnsi="Arial" w:cs="Arial"/>
          <w:iCs/>
          <w:sz w:val="24"/>
          <w:szCs w:val="24"/>
          <w:lang w:val="en-GB"/>
        </w:rPr>
        <w:t xml:space="preserve"> initiation in </w:t>
      </w:r>
      <w:proofErr w:type="gramStart"/>
      <w:r w:rsidRPr="00771BFB">
        <w:rPr>
          <w:rFonts w:ascii="Arial" w:eastAsia="Arial" w:hAnsi="Arial" w:cs="Arial"/>
          <w:iCs/>
          <w:sz w:val="24"/>
          <w:szCs w:val="24"/>
          <w:lang w:val="en-GB"/>
        </w:rPr>
        <w:t>the large majority of</w:t>
      </w:r>
      <w:proofErr w:type="gramEnd"/>
      <w:r w:rsidRPr="00771BFB">
        <w:rPr>
          <w:rFonts w:ascii="Arial" w:eastAsia="Arial" w:hAnsi="Arial" w:cs="Arial"/>
          <w:iCs/>
          <w:sz w:val="24"/>
          <w:szCs w:val="24"/>
          <w:lang w:val="en-GB"/>
        </w:rPr>
        <w:t xml:space="preserve"> patients, including </w:t>
      </w:r>
      <w:r w:rsidRPr="00771BFB">
        <w:rPr>
          <w:rFonts w:ascii="Arial" w:eastAsia="Arial" w:hAnsi="Arial" w:cs="Arial"/>
          <w:iCs/>
          <w:sz w:val="24"/>
          <w:szCs w:val="24"/>
          <w:lang w:val="en-GB"/>
        </w:rPr>
        <w:lastRenderedPageBreak/>
        <w:t>TP53 mutation analysis by next-generation sequencing (NGS), IGHV mutational status, and FISH for recurrent cytogenetic abnormalities. TP53 disruption was defined as the presence of a TP53 mutation and/or del(17p).</w:t>
      </w:r>
    </w:p>
    <w:p w14:paraId="338B58CE"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Treatment-related variables included venetoclax dose escalation, dose reductions, temporary treatment interruptions, permanent discontinuation, rituximab administration, treatment duration, and reasons for treatment discontinuation.</w:t>
      </w:r>
    </w:p>
    <w:p w14:paraId="03DAB27A"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Safety data included hematologic and non-hematologic adverse events, infectious complications, hospitalization, use of granulocyte colony-stimulating factor (G-CSF), antiviral and antimicrobial prophylaxis, and HBV prophylaxis when indicated.</w:t>
      </w:r>
    </w:p>
    <w:p w14:paraId="77FDAB6A"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MRD assessment at EOT was recorded whenever available.</w:t>
      </w:r>
    </w:p>
    <w:p w14:paraId="59A5EB15"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p>
    <w:p w14:paraId="4D385BEB"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b/>
          <w:bCs/>
          <w:iCs/>
          <w:sz w:val="24"/>
          <w:szCs w:val="24"/>
          <w:lang w:val="en-GB"/>
        </w:rPr>
      </w:pPr>
      <w:r w:rsidRPr="00771BFB">
        <w:rPr>
          <w:rFonts w:ascii="Arial" w:eastAsia="Arial" w:hAnsi="Arial" w:cs="Arial"/>
          <w:b/>
          <w:bCs/>
          <w:iCs/>
          <w:sz w:val="24"/>
          <w:szCs w:val="24"/>
          <w:lang w:val="en-GB"/>
        </w:rPr>
        <w:t>Treatment and supportive care</w:t>
      </w:r>
    </w:p>
    <w:p w14:paraId="062B37AB"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Patients received venetoclax plus rituximab according to the fixed-duration schedule established in the MURANO trial [3], consisting of a 5-week venetoclax ramp-up (20–400 mg/day) followed by venetoclax for a total duration of 24 months and six cycles of rituximab administered after completion of the ramp-up phase.</w:t>
      </w:r>
    </w:p>
    <w:p w14:paraId="430340CF"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 xml:space="preserve">Treatment modifications, including venetoclax dose reductions, temporary interruptions, delayed escalation, and rituximab dose adjustments, were performed according to physician judgment based on toxicity, comorbidities, or patient frailty and were systematically recorded. Supportive care followed institutional practice and included antiviral prophylaxis with acyclovir, Pneumocystis jirovecii prophylaxis with trimethoprim-sulfamethoxazole; G-CSF was administered as secondary prophylaxis in patients developing neutropenia with an absolute neutrophil count (ANC) &lt;1.0 × 10⁹/L, according to previously described institutional strategies for patients treated with Rituximab-containing treatment strategies [10]. HBV screening, monitoring, and antiviral prophylaxis were performed according to serological status and established risk-adapted strategies for patients treated with Rituximab-containing </w:t>
      </w:r>
      <w:r w:rsidRPr="00771BFB">
        <w:rPr>
          <w:rFonts w:ascii="Arial" w:eastAsia="Arial" w:hAnsi="Arial" w:cs="Arial"/>
          <w:iCs/>
          <w:sz w:val="24"/>
          <w:szCs w:val="24"/>
          <w:lang w:val="en-GB"/>
        </w:rPr>
        <w:lastRenderedPageBreak/>
        <w:t xml:space="preserve">treatment strategies [11-12]. Vaccination strategies were implemented according to institutional practice. </w:t>
      </w:r>
      <w:proofErr w:type="spellStart"/>
      <w:r w:rsidRPr="00771BFB">
        <w:rPr>
          <w:rFonts w:ascii="Arial" w:eastAsia="Arial" w:hAnsi="Arial" w:cs="Arial"/>
          <w:iCs/>
          <w:sz w:val="24"/>
          <w:szCs w:val="24"/>
          <w:lang w:val="en-GB"/>
        </w:rPr>
        <w:t>Tumor</w:t>
      </w:r>
      <w:proofErr w:type="spellEnd"/>
      <w:r w:rsidRPr="00771BFB">
        <w:rPr>
          <w:rFonts w:ascii="Arial" w:eastAsia="Arial" w:hAnsi="Arial" w:cs="Arial"/>
          <w:iCs/>
          <w:sz w:val="24"/>
          <w:szCs w:val="24"/>
          <w:lang w:val="en-GB"/>
        </w:rPr>
        <w:t xml:space="preserve"> lysis syndrome (TLS) risk assessment, prophylaxis, and monitoring were performed before and during venetoclax ramp-up according to established recommendations [13,14].</w:t>
      </w:r>
    </w:p>
    <w:p w14:paraId="6EDA2D0C"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p>
    <w:p w14:paraId="42FF1C1F"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b/>
          <w:bCs/>
          <w:iCs/>
          <w:sz w:val="24"/>
          <w:szCs w:val="24"/>
          <w:lang w:val="en-GB"/>
        </w:rPr>
      </w:pPr>
      <w:r w:rsidRPr="00771BFB">
        <w:rPr>
          <w:rFonts w:ascii="Arial" w:eastAsia="Arial" w:hAnsi="Arial" w:cs="Arial"/>
          <w:b/>
          <w:bCs/>
          <w:iCs/>
          <w:sz w:val="24"/>
          <w:szCs w:val="24"/>
          <w:lang w:val="en-GB"/>
        </w:rPr>
        <w:t>Response assessment</w:t>
      </w:r>
    </w:p>
    <w:p w14:paraId="4FE6A75B"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 xml:space="preserve">Clinical response was assessed according to the 2018 </w:t>
      </w:r>
      <w:proofErr w:type="spellStart"/>
      <w:r w:rsidRPr="00771BFB">
        <w:rPr>
          <w:rFonts w:ascii="Arial" w:eastAsia="Arial" w:hAnsi="Arial" w:cs="Arial"/>
          <w:iCs/>
          <w:sz w:val="24"/>
          <w:szCs w:val="24"/>
          <w:lang w:val="en-GB"/>
        </w:rPr>
        <w:t>iwCLL</w:t>
      </w:r>
      <w:proofErr w:type="spellEnd"/>
      <w:r w:rsidRPr="00771BFB">
        <w:rPr>
          <w:rFonts w:ascii="Arial" w:eastAsia="Arial" w:hAnsi="Arial" w:cs="Arial"/>
          <w:iCs/>
          <w:sz w:val="24"/>
          <w:szCs w:val="24"/>
          <w:lang w:val="en-GB"/>
        </w:rPr>
        <w:t xml:space="preserve"> criteria [9] and categorized as complete remission (CR), partial remission (PR), stable disease (SD), or progressive disease (PD). EOT response was assessed at median time of 24 months (range 24-27) from </w:t>
      </w:r>
      <w:proofErr w:type="spellStart"/>
      <w:r w:rsidRPr="00771BFB">
        <w:rPr>
          <w:rFonts w:ascii="Arial" w:eastAsia="Arial" w:hAnsi="Arial" w:cs="Arial"/>
          <w:iCs/>
          <w:sz w:val="24"/>
          <w:szCs w:val="24"/>
          <w:lang w:val="en-GB"/>
        </w:rPr>
        <w:t>VenR</w:t>
      </w:r>
      <w:proofErr w:type="spellEnd"/>
      <w:r w:rsidRPr="00771BFB">
        <w:rPr>
          <w:rFonts w:ascii="Arial" w:eastAsia="Arial" w:hAnsi="Arial" w:cs="Arial"/>
          <w:iCs/>
          <w:sz w:val="24"/>
          <w:szCs w:val="24"/>
          <w:lang w:val="en-GB"/>
        </w:rPr>
        <w:t xml:space="preserve"> initiation. Patients who had not yet reached this assessment window at data cut-off or discontinued treatment without an evaluable response assessment were considered not evaluable (NE), whereas patients discontinuing treatment because of disease progression were classified as PD. Bone marrow assessment was performed according to clinical practice. MRD status was assessed separately on peripheral blood by multiparametric flow cytometry according to institutional practice and ERIC recommendations [15]. Undetectable MRD (</w:t>
      </w:r>
      <w:proofErr w:type="spellStart"/>
      <w:r w:rsidRPr="00771BFB">
        <w:rPr>
          <w:rFonts w:ascii="Arial" w:eastAsia="Arial" w:hAnsi="Arial" w:cs="Arial"/>
          <w:iCs/>
          <w:sz w:val="24"/>
          <w:szCs w:val="24"/>
          <w:lang w:val="en-GB"/>
        </w:rPr>
        <w:t>uMRD</w:t>
      </w:r>
      <w:proofErr w:type="spellEnd"/>
      <w:r w:rsidRPr="00771BFB">
        <w:rPr>
          <w:rFonts w:ascii="Arial" w:eastAsia="Arial" w:hAnsi="Arial" w:cs="Arial"/>
          <w:iCs/>
          <w:sz w:val="24"/>
          <w:szCs w:val="24"/>
          <w:lang w:val="en-GB"/>
        </w:rPr>
        <w:t>) was defined as fewer than one CLL cell per 10⁴ leukocytes (&lt;10</w:t>
      </w:r>
      <w:r w:rsidRPr="00771BFB">
        <w:rPr>
          <w:rFonts w:ascii="Cambria Math" w:eastAsia="Arial" w:hAnsi="Cambria Math" w:cs="Cambria Math"/>
          <w:iCs/>
          <w:sz w:val="24"/>
          <w:szCs w:val="24"/>
          <w:lang w:val="en-GB"/>
        </w:rPr>
        <w:t>⁻</w:t>
      </w:r>
      <w:r w:rsidRPr="00771BFB">
        <w:rPr>
          <w:rFonts w:ascii="Arial" w:eastAsia="Arial" w:hAnsi="Arial" w:cs="Arial"/>
          <w:iCs/>
          <w:sz w:val="24"/>
          <w:szCs w:val="24"/>
          <w:lang w:val="en-GB"/>
        </w:rPr>
        <w:t>⁴) at the EOT. Patients without available MRD assessment, including those still receiving treatment or those who discontinued therapy before EOT evaluation, were excluded from MRD-specific analyses.</w:t>
      </w:r>
    </w:p>
    <w:p w14:paraId="5EAF1C95"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Clinical evaluation included physical examination, complete blood count, and biochemical assessment performed at scheduled intervals during treatment at 6, 12 and 24 months (EOT).</w:t>
      </w:r>
    </w:p>
    <w:p w14:paraId="7EE867C0"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 xml:space="preserve">Radiological response was assessed by contrast-enhanced computed tomography (CT) of the neck, chest, abdomen, and pelvis at baseline and at EOT, or earlier whenever clinically indicated. </w:t>
      </w:r>
    </w:p>
    <w:p w14:paraId="34E138F8" w14:textId="77777777" w:rsidR="00F32AC9" w:rsidRPr="00771BFB" w:rsidRDefault="00F32AC9" w:rsidP="00F32AC9">
      <w:pPr>
        <w:pBdr>
          <w:top w:val="nil"/>
          <w:left w:val="nil"/>
          <w:bottom w:val="nil"/>
          <w:right w:val="nil"/>
          <w:between w:val="nil"/>
        </w:pBdr>
        <w:spacing w:after="0" w:line="480" w:lineRule="auto"/>
        <w:jc w:val="both"/>
        <w:rPr>
          <w:rFonts w:ascii="Arial" w:eastAsia="Arial" w:hAnsi="Arial" w:cs="Arial"/>
          <w:iCs/>
          <w:sz w:val="24"/>
          <w:szCs w:val="24"/>
          <w:lang w:val="en-GB"/>
        </w:rPr>
      </w:pPr>
    </w:p>
    <w:p w14:paraId="4CE830C7" w14:textId="3F5364A0" w:rsidR="00EB6597" w:rsidRDefault="00F32AC9" w:rsidP="00F32AC9">
      <w:pPr>
        <w:rPr>
          <w:rFonts w:ascii="Arial" w:eastAsia="Arial" w:hAnsi="Arial" w:cs="Arial"/>
          <w:b/>
          <w:bCs/>
          <w:iCs/>
          <w:sz w:val="24"/>
          <w:szCs w:val="24"/>
          <w:lang w:val="en-GB"/>
        </w:rPr>
      </w:pPr>
      <w:r w:rsidRPr="00771BFB">
        <w:rPr>
          <w:rFonts w:ascii="Arial" w:eastAsia="Arial" w:hAnsi="Arial" w:cs="Arial"/>
          <w:b/>
          <w:bCs/>
          <w:iCs/>
          <w:sz w:val="24"/>
          <w:szCs w:val="24"/>
          <w:lang w:val="en-GB"/>
        </w:rPr>
        <w:lastRenderedPageBreak/>
        <w:t>Study endpoints and statistical analysis</w:t>
      </w:r>
    </w:p>
    <w:p w14:paraId="349959F8" w14:textId="77777777" w:rsidR="009933FB" w:rsidRPr="00771BFB" w:rsidRDefault="009933FB" w:rsidP="009933FB">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 xml:space="preserve">The primary endpoint of the study was PFS, defined as the time from </w:t>
      </w:r>
      <w:proofErr w:type="spellStart"/>
      <w:r w:rsidRPr="00771BFB">
        <w:rPr>
          <w:rFonts w:ascii="Arial" w:eastAsia="Arial" w:hAnsi="Arial" w:cs="Arial"/>
          <w:iCs/>
          <w:sz w:val="24"/>
          <w:szCs w:val="24"/>
          <w:lang w:val="en-GB"/>
        </w:rPr>
        <w:t>VenR</w:t>
      </w:r>
      <w:proofErr w:type="spellEnd"/>
      <w:r w:rsidRPr="00771BFB">
        <w:rPr>
          <w:rFonts w:ascii="Arial" w:eastAsia="Arial" w:hAnsi="Arial" w:cs="Arial"/>
          <w:iCs/>
          <w:sz w:val="24"/>
          <w:szCs w:val="24"/>
          <w:lang w:val="en-GB"/>
        </w:rPr>
        <w:t xml:space="preserve"> initiation to disease progression or death from any cause.</w:t>
      </w:r>
    </w:p>
    <w:p w14:paraId="7A1D4466" w14:textId="77777777" w:rsidR="009933FB" w:rsidRPr="00771BFB" w:rsidRDefault="009933FB" w:rsidP="009933FB">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 xml:space="preserve">PFS was compared across predefined subgroups: treatment line (after CIT vs. BTKi), age (&lt;75 vs. ≥75years), cytogenetic/biological risk (del(17p)/TP53 present vs. absent), IGHV mutational status, response status and MRD status. Secondary endpoints included OS, response assessment, EOT MRD status, treatment feasibility and safety as adverse events (AEs) leading to treatment modification. </w:t>
      </w:r>
    </w:p>
    <w:p w14:paraId="4FD5FDEE" w14:textId="77777777" w:rsidR="009933FB" w:rsidRPr="00771BFB" w:rsidRDefault="009933FB" w:rsidP="009933FB">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Treatment feasibility was evaluated by recording venetoclax dose reductions, temporary interruptions, permanent discontinuations, and rituximab dose modifications.</w:t>
      </w:r>
    </w:p>
    <w:p w14:paraId="5F7B7D7C" w14:textId="77777777" w:rsidR="009933FB" w:rsidRPr="00771BFB" w:rsidRDefault="009933FB" w:rsidP="009933FB">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 xml:space="preserve">AEs were retrospectively collected from medical records and graded according to the National Cancer Institute Common Terminology Criteria for Adverse Events (CTCAE), version 5.0 [16]. </w:t>
      </w:r>
      <w:proofErr w:type="gramStart"/>
      <w:r w:rsidRPr="00771BFB">
        <w:rPr>
          <w:rFonts w:ascii="Arial" w:eastAsia="Arial" w:hAnsi="Arial" w:cs="Arial"/>
          <w:iCs/>
          <w:sz w:val="24"/>
          <w:szCs w:val="24"/>
          <w:lang w:val="en-GB"/>
        </w:rPr>
        <w:t>Particular attention</w:t>
      </w:r>
      <w:proofErr w:type="gramEnd"/>
      <w:r w:rsidRPr="00771BFB">
        <w:rPr>
          <w:rFonts w:ascii="Arial" w:eastAsia="Arial" w:hAnsi="Arial" w:cs="Arial"/>
          <w:iCs/>
          <w:sz w:val="24"/>
          <w:szCs w:val="24"/>
          <w:lang w:val="en-GB"/>
        </w:rPr>
        <w:t xml:space="preserve"> was paid to hematologic toxicity, infectious complications, TLS, and adverse events leading to treatment discontinuation. </w:t>
      </w:r>
    </w:p>
    <w:p w14:paraId="1F89D8B6" w14:textId="77777777" w:rsidR="009933FB" w:rsidRPr="00771BFB" w:rsidRDefault="009933FB" w:rsidP="009933FB">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 xml:space="preserve">Continuous variables are reported as median and range or interquartile range (IQR), whereas categorical variables are presented as frequencies and percentages. Comparisons between groups were performed using the Mann–Whitney U test or Student's </w:t>
      </w:r>
      <w:r w:rsidRPr="00771BFB">
        <w:rPr>
          <w:rFonts w:ascii="Arial" w:eastAsia="Arial" w:hAnsi="Arial" w:cs="Arial"/>
          <w:i/>
          <w:iCs/>
          <w:sz w:val="24"/>
          <w:szCs w:val="24"/>
          <w:lang w:val="en-GB"/>
        </w:rPr>
        <w:t>t</w:t>
      </w:r>
      <w:r w:rsidRPr="00771BFB">
        <w:rPr>
          <w:rFonts w:ascii="Arial" w:eastAsia="Arial" w:hAnsi="Arial" w:cs="Arial"/>
          <w:iCs/>
          <w:sz w:val="24"/>
          <w:szCs w:val="24"/>
          <w:lang w:val="en-GB"/>
        </w:rPr>
        <w:t>-test for continuous variables and the Chi-square test or Fisher's exact test for categorical variables, as appropriate.</w:t>
      </w:r>
    </w:p>
    <w:p w14:paraId="064B8FB8" w14:textId="77777777" w:rsidR="009933FB" w:rsidRPr="00771BFB" w:rsidRDefault="009933FB" w:rsidP="009933FB">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 xml:space="preserve">PFS and OS were estimated using the Kaplan–Meier method and compared using the log-rank test. </w:t>
      </w:r>
    </w:p>
    <w:p w14:paraId="1BD531E7" w14:textId="77777777" w:rsidR="009933FB" w:rsidRPr="00771BFB" w:rsidRDefault="009933FB" w:rsidP="009933FB">
      <w:pPr>
        <w:pBdr>
          <w:top w:val="nil"/>
          <w:left w:val="nil"/>
          <w:bottom w:val="nil"/>
          <w:right w:val="nil"/>
          <w:between w:val="nil"/>
        </w:pBdr>
        <w:spacing w:after="0" w:line="480" w:lineRule="auto"/>
        <w:jc w:val="both"/>
        <w:rPr>
          <w:rFonts w:ascii="Arial" w:eastAsia="Arial" w:hAnsi="Arial" w:cs="Arial"/>
          <w:iCs/>
          <w:sz w:val="24"/>
          <w:szCs w:val="24"/>
          <w:lang w:val="en-GB"/>
        </w:rPr>
      </w:pPr>
      <w:r w:rsidRPr="00771BFB">
        <w:rPr>
          <w:rFonts w:ascii="Arial" w:eastAsia="Arial" w:hAnsi="Arial" w:cs="Arial"/>
          <w:iCs/>
          <w:sz w:val="24"/>
          <w:szCs w:val="24"/>
          <w:lang w:val="en-GB"/>
        </w:rPr>
        <w:t xml:space="preserve">Variables associated with PFS were explored using Cox proportional hazards regression analysis. All statistical analyses were performed using R software. A two-sided </w:t>
      </w:r>
      <w:r w:rsidRPr="00771BFB">
        <w:rPr>
          <w:rFonts w:ascii="Arial" w:eastAsia="Arial" w:hAnsi="Arial" w:cs="Arial"/>
          <w:i/>
          <w:iCs/>
          <w:sz w:val="24"/>
          <w:szCs w:val="24"/>
          <w:lang w:val="en-GB"/>
        </w:rPr>
        <w:t>P</w:t>
      </w:r>
      <w:r w:rsidRPr="00771BFB">
        <w:rPr>
          <w:rFonts w:ascii="Arial" w:eastAsia="Arial" w:hAnsi="Arial" w:cs="Arial"/>
          <w:iCs/>
          <w:sz w:val="24"/>
          <w:szCs w:val="24"/>
          <w:lang w:val="en-GB"/>
        </w:rPr>
        <w:t xml:space="preserve"> value &lt;0.05 was considered statistically significant.</w:t>
      </w:r>
    </w:p>
    <w:p w14:paraId="640BD28D" w14:textId="77777777" w:rsidR="009933FB" w:rsidRPr="009933FB" w:rsidRDefault="009933FB" w:rsidP="00F32AC9">
      <w:pPr>
        <w:rPr>
          <w:lang w:val="en-GB"/>
        </w:rPr>
      </w:pPr>
    </w:p>
    <w:sectPr w:rsidR="009933FB" w:rsidRPr="009933F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EF3"/>
    <w:rsid w:val="00322763"/>
    <w:rsid w:val="005D0C08"/>
    <w:rsid w:val="009933FB"/>
    <w:rsid w:val="00A171C8"/>
    <w:rsid w:val="00A46EF3"/>
    <w:rsid w:val="00EB6597"/>
    <w:rsid w:val="00F32A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5FEE7"/>
  <w15:chartTrackingRefBased/>
  <w15:docId w15:val="{FDF6FF12-7BF2-49E8-B41C-608C64A65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2AC9"/>
  </w:style>
  <w:style w:type="paragraph" w:styleId="Titolo1">
    <w:name w:val="heading 1"/>
    <w:basedOn w:val="Normale"/>
    <w:next w:val="Normale"/>
    <w:link w:val="Titolo1Carattere"/>
    <w:uiPriority w:val="9"/>
    <w:qFormat/>
    <w:rsid w:val="00A46E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46E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46EF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46EF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46EF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46EF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46EF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46EF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46EF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46EF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46EF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46EF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46EF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46EF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46EF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46EF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46EF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46EF3"/>
    <w:rPr>
      <w:rFonts w:eastAsiaTheme="majorEastAsia" w:cstheme="majorBidi"/>
      <w:color w:val="272727" w:themeColor="text1" w:themeTint="D8"/>
    </w:rPr>
  </w:style>
  <w:style w:type="paragraph" w:styleId="Titolo">
    <w:name w:val="Title"/>
    <w:basedOn w:val="Normale"/>
    <w:next w:val="Normale"/>
    <w:link w:val="TitoloCarattere"/>
    <w:uiPriority w:val="10"/>
    <w:qFormat/>
    <w:rsid w:val="00A46E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46EF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46EF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46EF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46EF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46EF3"/>
    <w:rPr>
      <w:i/>
      <w:iCs/>
      <w:color w:val="404040" w:themeColor="text1" w:themeTint="BF"/>
    </w:rPr>
  </w:style>
  <w:style w:type="paragraph" w:styleId="Paragrafoelenco">
    <w:name w:val="List Paragraph"/>
    <w:basedOn w:val="Normale"/>
    <w:uiPriority w:val="34"/>
    <w:qFormat/>
    <w:rsid w:val="00A46EF3"/>
    <w:pPr>
      <w:ind w:left="720"/>
      <w:contextualSpacing/>
    </w:pPr>
  </w:style>
  <w:style w:type="character" w:styleId="Enfasiintensa">
    <w:name w:val="Intense Emphasis"/>
    <w:basedOn w:val="Carpredefinitoparagrafo"/>
    <w:uiPriority w:val="21"/>
    <w:qFormat/>
    <w:rsid w:val="00A46EF3"/>
    <w:rPr>
      <w:i/>
      <w:iCs/>
      <w:color w:val="0F4761" w:themeColor="accent1" w:themeShade="BF"/>
    </w:rPr>
  </w:style>
  <w:style w:type="paragraph" w:styleId="Citazioneintensa">
    <w:name w:val="Intense Quote"/>
    <w:basedOn w:val="Normale"/>
    <w:next w:val="Normale"/>
    <w:link w:val="CitazioneintensaCarattere"/>
    <w:uiPriority w:val="30"/>
    <w:qFormat/>
    <w:rsid w:val="00A46E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46EF3"/>
    <w:rPr>
      <w:i/>
      <w:iCs/>
      <w:color w:val="0F4761" w:themeColor="accent1" w:themeShade="BF"/>
    </w:rPr>
  </w:style>
  <w:style w:type="character" w:styleId="Riferimentointenso">
    <w:name w:val="Intense Reference"/>
    <w:basedOn w:val="Carpredefinitoparagrafo"/>
    <w:uiPriority w:val="32"/>
    <w:qFormat/>
    <w:rsid w:val="00A46E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1101</Words>
  <Characters>6282</Characters>
  <Application>Microsoft Office Word</Application>
  <DocSecurity>0</DocSecurity>
  <Lines>52</Lines>
  <Paragraphs>14</Paragraphs>
  <ScaleCrop>false</ScaleCrop>
  <Company/>
  <LinksUpToDate>false</LinksUpToDate>
  <CharactersWithSpaces>7369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GIORDANO</dc:creator>
  <cp:keywords/>
  <dc:description/>
  <cp:lastModifiedBy>CLAUDIA GIORDANO</cp:lastModifiedBy>
  <cp:revision>3</cp:revision>
  <dcterms:created xsi:type="dcterms:W3CDTF">2026-09-08T17:40:00Z</dcterms:created>
  <dcterms:modified xsi:type="dcterms:W3CDTF">2026-09-08T17:42:00Z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2026-09-08T17:41:12Z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1cf8520a-9229-4988-9f50-a17f9ff5dcce</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ies>
</file>