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pPr>
      <w:r>
        <w:rPr>
          <w:rFonts w:ascii="Times New Roman" w:cs="Times New Roman" w:eastAsia="Times New Roman" w:hAnsi="Times New Roman"/>
          <w:b/>
          <w:bCs/>
          <w:sz w:val="26"/>
          <w:szCs w:val="26"/>
        </w:rPr>
        <w:t xml:space="preserve">Additional file 1. CONSORT 2025 checklist</w:t>
      </w:r>
    </w:p>
    <w:p>
      <w:pPr>
        <w:spacing w:after="120" w:line="276"/>
      </w:pPr>
      <w:r>
        <w:rPr>
          <w:rFonts w:ascii="Times New Roman" w:cs="Times New Roman" w:eastAsia="Times New Roman" w:hAnsi="Times New Roman"/>
          <w:sz w:val="22"/>
          <w:szCs w:val="22"/>
        </w:rPr>
        <w:t xml:space="preserve">Immersive virtual reality familiarisation with the operating theatre versus verbal flip-chart education for preoperative anxiety before third molar surgery under general anesthesia: a randomized controlled trial</w:t>
      </w:r>
    </w:p>
    <w:p>
      <w:pPr>
        <w:spacing w:after="120" w:line="276"/>
      </w:pPr>
      <w:r>
        <w:rPr>
          <w:rFonts w:ascii="Times New Roman" w:cs="Times New Roman" w:eastAsia="Times New Roman" w:hAnsi="Times New Roman"/>
          <w:sz w:val="19"/>
          <w:szCs w:val="19"/>
        </w:rPr>
        <w:t xml:space="preserve">Page and line numbers refer to the revised manuscript (clean version). Checklist items reproduced from Hopewell S, et al. CONSORT 2025 statement: updated guideline for reporting randomised trials. BMJ. 2025;389:e081123.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600"/>
        <w:gridCol w:w="4538"/>
        <w:gridCol w:w="2600"/>
      </w:tblGrid>
      <w:tr>
        <w:trPr>
          <w:tblHeader/>
        </w:trPr>
        <w:tc>
          <w:tcPr>
            <w:tcW w:type="dxa" w:w="1900"/>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pPr>
            <w:r>
              <w:rPr>
                <w:rFonts w:ascii="Times New Roman" w:cs="Times New Roman" w:eastAsia="Times New Roman" w:hAnsi="Times New Roman"/>
                <w:b/>
                <w:bCs/>
                <w:sz w:val="19"/>
                <w:szCs w:val="19"/>
              </w:rPr>
              <w:t xml:space="preserve">Section/topic</w:t>
            </w:r>
          </w:p>
        </w:tc>
        <w:tc>
          <w:tcPr>
            <w:tcW w:type="dxa" w:w="600"/>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pPr>
            <w:r>
              <w:rPr>
                <w:rFonts w:ascii="Times New Roman" w:cs="Times New Roman" w:eastAsia="Times New Roman" w:hAnsi="Times New Roman"/>
                <w:b/>
                <w:bCs/>
                <w:sz w:val="19"/>
                <w:szCs w:val="19"/>
              </w:rPr>
              <w:t xml:space="preserve">No.</w:t>
            </w:r>
          </w:p>
        </w:tc>
        <w:tc>
          <w:tcPr>
            <w:tcW w:type="dxa" w:w="4538"/>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pPr>
            <w:r>
              <w:rPr>
                <w:rFonts w:ascii="Times New Roman" w:cs="Times New Roman" w:eastAsia="Times New Roman" w:hAnsi="Times New Roman"/>
                <w:b/>
                <w:bCs/>
                <w:sz w:val="19"/>
                <w:szCs w:val="19"/>
              </w:rPr>
              <w:t xml:space="preserve">CONSORT 2025 checklist item</w:t>
            </w:r>
          </w:p>
        </w:tc>
        <w:tc>
          <w:tcPr>
            <w:tcW w:type="dxa" w:w="2600"/>
            <w:tcBorders>
              <w:top w:val="single" w:color="808080" w:sz="4"/>
              <w:left w:val="single" w:color="808080" w:sz="4"/>
              <w:bottom w:val="single" w:color="808080" w:sz="4"/>
              <w:right w:val="single" w:color="808080" w:sz="4"/>
            </w:tcBorders>
            <w:shd w:fill="D9D9D9" w:color="auto" w:val="clear"/>
            <w:tcMar>
              <w:top w:type="dxa" w:w="60"/>
              <w:left w:type="dxa" w:w="90"/>
              <w:bottom w:type="dxa" w:w="60"/>
              <w:right w:type="dxa" w:w="90"/>
            </w:tcMar>
          </w:tcPr>
          <w:p>
            <w:pPr>
              <w:spacing w:after="40"/>
            </w:pPr>
            <w:r>
              <w:rPr>
                <w:rFonts w:ascii="Times New Roman" w:cs="Times New Roman" w:eastAsia="Times New Roman" w:hAnsi="Times New Roman"/>
                <w:b/>
                <w:bCs/>
                <w:sz w:val="19"/>
                <w:szCs w:val="19"/>
              </w:rPr>
              <w:t xml:space="preserve">Where reported (page, lines)</w:t>
            </w:r>
          </w:p>
        </w:tc>
      </w:tr>
      <w:tr>
        <w:tc>
          <w:tcPr>
            <w:tcW w:type="dxa" w:w="9638"/>
            <w:gridSpan w:val="4"/>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tcPr>
          <w:p>
            <w:pPr>
              <w:spacing w:after="40"/>
            </w:pPr>
            <w:r>
              <w:rPr>
                <w:rFonts w:ascii="Times New Roman" w:cs="Times New Roman" w:eastAsia="Times New Roman" w:hAnsi="Times New Roman"/>
                <w:b/>
                <w:bCs/>
                <w:sz w:val="19"/>
                <w:szCs w:val="19"/>
              </w:rPr>
              <w:t xml:space="preserve">Title and abstract</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1a</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Identification as a randomised trial</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Title, p1 (lines 1–3)</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1b</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Structured summary of the trial design, methods, results, and conclusions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Abstract, pp2–3 (lines 20–50)</w:t>
            </w:r>
          </w:p>
        </w:tc>
      </w:tr>
      <w:tr>
        <w:tc>
          <w:tcPr>
            <w:tcW w:type="dxa" w:w="9638"/>
            <w:gridSpan w:val="4"/>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tcPr>
          <w:p>
            <w:pPr>
              <w:spacing w:after="40"/>
            </w:pPr>
            <w:r>
              <w:rPr>
                <w:rFonts w:ascii="Times New Roman" w:cs="Times New Roman" w:eastAsia="Times New Roman" w:hAnsi="Times New Roman"/>
                <w:b/>
                <w:bCs/>
                <w:sz w:val="19"/>
                <w:szCs w:val="19"/>
              </w:rPr>
              <w:t xml:space="preserve">Open science</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Trial registration</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Name of trial registry, identifying number (with URL) and date of registration</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Abstract, p3 (lines 47–50); Methods – Study design and setting, p6 (lines 106–110)</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Protocol and statistical analysis plan</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3</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Where the trial protocol and statistical analysis plan can be accessed</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Study design and setting, p6 (lines 110–111)</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Data sharing</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4</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Where and how the individual de-identified participant data (including data dictionary), statistical code and any other materials can be accessed</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Declarations – Availability of data and materials, p17 (lines 376–378)</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Funding and conflicts of interest</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5a</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Sources of funding and other support (eg, supply of drugs), and role of funders in the design, conduct, analysis and reporting of the trial</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Declarations – Funding, p17 (lines 382–383); no funding received</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5b</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Financial and other conflicts of interest of the manuscript authors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Declarations – Competing interests, p17 (lines 379–381)</w:t>
            </w:r>
          </w:p>
        </w:tc>
      </w:tr>
      <w:tr>
        <w:tc>
          <w:tcPr>
            <w:tcW w:type="dxa" w:w="9638"/>
            <w:gridSpan w:val="4"/>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tcPr>
          <w:p>
            <w:pPr>
              <w:spacing w:after="40"/>
            </w:pPr>
            <w:r>
              <w:rPr>
                <w:rFonts w:ascii="Times New Roman" w:cs="Times New Roman" w:eastAsia="Times New Roman" w:hAnsi="Times New Roman"/>
                <w:b/>
                <w:bCs/>
                <w:sz w:val="19"/>
                <w:szCs w:val="19"/>
              </w:rPr>
              <w:t xml:space="preserve">Introduction</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Background and rationale</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6</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Scientific background and rationale</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Background, pp4–5 (lines 54–89)</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Objectives</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7</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Specific objectives related to benefits and harms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Background, p5 (lines 90–96); harms: Methods – Adverse events, p10 (lines 205–208)</w:t>
            </w:r>
          </w:p>
        </w:tc>
      </w:tr>
      <w:tr>
        <w:tc>
          <w:tcPr>
            <w:tcW w:type="dxa" w:w="9638"/>
            <w:gridSpan w:val="4"/>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tcPr>
          <w:p>
            <w:pPr>
              <w:spacing w:after="40"/>
            </w:pPr>
            <w:r>
              <w:rPr>
                <w:rFonts w:ascii="Times New Roman" w:cs="Times New Roman" w:eastAsia="Times New Roman" w:hAnsi="Times New Roman"/>
                <w:b/>
                <w:bCs/>
                <w:sz w:val="19"/>
                <w:szCs w:val="19"/>
              </w:rPr>
              <w:t xml:space="preserve">Methods</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Patient and public involvement</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8</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Details of patient or public involvement in the design, conduct and reporting of the trial</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Patient and public involvement, p11 (lines 229–230)</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Trial design</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9</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Description of trial design including type of trial (eg, parallel group, crossover), allocation ratio, and framework (eg, superiority, equivalence, non-inferiority, exploratory)</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Study design and setting, pp5–6 (lines 98–106)</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Changes to trial protocol</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10</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Important changes to the trial after it commenced including any outcomes or analyses that were not prespecified, with reason</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Study design and setting, p6 (lines 111–112); post hoc CIs: Statistical analysis, p11 (lines 227–228)</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Trial setting</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11</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Settings (eg, community, hospital) and locations (eg, countries, sites) where the trial was conducted</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Study design and setting, p5 (lines 98–102)</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Eligibility criteria</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12a</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Eligibility criteria for participants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Participants, p6 (lines 114–127)</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12b</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If applicable, eligibility criteria for sites and for individuals delivering the interventions (eg, surgeons, physiotherapists)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Single centre; interventions delivered by the first author: Methods – Interventions, p7 (lines 145–146)</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Intervention and comparator</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13</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Intervention and comparator with sufficient details to allow replication. If relevant, where additional materials describing the intervention and comparator (eg, intervention manual) can be accessed</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Interventions, pp7–8 (lines 145–171); Additional file 2</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Outcomes</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14</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Outcomes, pp9–10 (lines 173–204); six outcomes prespecified with equal priority (line 174)</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Harms</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15</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How harms were defined and assessed (eg, systematically, non-systematically)</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Adverse events, p10 (lines 205–208)</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Sample size</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16a</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How sample size was determined, including all assumptions supporting the sample size calculation</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Sample size, p7 (lines 128–132)</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16b</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Explanation of any interim analyses and stopping guidelines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Statistical analysis, p11 (lines 225–226); none</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Randomisation: sequence generation</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17a</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Who generated the random allocation sequence and the method used</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Randomization, allocation and blinding, p7 (lines 134–136)</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17b</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Type of randomisation and details of any restriction (eg, stratification, blocking and block size)</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Randomization, allocation and blinding, p7 (line 134); simple randomisation, no restriction</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Allocation concealment mechanism</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18</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Mechanism used to implement the random allocation sequence (eg, central computer/telephone; sequentially numbered, opaque, sealed containers), describing any steps taken to conceal the sequence until interventions were assigned</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Randomization, allocation and blinding, p7 (lines 135–140)</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Implementation</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19</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Whether the personnel who enrolled and those who assigned participants to the interventions had access to the random allocation sequence</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Randomization, allocation and blinding, p7 (lines 135–140)</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Blinding</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20a</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Who was blinded after assignment to interventions (eg, participants, care providers, outcome assessors, data analysts)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Randomization, allocation and blinding, p7 (lines 140–143)</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20b</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If blinded, how blinding was achieved and description of the similarity of interventions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Participants and intervention provider not blinded (p7, lines 140–141); similarity of content and duration: Methods – Interventions, p8 (lines 168–170)</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Statistical methods</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21a</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Statistical methods used to compare groups for primary and secondary outcomes, including harms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Statistical analysis, pp10–11 (lines 210–228)</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21b</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Definition of who is included in each analysis (eg, all randomised participants), and in which group</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Statistical analysis, p10 (lines 220–221)</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21c</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How missing data were handled in the analysis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Statistical analysis, p11 (line 224); no missing data</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21d</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for any additional analyses (eg, subgroup and sensitivity analyses), distinguishing prespecified from post hoc</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Statistical analysis, p11 (lines 225–228)</w:t>
            </w:r>
          </w:p>
        </w:tc>
      </w:tr>
      <w:tr>
        <w:tc>
          <w:tcPr>
            <w:tcW w:type="dxa" w:w="9638"/>
            <w:gridSpan w:val="4"/>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tcPr>
          <w:p>
            <w:pPr>
              <w:spacing w:after="40"/>
            </w:pPr>
            <w:r>
              <w:rPr>
                <w:rFonts w:ascii="Times New Roman" w:cs="Times New Roman" w:eastAsia="Times New Roman" w:hAnsi="Times New Roman"/>
                <w:b/>
                <w:bCs/>
                <w:sz w:val="19"/>
                <w:szCs w:val="19"/>
              </w:rPr>
              <w:t xml:space="preserve">Results</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Participant flow (a diagram is strongly recommended)</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22a</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For each group, the numbers of participants who were randomly assigned, received intended intervention, and were analysed for the primary outcome</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Results – Participant flow, p11 (lines 239–241); Fig. 1</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22b</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For each group, losses and exclusions after randomisation, together with reasons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Results – Participant flow, p11 (lines 240–241); Fig. 1; no losses or exclusions</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Recruitment</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23a</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Dates defining the periods of recruitment and follow-up for outcomes of benefits and harms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Results – Participant flow, p11 (lines 241–242); Methods, p5 (lines 99–100)</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23b</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If relevant, why the trial ended or was stopped</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Not applicable; the trial ended as planned after the target sample size was reached</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Intervention and comparator delivery</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24a</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Intervention and comparator as they were actually administered (eg, where appropriate, who delivered the intervention/comparator, whether participants adhered, whether they were delivered as intended (fidelity))</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Interventions, pp7–8 (lines 145–171); Results – Participant flow, p11 (lines 239–241)</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24b</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Concomitant care received during the trial for each group</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Methods – Interventions, p8 (line 171)</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Baseline data</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25</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A table showing baseline demographic and clinical characteristics for each group</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Results, p12 (lines 243–249); Table 1</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Numbers analysed, outcomes and estimation</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26</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For each primary and secondary outcome, by group: the number of participants included in the analysis; the number of participants with available data at the outcome time point; result for each group, and the estimated effect size and its precision (such as 95% confidence interval); for binary outcomes, presentation of both absolute and relative effect size</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Results, pp12–13 (lines 250–275); Tables 2 and 3; Fig. 2</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Harms</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27</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All harms or unintended events in each group</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Results – Adverse events, p13 (lines 276–277)</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Ancillary analyses</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28</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Any other analyses performed, including subgroup and sensitivity analyses, distinguishing prespecified from post hoc</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None performed: Methods – Statistical analysis, p11 (lines 225–228)</w:t>
            </w:r>
          </w:p>
        </w:tc>
      </w:tr>
      <w:tr>
        <w:tc>
          <w:tcPr>
            <w:tcW w:type="dxa" w:w="9638"/>
            <w:gridSpan w:val="4"/>
            <w:tcBorders>
              <w:top w:val="single" w:color="808080" w:sz="4"/>
              <w:left w:val="single" w:color="808080" w:sz="4"/>
              <w:bottom w:val="single" w:color="808080" w:sz="4"/>
              <w:right w:val="single" w:color="808080" w:sz="4"/>
            </w:tcBorders>
            <w:shd w:fill="F2F2F2" w:color="auto" w:val="clear"/>
            <w:tcMar>
              <w:top w:type="dxa" w:w="60"/>
              <w:left w:type="dxa" w:w="90"/>
              <w:bottom w:type="dxa" w:w="60"/>
              <w:right w:type="dxa" w:w="90"/>
            </w:tcMar>
          </w:tcPr>
          <w:p>
            <w:pPr>
              <w:spacing w:after="40"/>
            </w:pPr>
            <w:r>
              <w:rPr>
                <w:rFonts w:ascii="Times New Roman" w:cs="Times New Roman" w:eastAsia="Times New Roman" w:hAnsi="Times New Roman"/>
                <w:b/>
                <w:bCs/>
                <w:sz w:val="19"/>
                <w:szCs w:val="19"/>
              </w:rPr>
              <w:t xml:space="preserve">Discussion</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Interpretation</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29</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Interpretation consistent with results, balancing benefits and harms, and considering other relevant evidence</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Discussion, pp13–15 (lines 279–331)</w:t>
            </w:r>
          </w:p>
        </w:tc>
      </w:tr>
      <w:tr>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Limitations</w:t>
            </w:r>
          </w:p>
        </w:tc>
        <w:tc>
          <w:tcPr>
            <w:tcW w:type="dxa" w:w="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jc w:val="center"/>
            </w:pPr>
            <w:r>
              <w:rPr>
                <w:rFonts w:ascii="Times New Roman" w:cs="Times New Roman" w:eastAsia="Times New Roman" w:hAnsi="Times New Roman"/>
                <w:sz w:val="19"/>
                <w:szCs w:val="19"/>
              </w:rPr>
              <w:t xml:space="preserve">30</w:t>
            </w:r>
          </w:p>
        </w:tc>
        <w:tc>
          <w:tcPr>
            <w:tcW w:type="dxa" w:w="4538"/>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Trial limitations, addressing sources of potential bias, imprecision, generalisability, and, if relevant, multiplicity of analyses</w:t>
            </w:r>
          </w:p>
        </w:tc>
        <w:tc>
          <w:tcPr>
            <w:tcW w:type="dxa" w:w="2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40"/>
            </w:pPr>
            <w:r>
              <w:rPr>
                <w:rFonts w:ascii="Times New Roman" w:cs="Times New Roman" w:eastAsia="Times New Roman" w:hAnsi="Times New Roman"/>
                <w:sz w:val="19"/>
                <w:szCs w:val="19"/>
              </w:rPr>
              <w:t xml:space="preserve">Discussion – Limitations, pp15–16 (lines 333–347)</w:t>
            </w:r>
          </w:p>
        </w:tc>
      </w:tr>
    </w:tbl>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2026-10-01T11:57:29.370Z</dcterms:created>
  <dcterms:modified xsi:type="dcterms:W3CDTF">2026-10-01T11:57:29.370Z</dcterms:modified>
</cp:coreProperties>
</file>

<file path=docProps/custom.xml><?xml version="1.0" encoding="utf-8"?>
<Properties xmlns="http://schemas.openxmlformats.org/officeDocument/2006/custom-properties" xmlns:vt="http://schemas.openxmlformats.org/officeDocument/2006/docPropsVTypes"/>
</file>