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70C4291" w14:textId="5EC6BFA3" w:rsidR="00847E59" w:rsidRPr="00847E59" w:rsidRDefault="00847E59" w:rsidP="00847E59">
      <w:pPr>
        <w:jc w:val="center"/>
        <w:rPr>
          <w:rFonts w:ascii="Times New Roman" w:eastAsiaTheme="majorEastAsia" w:hAnsi="Times New Roman" w:cs="Times New Roman"/>
          <w:spacing w:val="-10"/>
          <w:kern w:val="28"/>
          <w:sz w:val="36"/>
          <w:szCs w:val="36"/>
        </w:rPr>
      </w:pPr>
      <w:r w:rsidRPr="00847E59">
        <w:rPr>
          <w:rFonts w:ascii="Times New Roman" w:eastAsiaTheme="majorEastAsia" w:hAnsi="Times New Roman" w:cs="Times New Roman"/>
          <w:spacing w:val="-10"/>
          <w:kern w:val="28"/>
          <w:sz w:val="36"/>
          <w:szCs w:val="36"/>
        </w:rPr>
        <w:t>Supporting materials for</w:t>
      </w:r>
    </w:p>
    <w:p w14:paraId="69AB88A1" w14:textId="08B29741" w:rsidR="00847E59" w:rsidRPr="006B7465" w:rsidRDefault="005A09D7" w:rsidP="00847E59">
      <w:pPr>
        <w:rPr>
          <w:rFonts w:ascii="Times New Roman" w:hAnsi="Times New Roman" w:cs="Times New Roman"/>
        </w:rPr>
      </w:pPr>
      <w:r w:rsidRPr="005A09D7">
        <w:rPr>
          <w:rFonts w:ascii="Times New Roman" w:eastAsiaTheme="majorEastAsia" w:hAnsi="Times New Roman" w:cs="Times New Roman"/>
          <w:spacing w:val="-10"/>
          <w:kern w:val="28"/>
          <w:sz w:val="40"/>
          <w:szCs w:val="40"/>
        </w:rPr>
        <w:t>Global optimization workflow with compact graph neural networks for comprehensive transition-state mapping</w:t>
      </w:r>
    </w:p>
    <w:p w14:paraId="74A57AE7" w14:textId="77777777" w:rsidR="00847E59" w:rsidRPr="006B7465" w:rsidRDefault="00847E59" w:rsidP="00847E59">
      <w:pPr>
        <w:rPr>
          <w:rFonts w:ascii="Times New Roman" w:hAnsi="Times New Roman" w:cs="Times New Roman"/>
        </w:rPr>
      </w:pPr>
      <w:proofErr w:type="spellStart"/>
      <w:r w:rsidRPr="006B7465">
        <w:rPr>
          <w:rFonts w:ascii="Times New Roman" w:hAnsi="Times New Roman" w:cs="Times New Roman"/>
        </w:rPr>
        <w:t>Difan</w:t>
      </w:r>
      <w:proofErr w:type="spellEnd"/>
      <w:r w:rsidRPr="006B7465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6B7465">
        <w:rPr>
          <w:rFonts w:ascii="Times New Roman" w:hAnsi="Times New Roman" w:cs="Times New Roman"/>
        </w:rPr>
        <w:t>Zhang,</w:t>
      </w:r>
      <w:r w:rsidRPr="006B7465">
        <w:rPr>
          <w:rFonts w:ascii="Times New Roman" w:hAnsi="Times New Roman" w:cs="Times New Roman"/>
          <w:vertAlign w:val="superscript"/>
        </w:rPr>
        <w:t>a</w:t>
      </w:r>
      <w:proofErr w:type="spellEnd"/>
      <w:proofErr w:type="gramEnd"/>
      <w:r w:rsidRPr="006B7465">
        <w:rPr>
          <w:rFonts w:ascii="Times New Roman" w:hAnsi="Times New Roman" w:cs="Times New Roman"/>
        </w:rPr>
        <w:t xml:space="preserve"> Roger </w:t>
      </w:r>
      <w:proofErr w:type="spellStart"/>
      <w:proofErr w:type="gramStart"/>
      <w:r w:rsidRPr="006B7465">
        <w:rPr>
          <w:rFonts w:ascii="Times New Roman" w:hAnsi="Times New Roman" w:cs="Times New Roman"/>
        </w:rPr>
        <w:t>Rousseau,</w:t>
      </w:r>
      <w:r w:rsidRPr="006B7465">
        <w:rPr>
          <w:rFonts w:ascii="Times New Roman" w:hAnsi="Times New Roman" w:cs="Times New Roman"/>
          <w:vertAlign w:val="superscript"/>
        </w:rPr>
        <w:t>a</w:t>
      </w:r>
      <w:proofErr w:type="spellEnd"/>
      <w:proofErr w:type="gramEnd"/>
      <w:r w:rsidRPr="006B7465">
        <w:rPr>
          <w:rFonts w:ascii="Times New Roman" w:hAnsi="Times New Roman" w:cs="Times New Roman"/>
        </w:rPr>
        <w:t xml:space="preserve"> Vassiliki-Alexandra </w:t>
      </w:r>
      <w:proofErr w:type="spellStart"/>
      <w:proofErr w:type="gramStart"/>
      <w:r w:rsidRPr="006B7465">
        <w:rPr>
          <w:rFonts w:ascii="Times New Roman" w:hAnsi="Times New Roman" w:cs="Times New Roman"/>
        </w:rPr>
        <w:t>Glezakou</w:t>
      </w:r>
      <w:r w:rsidRPr="006B7465">
        <w:rPr>
          <w:rFonts w:ascii="Times New Roman" w:hAnsi="Times New Roman" w:cs="Times New Roman"/>
          <w:vertAlign w:val="superscript"/>
        </w:rPr>
        <w:t>a</w:t>
      </w:r>
      <w:proofErr w:type="spellEnd"/>
      <w:r w:rsidRPr="006B7465">
        <w:rPr>
          <w:rFonts w:ascii="Times New Roman" w:hAnsi="Times New Roman" w:cs="Times New Roman"/>
          <w:vertAlign w:val="superscript"/>
        </w:rPr>
        <w:t>,*</w:t>
      </w:r>
      <w:proofErr w:type="gramEnd"/>
      <w:r w:rsidRPr="006B7465">
        <w:rPr>
          <w:rFonts w:ascii="Times New Roman" w:hAnsi="Times New Roman" w:cs="Times New Roman"/>
        </w:rPr>
        <w:t xml:space="preserve"> </w:t>
      </w:r>
    </w:p>
    <w:p w14:paraId="0B68D7C6" w14:textId="77777777" w:rsidR="00847E59" w:rsidRPr="006B7465" w:rsidRDefault="00847E59" w:rsidP="00847E59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6B7465">
        <w:rPr>
          <w:rFonts w:ascii="Times New Roman" w:hAnsi="Times New Roman" w:cs="Times New Roman"/>
        </w:rPr>
        <w:t>Chemical Sciences Division, Oak Ridge National Laboratory, Oak Ridge, Tennessee 37830, United States</w:t>
      </w:r>
    </w:p>
    <w:p w14:paraId="502A711D" w14:textId="77777777" w:rsidR="00847E59" w:rsidRDefault="00847E59" w:rsidP="00847E59">
      <w:pPr>
        <w:rPr>
          <w:rFonts w:ascii="Times New Roman" w:hAnsi="Times New Roman" w:cs="Times New Roman"/>
        </w:rPr>
      </w:pPr>
      <w:r w:rsidRPr="006B7465">
        <w:rPr>
          <w:rFonts w:ascii="Times New Roman" w:hAnsi="Times New Roman" w:cs="Times New Roman"/>
        </w:rPr>
        <w:t xml:space="preserve">* To whom correspondence should be addressed: </w:t>
      </w:r>
      <w:hyperlink r:id="rId5" w:history="1">
        <w:r w:rsidRPr="006B7465">
          <w:rPr>
            <w:rStyle w:val="Hyperlink"/>
            <w:rFonts w:ascii="Times New Roman" w:hAnsi="Times New Roman" w:cs="Times New Roman"/>
          </w:rPr>
          <w:t>glezakouva@ornl.gov</w:t>
        </w:r>
      </w:hyperlink>
      <w:r w:rsidRPr="006B7465">
        <w:rPr>
          <w:rFonts w:ascii="Times New Roman" w:hAnsi="Times New Roman" w:cs="Times New Roman"/>
        </w:rPr>
        <w:t xml:space="preserve">  (V.-A.G.)</w:t>
      </w:r>
    </w:p>
    <w:p w14:paraId="7B51408E" w14:textId="77777777" w:rsidR="000722A4" w:rsidRDefault="000722A4" w:rsidP="00847E59">
      <w:pPr>
        <w:rPr>
          <w:rFonts w:ascii="Times New Roman" w:hAnsi="Times New Roman" w:cs="Times New Roman"/>
        </w:rPr>
      </w:pPr>
    </w:p>
    <w:p w14:paraId="1B14AF11" w14:textId="77777777" w:rsidR="000722A4" w:rsidRPr="006B7465" w:rsidRDefault="000722A4" w:rsidP="00847E59">
      <w:pPr>
        <w:rPr>
          <w:rFonts w:ascii="Times New Roman" w:hAnsi="Times New Roman" w:cs="Times New Roman"/>
        </w:rPr>
      </w:pPr>
    </w:p>
    <w:p w14:paraId="1CD6588B" w14:textId="77777777" w:rsidR="000A7BB4" w:rsidRDefault="000A7BB4" w:rsidP="00931292">
      <w:pPr>
        <w:jc w:val="center"/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7D37409C" wp14:editId="257120A4">
            <wp:extent cx="5943600" cy="7094464"/>
            <wp:effectExtent l="0" t="0" r="0" b="5080"/>
            <wp:docPr id="77083998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29" r="89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0944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56A406B" w14:textId="4AD6ABBA" w:rsidR="000A7BB4" w:rsidRPr="00C55C93" w:rsidRDefault="000A7BB4" w:rsidP="000A7BB4">
      <w:pPr>
        <w:jc w:val="both"/>
        <w:rPr>
          <w:rFonts w:ascii="Times New Roman" w:hAnsi="Times New Roman" w:cs="Times New Roman"/>
        </w:rPr>
      </w:pPr>
      <w:r w:rsidRPr="000B50F3">
        <w:rPr>
          <w:rFonts w:ascii="Times New Roman" w:hAnsi="Times New Roman" w:cs="Times New Roman"/>
          <w:b/>
          <w:bCs/>
        </w:rPr>
        <w:t>Figure S1</w:t>
      </w:r>
      <w:r w:rsidRPr="006B7465">
        <w:rPr>
          <w:rFonts w:ascii="Times New Roman" w:hAnsi="Times New Roman" w:cs="Times New Roman"/>
        </w:rPr>
        <w:t>. Predictive performance of different graph feature settings and graph neural networks hyperparameters.</w:t>
      </w:r>
    </w:p>
    <w:p w14:paraId="7D50F23E" w14:textId="77777777" w:rsidR="000A7BB4" w:rsidRDefault="000A7BB4" w:rsidP="000A7BB4"/>
    <w:p w14:paraId="7BCBD76C" w14:textId="7026D56B" w:rsidR="00DC3BA4" w:rsidRDefault="00931292" w:rsidP="00931292">
      <w:pPr>
        <w:jc w:val="center"/>
      </w:pPr>
      <w:r>
        <w:rPr>
          <w:noProof/>
        </w:rPr>
        <w:lastRenderedPageBreak/>
        <w:drawing>
          <wp:inline distT="0" distB="0" distL="0" distR="0" wp14:anchorId="2BB2F4DC" wp14:editId="2F543B60">
            <wp:extent cx="5049873" cy="7784327"/>
            <wp:effectExtent l="0" t="0" r="0" b="7620"/>
            <wp:docPr id="1740076841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8004" cy="78122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D1A8A6" w14:textId="4E3EEB99" w:rsidR="000722A4" w:rsidRDefault="000722A4" w:rsidP="000722A4">
      <w:pPr>
        <w:rPr>
          <w:rFonts w:ascii="Times New Roman" w:hAnsi="Times New Roman" w:cs="Times New Roman"/>
        </w:rPr>
      </w:pPr>
      <w:r w:rsidRPr="000B50F3">
        <w:rPr>
          <w:rFonts w:ascii="Times New Roman" w:hAnsi="Times New Roman" w:cs="Times New Roman"/>
          <w:b/>
          <w:bCs/>
        </w:rPr>
        <w:t>Figure S</w:t>
      </w:r>
      <w:r w:rsidR="000A7BB4" w:rsidRPr="000B50F3">
        <w:rPr>
          <w:rFonts w:ascii="Times New Roman" w:hAnsi="Times New Roman" w:cs="Times New Roman"/>
          <w:b/>
          <w:bCs/>
        </w:rPr>
        <w:t>2</w:t>
      </w:r>
      <w:r w:rsidRPr="006B7465">
        <w:rPr>
          <w:rFonts w:ascii="Times New Roman" w:hAnsi="Times New Roman" w:cs="Times New Roman"/>
        </w:rPr>
        <w:t>. Benchmark of MACE force fields against DFT calculations from CP2K.</w:t>
      </w:r>
    </w:p>
    <w:p w14:paraId="11B5BDFA" w14:textId="340BA4AB" w:rsidR="001D5EF0" w:rsidRDefault="001D5EF0" w:rsidP="000722A4">
      <w:pPr>
        <w:rPr>
          <w:rFonts w:ascii="Times New Roman" w:hAnsi="Times New Roman" w:cs="Times New Roman"/>
        </w:rPr>
      </w:pPr>
    </w:p>
    <w:p w14:paraId="3E0A2FB6" w14:textId="2063B6F9" w:rsidR="00BF1452" w:rsidRDefault="00B1305D" w:rsidP="00B1305D">
      <w:pPr>
        <w:jc w:val="center"/>
      </w:pPr>
      <w:r>
        <w:rPr>
          <w:noProof/>
        </w:rPr>
        <w:drawing>
          <wp:inline distT="0" distB="0" distL="0" distR="0" wp14:anchorId="23331220" wp14:editId="72C44CE2">
            <wp:extent cx="3689266" cy="7404100"/>
            <wp:effectExtent l="0" t="0" r="0" b="0"/>
            <wp:docPr id="9540656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112" r="88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8088" cy="74820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CD3C6A4" w14:textId="40427BDE" w:rsidR="00056F99" w:rsidRPr="006B7465" w:rsidRDefault="00056F99" w:rsidP="00056F99">
      <w:pPr>
        <w:jc w:val="both"/>
        <w:rPr>
          <w:rFonts w:ascii="Times New Roman" w:hAnsi="Times New Roman" w:cs="Times New Roman"/>
        </w:rPr>
      </w:pPr>
      <w:r w:rsidRPr="000B50F3">
        <w:rPr>
          <w:rFonts w:ascii="Times New Roman" w:hAnsi="Times New Roman" w:cs="Times New Roman"/>
          <w:b/>
          <w:bCs/>
        </w:rPr>
        <w:t>Figure S</w:t>
      </w:r>
      <w:r w:rsidR="001E11AF" w:rsidRPr="000B50F3">
        <w:rPr>
          <w:rFonts w:ascii="Times New Roman" w:hAnsi="Times New Roman" w:cs="Times New Roman"/>
          <w:b/>
          <w:bCs/>
        </w:rPr>
        <w:t>3</w:t>
      </w:r>
      <w:r w:rsidRPr="006B7465">
        <w:rPr>
          <w:rFonts w:ascii="Times New Roman" w:hAnsi="Times New Roman" w:cs="Times New Roman"/>
        </w:rPr>
        <w:t>. Two-dimensional map of the structures in different states of the propane dehydrogenation reactions on tetrahedral cluster.</w:t>
      </w:r>
    </w:p>
    <w:p w14:paraId="1F21C181" w14:textId="225FB86C" w:rsidR="00056F99" w:rsidRDefault="00AE3E2E" w:rsidP="00056F99"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4D32D2C3" wp14:editId="51BD9C9A">
            <wp:extent cx="5943600" cy="6360160"/>
            <wp:effectExtent l="0" t="0" r="0" b="2540"/>
            <wp:docPr id="60762808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6360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966AE0" w14:textId="6639C814" w:rsidR="005E7A06" w:rsidRPr="006B7465" w:rsidRDefault="005E7A06" w:rsidP="005E7A06">
      <w:pPr>
        <w:jc w:val="both"/>
        <w:rPr>
          <w:rFonts w:ascii="Times New Roman" w:hAnsi="Times New Roman" w:cs="Times New Roman"/>
        </w:rPr>
      </w:pPr>
      <w:r w:rsidRPr="000B50F3">
        <w:rPr>
          <w:rFonts w:ascii="Times New Roman" w:hAnsi="Times New Roman" w:cs="Times New Roman"/>
          <w:b/>
          <w:bCs/>
        </w:rPr>
        <w:t>Figure S</w:t>
      </w:r>
      <w:r w:rsidR="00AE3E2E" w:rsidRPr="000B50F3">
        <w:rPr>
          <w:rFonts w:ascii="Times New Roman" w:hAnsi="Times New Roman" w:cs="Times New Roman"/>
          <w:b/>
          <w:bCs/>
        </w:rPr>
        <w:t>4</w:t>
      </w:r>
      <w:r w:rsidRPr="006B7465">
        <w:rPr>
          <w:rFonts w:ascii="Times New Roman" w:hAnsi="Times New Roman" w:cs="Times New Roman"/>
        </w:rPr>
        <w:t xml:space="preserve">. Two-dimensional map of the structures in different states of </w:t>
      </w:r>
      <w:r w:rsidR="00AE3E2E" w:rsidRPr="006B7465">
        <w:rPr>
          <w:rFonts w:ascii="Times New Roman" w:hAnsi="Times New Roman" w:cs="Times New Roman"/>
        </w:rPr>
        <w:t>propane</w:t>
      </w:r>
      <w:r w:rsidRPr="006B7465">
        <w:rPr>
          <w:rFonts w:ascii="Times New Roman" w:hAnsi="Times New Roman" w:cs="Times New Roman"/>
        </w:rPr>
        <w:t xml:space="preserve"> dehydrogenation reactions on planar cluster.</w:t>
      </w:r>
      <w:r w:rsidR="0062077B">
        <w:rPr>
          <w:rFonts w:ascii="Times New Roman" w:hAnsi="Times New Roman" w:cs="Times New Roman"/>
        </w:rPr>
        <w:t xml:space="preserve"> </w:t>
      </w:r>
      <w:r w:rsidR="0062077B" w:rsidRPr="006B7465">
        <w:rPr>
          <w:rFonts w:ascii="Times New Roman" w:hAnsi="Times New Roman" w:cs="Times New Roman"/>
          <w:color w:val="000000" w:themeColor="text1"/>
        </w:rPr>
        <w:t>C, H, and Pt atoms are shown in gray, white, and orange, respectively</w:t>
      </w:r>
      <w:r w:rsidR="00EC5B92">
        <w:rPr>
          <w:rFonts w:ascii="Times New Roman" w:hAnsi="Times New Roman" w:cs="Times New Roman"/>
          <w:color w:val="000000" w:themeColor="text1"/>
        </w:rPr>
        <w:t>, in the representative structure snapshots on the left side.</w:t>
      </w:r>
    </w:p>
    <w:p w14:paraId="30EB2926" w14:textId="77777777" w:rsidR="005E7A06" w:rsidRDefault="005E7A06" w:rsidP="00056F99"/>
    <w:p w14:paraId="5B2C4FC6" w14:textId="753D8A4D" w:rsidR="00056F99" w:rsidRDefault="007E25E3" w:rsidP="0055474E">
      <w:pPr>
        <w:jc w:val="center"/>
      </w:pPr>
      <w:r>
        <w:rPr>
          <w:noProof/>
        </w:rPr>
        <w:lastRenderedPageBreak/>
        <w:drawing>
          <wp:inline distT="0" distB="0" distL="0" distR="0" wp14:anchorId="36250979" wp14:editId="54EFAF7D">
            <wp:extent cx="4391025" cy="6039485"/>
            <wp:effectExtent l="0" t="0" r="9525" b="0"/>
            <wp:docPr id="83111369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1025" cy="6039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03E4B5" w14:textId="22A3D326" w:rsidR="003236E3" w:rsidRPr="006B7465" w:rsidRDefault="003236E3" w:rsidP="003236E3">
      <w:pPr>
        <w:jc w:val="both"/>
        <w:rPr>
          <w:rFonts w:ascii="Times New Roman" w:hAnsi="Times New Roman" w:cs="Times New Roman"/>
        </w:rPr>
      </w:pPr>
      <w:r w:rsidRPr="000B50F3">
        <w:rPr>
          <w:rFonts w:ascii="Times New Roman" w:hAnsi="Times New Roman" w:cs="Times New Roman"/>
          <w:b/>
          <w:bCs/>
        </w:rPr>
        <w:t>Figure S</w:t>
      </w:r>
      <w:r w:rsidR="00CA7BB1" w:rsidRPr="000B50F3">
        <w:rPr>
          <w:rFonts w:ascii="Times New Roman" w:hAnsi="Times New Roman" w:cs="Times New Roman"/>
          <w:b/>
          <w:bCs/>
        </w:rPr>
        <w:t>5</w:t>
      </w:r>
      <w:r w:rsidRPr="006B7465">
        <w:rPr>
          <w:rFonts w:ascii="Times New Roman" w:hAnsi="Times New Roman" w:cs="Times New Roman"/>
        </w:rPr>
        <w:t>. PCA results for the structures from different states with tetrahedral and planar clusters.</w:t>
      </w:r>
    </w:p>
    <w:p w14:paraId="08889772" w14:textId="77777777" w:rsidR="00056F99" w:rsidRDefault="00056F99" w:rsidP="00056F99"/>
    <w:p w14:paraId="2090126F" w14:textId="53114573" w:rsidR="003236E3" w:rsidRDefault="00375174" w:rsidP="00056F99">
      <w:r>
        <w:rPr>
          <w:noProof/>
        </w:rPr>
        <w:lastRenderedPageBreak/>
        <w:drawing>
          <wp:inline distT="0" distB="0" distL="0" distR="0" wp14:anchorId="5B6F93A6" wp14:editId="5CA08669">
            <wp:extent cx="5941060" cy="5941060"/>
            <wp:effectExtent l="0" t="0" r="2540" b="2540"/>
            <wp:docPr id="114019128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1060" cy="5941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054FF2" w14:textId="78ECC369" w:rsidR="00096187" w:rsidRDefault="00E132CB" w:rsidP="00E132CB">
      <w:pPr>
        <w:jc w:val="both"/>
        <w:rPr>
          <w:rFonts w:ascii="Times New Roman" w:hAnsi="Times New Roman" w:cs="Times New Roman"/>
        </w:rPr>
      </w:pPr>
      <w:r w:rsidRPr="004E2084">
        <w:rPr>
          <w:rFonts w:ascii="Times New Roman" w:hAnsi="Times New Roman" w:cs="Times New Roman"/>
          <w:b/>
          <w:bCs/>
        </w:rPr>
        <w:t>Figure S</w:t>
      </w:r>
      <w:r w:rsidR="003C2272" w:rsidRPr="004E2084">
        <w:rPr>
          <w:rFonts w:ascii="Times New Roman" w:hAnsi="Times New Roman" w:cs="Times New Roman"/>
          <w:b/>
          <w:bCs/>
        </w:rPr>
        <w:t>6</w:t>
      </w:r>
      <w:r w:rsidRPr="006B7465">
        <w:rPr>
          <w:rFonts w:ascii="Times New Roman" w:hAnsi="Times New Roman" w:cs="Times New Roman"/>
        </w:rPr>
        <w:t xml:space="preserve">. The identified reaction transition states and their energy landscapes </w:t>
      </w:r>
      <w:r w:rsidR="00473359">
        <w:rPr>
          <w:rFonts w:ascii="Times New Roman" w:hAnsi="Times New Roman" w:cs="Times New Roman"/>
        </w:rPr>
        <w:t>on</w:t>
      </w:r>
      <w:r w:rsidRPr="006B7465">
        <w:rPr>
          <w:rFonts w:ascii="Times New Roman" w:hAnsi="Times New Roman" w:cs="Times New Roman"/>
        </w:rPr>
        <w:t xml:space="preserve"> tetrahedral and planar clusters</w:t>
      </w:r>
      <w:r w:rsidR="00A34867">
        <w:rPr>
          <w:rFonts w:ascii="Times New Roman" w:hAnsi="Times New Roman" w:cs="Times New Roman"/>
        </w:rPr>
        <w:t xml:space="preserve"> during (a) inter-state conversion and (b) intra-state transformation. (c)</w:t>
      </w:r>
      <w:r w:rsidR="00733AE4">
        <w:rPr>
          <w:rFonts w:ascii="Times New Roman" w:hAnsi="Times New Roman" w:cs="Times New Roman"/>
        </w:rPr>
        <w:t xml:space="preserve"> </w:t>
      </w:r>
      <w:r w:rsidR="00733AE4" w:rsidRPr="006B7465">
        <w:rPr>
          <w:rFonts w:ascii="Times New Roman" w:hAnsi="Times New Roman" w:cs="Times New Roman"/>
        </w:rPr>
        <w:t>The</w:t>
      </w:r>
      <w:r w:rsidR="00733AE4">
        <w:rPr>
          <w:rFonts w:ascii="Times New Roman" w:hAnsi="Times New Roman" w:cs="Times New Roman"/>
        </w:rPr>
        <w:t xml:space="preserve"> fully connected reaction pathways obtained from</w:t>
      </w:r>
      <w:r w:rsidR="00733AE4" w:rsidRPr="006B7465">
        <w:rPr>
          <w:rFonts w:ascii="Times New Roman" w:hAnsi="Times New Roman" w:cs="Times New Roman"/>
        </w:rPr>
        <w:t xml:space="preserve"> </w:t>
      </w:r>
      <w:r w:rsidR="00733AE4">
        <w:rPr>
          <w:rFonts w:ascii="Times New Roman" w:hAnsi="Times New Roman" w:cs="Times New Roman"/>
        </w:rPr>
        <w:t xml:space="preserve">connected segments in (a) </w:t>
      </w:r>
      <w:r w:rsidR="00B44C6A">
        <w:rPr>
          <w:rFonts w:ascii="Times New Roman" w:hAnsi="Times New Roman" w:cs="Times New Roman"/>
        </w:rPr>
        <w:t>and</w:t>
      </w:r>
      <w:r w:rsidR="00733AE4">
        <w:rPr>
          <w:rFonts w:ascii="Times New Roman" w:hAnsi="Times New Roman" w:cs="Times New Roman"/>
        </w:rPr>
        <w:t xml:space="preserve"> (b) </w:t>
      </w:r>
      <w:r w:rsidR="00B44C6A">
        <w:rPr>
          <w:rFonts w:ascii="Times New Roman" w:hAnsi="Times New Roman" w:cs="Times New Roman"/>
        </w:rPr>
        <w:t>for</w:t>
      </w:r>
      <w:r w:rsidR="00733AE4" w:rsidRPr="006B7465">
        <w:rPr>
          <w:rFonts w:ascii="Times New Roman" w:hAnsi="Times New Roman" w:cs="Times New Roman"/>
        </w:rPr>
        <w:t xml:space="preserve"> tetrahedral and planar clusters</w:t>
      </w:r>
      <w:r w:rsidR="00733AE4">
        <w:rPr>
          <w:rFonts w:ascii="Times New Roman" w:hAnsi="Times New Roman" w:cs="Times New Roman"/>
        </w:rPr>
        <w:t>, respectively</w:t>
      </w:r>
      <w:r w:rsidR="00733AE4" w:rsidRPr="006B7465">
        <w:rPr>
          <w:rFonts w:ascii="Times New Roman" w:hAnsi="Times New Roman" w:cs="Times New Roman"/>
        </w:rPr>
        <w:t>.</w:t>
      </w:r>
    </w:p>
    <w:p w14:paraId="3BCC6F29" w14:textId="77777777" w:rsidR="00E132CB" w:rsidRDefault="00E132CB" w:rsidP="00056F99"/>
    <w:sectPr w:rsidR="00E132C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no Pro">
    <w:altName w:val="Times New Roman"/>
    <w:panose1 w:val="020B0604020202020204"/>
    <w:charset w:val="00"/>
    <w:family w:val="roman"/>
    <w:notTrueType/>
    <w:pitch w:val="variable"/>
    <w:sig w:usb0="60000287" w:usb1="00000001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1D2682D"/>
    <w:multiLevelType w:val="hybridMultilevel"/>
    <w:tmpl w:val="6C768B58"/>
    <w:lvl w:ilvl="0" w:tplc="51D82DC8">
      <w:start w:val="1"/>
      <w:numFmt w:val="lowerLetter"/>
      <w:pStyle w:val="BIEmailAddress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14199706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19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60CB"/>
    <w:rsid w:val="000200BB"/>
    <w:rsid w:val="00056F99"/>
    <w:rsid w:val="000722A4"/>
    <w:rsid w:val="00075C22"/>
    <w:rsid w:val="00096187"/>
    <w:rsid w:val="000A4008"/>
    <w:rsid w:val="000A7BB4"/>
    <w:rsid w:val="000B50F3"/>
    <w:rsid w:val="001338D3"/>
    <w:rsid w:val="001360CB"/>
    <w:rsid w:val="001B7964"/>
    <w:rsid w:val="001D5EF0"/>
    <w:rsid w:val="001E11AF"/>
    <w:rsid w:val="001F0972"/>
    <w:rsid w:val="00207231"/>
    <w:rsid w:val="0023731A"/>
    <w:rsid w:val="0025356E"/>
    <w:rsid w:val="00257E87"/>
    <w:rsid w:val="002B5C0D"/>
    <w:rsid w:val="002C77DF"/>
    <w:rsid w:val="002E1439"/>
    <w:rsid w:val="002E5109"/>
    <w:rsid w:val="002F42BB"/>
    <w:rsid w:val="003236E3"/>
    <w:rsid w:val="003273E1"/>
    <w:rsid w:val="00331F9C"/>
    <w:rsid w:val="00375174"/>
    <w:rsid w:val="003C2272"/>
    <w:rsid w:val="003E3F4C"/>
    <w:rsid w:val="003F32D5"/>
    <w:rsid w:val="003F371E"/>
    <w:rsid w:val="00473359"/>
    <w:rsid w:val="00485718"/>
    <w:rsid w:val="004937CC"/>
    <w:rsid w:val="004A672E"/>
    <w:rsid w:val="004C14A4"/>
    <w:rsid w:val="004D7D11"/>
    <w:rsid w:val="004E2084"/>
    <w:rsid w:val="0055474E"/>
    <w:rsid w:val="00573FD9"/>
    <w:rsid w:val="0058297A"/>
    <w:rsid w:val="005A09D7"/>
    <w:rsid w:val="005E7A06"/>
    <w:rsid w:val="0062077B"/>
    <w:rsid w:val="00651942"/>
    <w:rsid w:val="006C4DF7"/>
    <w:rsid w:val="007119DB"/>
    <w:rsid w:val="00733AE4"/>
    <w:rsid w:val="007D7A81"/>
    <w:rsid w:val="007E25E3"/>
    <w:rsid w:val="007F6DB7"/>
    <w:rsid w:val="0080012A"/>
    <w:rsid w:val="008019A0"/>
    <w:rsid w:val="00815029"/>
    <w:rsid w:val="00847E59"/>
    <w:rsid w:val="008B0A48"/>
    <w:rsid w:val="00931292"/>
    <w:rsid w:val="00965335"/>
    <w:rsid w:val="00980DE8"/>
    <w:rsid w:val="009B3C7B"/>
    <w:rsid w:val="009B7561"/>
    <w:rsid w:val="009E4796"/>
    <w:rsid w:val="009F0138"/>
    <w:rsid w:val="00A061F0"/>
    <w:rsid w:val="00A34867"/>
    <w:rsid w:val="00A66763"/>
    <w:rsid w:val="00A7357C"/>
    <w:rsid w:val="00AC2515"/>
    <w:rsid w:val="00AD642D"/>
    <w:rsid w:val="00AD795D"/>
    <w:rsid w:val="00AE3E2E"/>
    <w:rsid w:val="00B1305D"/>
    <w:rsid w:val="00B21AE7"/>
    <w:rsid w:val="00B44C6A"/>
    <w:rsid w:val="00B7160E"/>
    <w:rsid w:val="00B96354"/>
    <w:rsid w:val="00BA4C96"/>
    <w:rsid w:val="00BB5A98"/>
    <w:rsid w:val="00BC15E8"/>
    <w:rsid w:val="00BF1452"/>
    <w:rsid w:val="00C205E3"/>
    <w:rsid w:val="00C42821"/>
    <w:rsid w:val="00C55C93"/>
    <w:rsid w:val="00CA7BB1"/>
    <w:rsid w:val="00D51274"/>
    <w:rsid w:val="00DC3BA4"/>
    <w:rsid w:val="00E00B73"/>
    <w:rsid w:val="00E0664F"/>
    <w:rsid w:val="00E132CB"/>
    <w:rsid w:val="00E66D6F"/>
    <w:rsid w:val="00E86DD2"/>
    <w:rsid w:val="00EC5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DE0728"/>
  <w15:chartTrackingRefBased/>
  <w15:docId w15:val="{32FBBF65-0D53-49BA-8357-884374DE1D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7E59"/>
    <w:rPr>
      <w:rFonts w:eastAsiaTheme="minorHAnsi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1360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360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360C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360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360C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360C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360C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360C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360C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360C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360C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360C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360C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360C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360C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360C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360C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360C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360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360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360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360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360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360C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360C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360C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60C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60C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360CB"/>
    <w:rPr>
      <w:b/>
      <w:bCs/>
      <w:smallCaps/>
      <w:color w:val="0F4761" w:themeColor="accent1" w:themeShade="BF"/>
      <w:spacing w:val="5"/>
    </w:rPr>
  </w:style>
  <w:style w:type="paragraph" w:customStyle="1" w:styleId="BIEmailAddress">
    <w:name w:val="BI_Email_Address"/>
    <w:basedOn w:val="Normal"/>
    <w:next w:val="Normal"/>
    <w:autoRedefine/>
    <w:rsid w:val="00847E59"/>
    <w:pPr>
      <w:numPr>
        <w:numId w:val="1"/>
      </w:numPr>
      <w:spacing w:after="100"/>
      <w:jc w:val="both"/>
    </w:pPr>
    <w:rPr>
      <w:rFonts w:ascii="Arno Pro" w:hAnsi="Arno Pro"/>
      <w:color w:val="000000" w:themeColor="text1"/>
    </w:rPr>
  </w:style>
  <w:style w:type="character" w:styleId="Hyperlink">
    <w:name w:val="Hyperlink"/>
    <w:basedOn w:val="DefaultParagraphFont"/>
    <w:uiPriority w:val="99"/>
    <w:unhideWhenUsed/>
    <w:rsid w:val="00847E59"/>
    <w:rPr>
      <w:color w:val="467886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E66D6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66D6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66D6F"/>
    <w:rPr>
      <w:rFonts w:eastAsiaTheme="minorHAnsi"/>
      <w:sz w:val="20"/>
      <w:szCs w:val="20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66D6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66D6F"/>
    <w:rPr>
      <w:rFonts w:eastAsiaTheme="minorHAnsi"/>
      <w:b/>
      <w:bCs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hyperlink" Target="mailto:glezakouva@ornl.gov" TargetMode="External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db3dbd43-4c4b-4544-9f8a-0553f9f5f25e}" enabled="0" method="" siteId="{db3dbd43-4c4b-4544-9f8a-0553f9f5f25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215</Words>
  <Characters>1230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Zhang, Difan</dc:creator>
  <cp:keywords/>
  <dc:description/>
  <cp:lastModifiedBy>Glezakou, Vanda</cp:lastModifiedBy>
  <cp:revision>2</cp:revision>
  <dcterms:created xsi:type="dcterms:W3CDTF">2026-09-26T13:50:00Z</dcterms:created>
  <dcterms:modified xsi:type="dcterms:W3CDTF">2026-09-26T13:50:00Z</dcterms:modified>
</cp:coreProperties>
</file>