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C15EB9" w14:textId="77777777" w:rsidR="005215C4" w:rsidRPr="00F43F27" w:rsidRDefault="00000000" w:rsidP="00F43F27">
      <w:pPr>
        <w:jc w:val="both"/>
        <w:rPr>
          <w:rFonts w:asciiTheme="majorBidi" w:hAnsiTheme="majorBidi" w:cstheme="majorBidi"/>
        </w:rPr>
      </w:pPr>
      <w:r>
        <w:rPr>
          <w:rFonts w:asciiTheme="majorBidi" w:hAnsiTheme="majorBidi" w:cstheme="majorBidi"/>
          <w:b/>
          <w:sz w:val="28"/>
        </w:rPr>
        <w:t xml:space="preserve">Online Resource 1</w:t>
      </w:r>
    </w:p>
    <w:p w14:paraId="085B8F04" w14:textId="77777777" w:rsidR="005215C4" w:rsidRPr="00F43F27" w:rsidRDefault="00000000" w:rsidP="00F43F27">
      <w:pPr>
        <w:jc w:val="both"/>
        <w:rPr>
          <w:rFonts w:asciiTheme="majorBidi" w:hAnsiTheme="majorBidi" w:cstheme="majorBidi"/>
        </w:rPr>
      </w:pPr>
      <w:r>
        <w:rPr>
          <w:rFonts w:asciiTheme="majorBidi" w:hAnsiTheme="majorBidi" w:cstheme="majorBidi"/>
          <w:b/>
          <w:sz w:val="22"/>
        </w:rPr>
        <w:t xml:space="preserve">Preoperative Machine-Learning Models for Predicting Postoperative Morbidity after Anterior Clinoidal Meningioma Surgery: Development and External Validation</w:t>
      </w:r>
    </w:p>
    <w:p w14:paraId="3B8A5296" w14:textId="77777777" w:rsidR="005215C4" w:rsidRPr="00F43F27" w:rsidRDefault="00000000" w:rsidP="00F43F27">
      <w:pPr>
        <w:jc w:val="both"/>
        <w:rPr>
          <w:rFonts w:asciiTheme="majorBidi" w:hAnsiTheme="majorBidi" w:cstheme="majorBidi"/>
        </w:rPr>
      </w:pPr>
      <w:r>
        <w:rPr>
          <w:rFonts w:asciiTheme="majorBidi" w:hAnsiTheme="majorBidi" w:cstheme="majorBidi"/>
          <w:i/>
        </w:rPr>
        <w:t xml:space="preserve">Journal of Neuro-Oncology</w:t>
      </w:r>
    </w:p>
    <w:p w14:paraId="40E9465C" w14:textId="77777777" w:rsidR="003F75D4" w:rsidRPr="00F43F27" w:rsidRDefault="003F75D4" w:rsidP="00F43F27">
      <w:pPr>
        <w:pBdr>
          <w:top w:val="nil"/>
          <w:left w:val="nil"/>
          <w:bottom w:val="nil"/>
          <w:right w:val="nil"/>
          <w:between w:val="nil"/>
        </w:pBdr>
        <w:spacing w:line="240" w:lineRule="auto"/>
        <w:jc w:val="both"/>
        <w:rPr>
          <w:rFonts w:asciiTheme="majorBidi" w:eastAsia="Palatino Linotype" w:hAnsiTheme="majorBidi" w:cstheme="majorBidi"/>
          <w:color w:val="000000"/>
          <w:szCs w:val="20"/>
          <w:lang w:val="it-IT"/>
        </w:rPr>
      </w:pP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Noa Ben Dor, MD; </w:t>
      </w: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Gal Ziv, BA; </w:t>
      </w: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Filippo Friso, MD; </w:t>
      </w: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Carlo Bortolotti, MD; </w:t>
      </w:r>
      <w:r>
        <w:rPr>
          <w:rFonts w:asciiTheme="majorBidi" w:eastAsia="Palatino Linotype" w:hAnsiTheme="majorBidi" w:cstheme="majorBidi"/>
          <w:color w:val="000000"/>
          <w:szCs w:val="20"/>
          <w:vertAlign w:val="superscript"/>
          <w:lang w:val="it-IT"/>
        </w:rPr>
        <w:t xml:space="preserve">1,2</w:t>
      </w:r>
      <w:r>
        <w:rPr>
          <w:rFonts w:asciiTheme="majorBidi" w:eastAsia="Palatino Linotype" w:hAnsiTheme="majorBidi" w:cstheme="majorBidi"/>
          <w:color w:val="000000"/>
          <w:szCs w:val="20"/>
          <w:lang w:val="it-IT"/>
        </w:rPr>
        <w:t xml:space="preserve">Diego Mazzatenta, MD, PhD; </w:t>
      </w:r>
      <w:r>
        <w:rPr>
          <w:rFonts w:asciiTheme="majorBidi" w:eastAsia="Palatino Linotype" w:hAnsiTheme="majorBidi" w:cstheme="majorBidi"/>
          <w:color w:val="000000"/>
          <w:szCs w:val="20"/>
          <w:vertAlign w:val="superscript"/>
          <w:lang w:val="it-IT"/>
        </w:rPr>
        <w:t xml:space="preserve">1,2</w:t>
      </w:r>
      <w:r>
        <w:rPr>
          <w:rFonts w:asciiTheme="majorBidi" w:eastAsia="Palatino Linotype" w:hAnsiTheme="majorBidi" w:cstheme="majorBidi"/>
          <w:color w:val="000000"/>
          <w:szCs w:val="20"/>
          <w:lang w:val="it-IT"/>
        </w:rPr>
        <w:t xml:space="preserve">Matteo Zoli, MD, PhD; </w:t>
      </w: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Matteo Martinoni, MD; </w:t>
      </w: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Filippo Badaloni, MD; </w:t>
      </w: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Giulia Casulli, MD; </w:t>
      </w: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Vittoria Rosetti, MD; </w:t>
      </w:r>
      <w:r>
        <w:rPr>
          <w:rFonts w:asciiTheme="majorBidi" w:eastAsia="Palatino Linotype" w:hAnsiTheme="majorBidi" w:cstheme="majorBidi"/>
          <w:color w:val="000000"/>
          <w:szCs w:val="20"/>
          <w:vertAlign w:val="superscript"/>
          <w:lang w:val="it-IT"/>
        </w:rPr>
        <w:t xml:space="preserve">1</w:t>
      </w:r>
      <w:r>
        <w:rPr>
          <w:rFonts w:asciiTheme="majorBidi" w:eastAsia="Palatino Linotype" w:hAnsiTheme="majorBidi" w:cstheme="majorBidi"/>
          <w:color w:val="000000"/>
          <w:szCs w:val="20"/>
          <w:lang w:val="it-IT"/>
        </w:rPr>
        <w:t xml:space="preserve">Luca Zanuttini, MD; </w:t>
      </w:r>
      <w:r>
        <w:rPr>
          <w:rFonts w:asciiTheme="majorBidi" w:eastAsia="Palatino Linotype" w:hAnsiTheme="majorBidi" w:cstheme="majorBidi"/>
          <w:color w:val="000000"/>
          <w:szCs w:val="20"/>
          <w:vertAlign w:val="superscript"/>
          <w:lang w:val="it-IT"/>
        </w:rPr>
        <w:t xml:space="preserve">2</w:t>
      </w:r>
      <w:r>
        <w:rPr>
          <w:rFonts w:asciiTheme="majorBidi" w:eastAsia="Palatino Linotype" w:hAnsiTheme="majorBidi" w:cstheme="majorBidi"/>
          <w:color w:val="000000"/>
          <w:szCs w:val="20"/>
          <w:lang w:val="it-IT"/>
        </w:rPr>
        <w:t xml:space="preserve">Lorenzo Faccin, MD; </w:t>
      </w:r>
      <w:r>
        <w:rPr>
          <w:rFonts w:asciiTheme="majorBidi" w:eastAsia="Palatino Linotype" w:hAnsiTheme="majorBidi" w:cstheme="majorBidi"/>
          <w:color w:val="000000"/>
          <w:szCs w:val="20"/>
          <w:vertAlign w:val="superscript"/>
          <w:lang w:val="it-IT"/>
        </w:rPr>
        <w:t xml:space="preserve">3</w:t>
      </w:r>
      <w:r>
        <w:rPr>
          <w:rFonts w:asciiTheme="majorBidi" w:eastAsia="Palatino Linotype" w:hAnsiTheme="majorBidi" w:cstheme="majorBidi"/>
          <w:color w:val="000000"/>
          <w:szCs w:val="20"/>
          <w:lang w:val="it-IT"/>
        </w:rPr>
        <w:t xml:space="preserve">Francesco Travaglini, MD; </w:t>
      </w:r>
      <w:r>
        <w:rPr>
          <w:rFonts w:asciiTheme="majorBidi" w:eastAsia="Palatino Linotype" w:hAnsiTheme="majorBidi" w:cstheme="majorBidi"/>
          <w:color w:val="000000"/>
          <w:szCs w:val="20"/>
          <w:vertAlign w:val="superscript"/>
          <w:lang w:val="it-IT"/>
        </w:rPr>
        <w:t xml:space="preserve">3</w:t>
      </w:r>
      <w:r>
        <w:rPr>
          <w:rFonts w:asciiTheme="majorBidi" w:eastAsia="Palatino Linotype" w:hAnsiTheme="majorBidi" w:cstheme="majorBidi"/>
          <w:color w:val="000000"/>
          <w:szCs w:val="20"/>
          <w:lang w:val="it-IT"/>
        </w:rPr>
        <w:t xml:space="preserve">Luigino Tosatto, MD; </w:t>
      </w:r>
      <w:r>
        <w:rPr>
          <w:rFonts w:asciiTheme="majorBidi" w:eastAsia="Palatino Linotype" w:hAnsiTheme="majorBidi" w:cstheme="majorBidi"/>
          <w:color w:val="000000"/>
          <w:szCs w:val="20"/>
          <w:vertAlign w:val="superscript"/>
          <w:lang w:val="it-IT"/>
        </w:rPr>
        <w:t xml:space="preserve">4</w:t>
      </w:r>
      <w:r>
        <w:rPr>
          <w:rFonts w:asciiTheme="majorBidi" w:eastAsia="Palatino Linotype" w:hAnsiTheme="majorBidi" w:cstheme="majorBidi"/>
          <w:color w:val="000000"/>
          <w:szCs w:val="20"/>
          <w:lang w:val="it-IT"/>
        </w:rPr>
        <w:t xml:space="preserve">He-ming Wu, MD; </w:t>
      </w:r>
      <w:r>
        <w:rPr>
          <w:rFonts w:asciiTheme="majorBidi" w:eastAsia="Palatino Linotype" w:hAnsiTheme="majorBidi" w:cstheme="majorBidi"/>
          <w:color w:val="000000"/>
          <w:szCs w:val="20"/>
          <w:vertAlign w:val="superscript"/>
          <w:lang w:val="it-IT"/>
        </w:rPr>
        <w:t xml:space="preserve">5</w:t>
      </w:r>
      <w:r>
        <w:rPr>
          <w:rFonts w:asciiTheme="majorBidi" w:eastAsia="Palatino Linotype" w:hAnsiTheme="majorBidi" w:cstheme="majorBidi"/>
          <w:color w:val="000000"/>
          <w:szCs w:val="20"/>
          <w:lang w:val="it-IT"/>
        </w:rPr>
        <w:t xml:space="preserve">Catherine Elizabeth Gilkes, MD; </w:t>
      </w:r>
      <w:r>
        <w:rPr>
          <w:rFonts w:asciiTheme="majorBidi" w:eastAsia="Palatino Linotype" w:hAnsiTheme="majorBidi" w:cstheme="majorBidi"/>
          <w:color w:val="000000"/>
          <w:szCs w:val="20"/>
          <w:vertAlign w:val="superscript"/>
          <w:lang w:val="it-IT"/>
        </w:rPr>
        <w:t xml:space="preserve">5</w:t>
      </w:r>
      <w:r>
        <w:rPr>
          <w:rFonts w:asciiTheme="majorBidi" w:eastAsia="Palatino Linotype" w:hAnsiTheme="majorBidi" w:cstheme="majorBidi"/>
          <w:color w:val="000000"/>
          <w:szCs w:val="20"/>
          <w:lang w:val="it-IT"/>
        </w:rPr>
        <w:t xml:space="preserve">Cathal John Hannan, PhD; </w:t>
      </w:r>
      <w:r>
        <w:rPr>
          <w:rFonts w:asciiTheme="majorBidi" w:eastAsia="Palatino Linotype" w:hAnsiTheme="majorBidi" w:cstheme="majorBidi"/>
          <w:color w:val="000000"/>
          <w:szCs w:val="20"/>
          <w:vertAlign w:val="superscript"/>
          <w:lang w:val="it-IT"/>
        </w:rPr>
        <w:t xml:space="preserve">5,6</w:t>
      </w:r>
      <w:r>
        <w:rPr>
          <w:rFonts w:asciiTheme="majorBidi" w:eastAsia="Palatino Linotype" w:hAnsiTheme="majorBidi" w:cstheme="majorBidi"/>
          <w:color w:val="000000"/>
          <w:szCs w:val="20"/>
          <w:lang w:val="it-IT"/>
        </w:rPr>
        <w:t xml:space="preserve">Michael D. Jenkinson, MD, PhD; </w:t>
      </w:r>
      <w:r>
        <w:rPr>
          <w:rFonts w:asciiTheme="majorBidi" w:eastAsia="Palatino Linotype" w:hAnsiTheme="majorBidi" w:cstheme="majorBidi"/>
          <w:color w:val="000000"/>
          <w:szCs w:val="20"/>
          <w:vertAlign w:val="superscript"/>
          <w:lang w:val="it-IT"/>
        </w:rPr>
        <w:t xml:space="preserve">3</w:t>
      </w:r>
      <w:r>
        <w:rPr>
          <w:rFonts w:asciiTheme="majorBidi" w:eastAsia="Palatino Linotype" w:hAnsiTheme="majorBidi" w:cstheme="majorBidi"/>
          <w:color w:val="000000"/>
          <w:szCs w:val="20"/>
          <w:lang w:val="it-IT"/>
        </w:rPr>
        <w:t xml:space="preserve">Marcello D'Andrea, MD; </w:t>
      </w:r>
      <w:r>
        <w:rPr>
          <w:rFonts w:asciiTheme="majorBidi" w:eastAsia="Palatino Linotype" w:hAnsiTheme="majorBidi" w:cstheme="majorBidi"/>
          <w:color w:val="000000"/>
          <w:szCs w:val="20"/>
          <w:vertAlign w:val="superscript"/>
          <w:lang w:val="it-IT"/>
        </w:rPr>
        <w:t xml:space="preserve">1,2</w:t>
      </w:r>
      <w:r>
        <w:rPr>
          <w:rFonts w:asciiTheme="majorBidi" w:eastAsia="Palatino Linotype" w:hAnsiTheme="majorBidi" w:cstheme="majorBidi"/>
          <w:color w:val="000000"/>
          <w:szCs w:val="20"/>
          <w:lang w:val="it-IT"/>
        </w:rPr>
        <w:t xml:space="preserve">Alfredo Conti, MD, PhD.</w:t>
      </w:r>
    </w:p>
    <w:p w14:paraId="503D0965"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color w:val="000000"/>
          <w:szCs w:val="20"/>
          <w:lang w:val="it-IT"/>
        </w:rPr>
      </w:pPr>
    </w:p>
    <w:p w14:paraId="7A011310"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1 Department of Neurosurgery; IRCCS Institute of Neurological Sciences of Bologna (ISNB), Bologna, Italy</w:t>
      </w:r>
    </w:p>
    <w:p w14:paraId="60A122F5" w14:textId="45416D0B"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2 Department of Biomedical and Neuromotor Sciences (DIBINEM), Alma Mater Studiorum – University of Bologna, Bologna, Italy </w:t>
      </w:r>
    </w:p>
    <w:p w14:paraId="20C7049F" w14:textId="77777777" w:rsidR="003F75D4" w:rsidRPr="00F43F27" w:rsidRDefault="003F75D4" w:rsidP="00F43F27">
      <w:pPr>
        <w:pBdr>
          <w:top w:val="nil"/>
          <w:left w:val="nil"/>
          <w:bottom w:val="nil"/>
          <w:right w:val="nil"/>
          <w:between w:val="nil"/>
        </w:pBdr>
        <w:spacing w:after="0" w:line="240" w:lineRule="auto"/>
        <w:jc w:val="both"/>
        <w:rPr>
          <w:rFonts w:asciiTheme="majorBidi" w:hAnsiTheme="majorBidi" w:cstheme="majorBidi"/>
          <w:szCs w:val="20"/>
        </w:rPr>
      </w:pPr>
      <w:r>
        <w:rPr>
          <w:rFonts w:asciiTheme="majorBidi" w:eastAsia="Palatino Linotype" w:hAnsiTheme="majorBidi" w:cstheme="majorBidi"/>
          <w:color w:val="000000"/>
          <w:szCs w:val="20"/>
        </w:rPr>
        <w:t xml:space="preserve">3 Department of Neurosurgery, Maurizio Bufalini Hospital, AUSL Romagna, Cesena, Italy</w:t>
      </w:r>
    </w:p>
    <w:p w14:paraId="0E0905A8"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4 Department of Neurosurgery, Nanjing First Hospital, Nanjing Medical University, Nanjing, Jiangsu, China</w:t>
      </w:r>
    </w:p>
    <w:p w14:paraId="0B2AB2DC"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r>
        <w:rPr>
          <w:rFonts w:asciiTheme="majorBidi" w:eastAsia="Palatino Linotype" w:hAnsiTheme="majorBidi" w:cstheme="majorBidi"/>
          <w:color w:val="000000"/>
          <w:szCs w:val="20"/>
        </w:rPr>
        <w:t xml:space="preserve">5 Department of Neurosurgery, The Walton Centre NHS Foundation Trust, Liverpool L9 7LJ, UK</w:t>
      </w:r>
    </w:p>
    <w:p w14:paraId="001C5793"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6 Institute of Systems, Molecular and Integrative Biology, University of Liverpool, Liverpool, UK</w:t>
      </w:r>
    </w:p>
    <w:p w14:paraId="5A5857FA"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p>
    <w:p w14:paraId="0A33E6CB"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r>
        <w:rPr>
          <w:rFonts w:asciiTheme="majorBidi" w:eastAsia="Palatino Linotype" w:hAnsiTheme="majorBidi" w:cstheme="majorBidi"/>
          <w:b/>
          <w:color w:val="000000"/>
          <w:szCs w:val="20"/>
        </w:rPr>
        <w:t xml:space="preserve">Corresponding author</w:t>
      </w:r>
      <w:r>
        <w:rPr>
          <w:rFonts w:asciiTheme="majorBidi" w:eastAsia="Palatino Linotype" w:hAnsiTheme="majorBidi" w:cstheme="majorBidi"/>
          <w:bCs/>
          <w:color w:val="000000"/>
          <w:szCs w:val="20"/>
        </w:rPr>
        <w:t xml:space="preserve">:</w:t>
      </w:r>
    </w:p>
    <w:p w14:paraId="0429BADD"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Noa Ben Dor, MD</w:t>
      </w:r>
    </w:p>
    <w:p w14:paraId="4FF25DD7"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Department of Neurosurgery, IRCCS Institute of Neurological Sciences (ISNB), Bologna, Italy</w:t>
      </w:r>
    </w:p>
    <w:p w14:paraId="2006EBBB" w14:textId="77777777" w:rsidR="003F75D4" w:rsidRPr="00F43F27" w:rsidRDefault="003F75D4" w:rsidP="00F43F27">
      <w:pPr>
        <w:pBdr>
          <w:top w:val="nil"/>
          <w:left w:val="nil"/>
          <w:bottom w:val="nil"/>
          <w:right w:val="nil"/>
          <w:between w:val="nil"/>
        </w:pBdr>
        <w:spacing w:after="0" w:line="240" w:lineRule="auto"/>
        <w:jc w:val="both"/>
        <w:rPr>
          <w:rFonts w:asciiTheme="majorBidi" w:eastAsia="Palatino Linotype" w:hAnsiTheme="majorBidi" w:cstheme="majorBidi"/>
          <w:b/>
          <w:color w:val="000000"/>
          <w:szCs w:val="20"/>
          <w:lang w:val="it-IT"/>
        </w:rPr>
      </w:pPr>
      <w:r>
        <w:rPr>
          <w:rFonts w:asciiTheme="majorBidi" w:eastAsia="Palatino Linotype" w:hAnsiTheme="majorBidi" w:cstheme="majorBidi"/>
          <w:color w:val="000000"/>
          <w:szCs w:val="20"/>
          <w:lang w:val="it-IT"/>
        </w:rPr>
        <w:t xml:space="preserve">Via Altura 3, 40139 Bologna, Italy</w:t>
      </w:r>
    </w:p>
    <w:p w14:paraId="448E2A9E" w14:textId="77777777" w:rsidR="003F75D4" w:rsidRPr="00F43F27" w:rsidRDefault="003F75D4" w:rsidP="00F43F27">
      <w:pPr>
        <w:pBdr>
          <w:top w:val="nil"/>
          <w:left w:val="nil"/>
          <w:bottom w:val="nil"/>
          <w:right w:val="nil"/>
          <w:between w:val="nil"/>
        </w:pBdr>
        <w:spacing w:after="0" w:line="240" w:lineRule="auto"/>
        <w:jc w:val="both"/>
        <w:rPr>
          <w:rFonts w:asciiTheme="majorBidi" w:hAnsiTheme="majorBidi" w:cstheme="majorBidi"/>
          <w:lang w:val="it-IT"/>
        </w:rPr>
      </w:pPr>
      <w:r>
        <w:rPr>
          <w:rFonts w:asciiTheme="majorBidi" w:eastAsia="Palatino Linotype" w:hAnsiTheme="majorBidi" w:cstheme="majorBidi"/>
          <w:color w:val="000000"/>
          <w:szCs w:val="20"/>
          <w:lang w:val="it-IT"/>
        </w:rPr>
        <w:t xml:space="preserve">E-mail: </w:t>
      </w:r>
      <w:hyperlink r:id="rId8" w:history="1">
        <w:r>
          <w:rPr>
            <w:rStyle w:val="Hyperlink"/>
            <w:rFonts w:asciiTheme="majorBidi" w:eastAsia="Palatino Linotype" w:hAnsiTheme="majorBidi" w:cstheme="majorBidi"/>
            <w:szCs w:val="20"/>
            <w:lang w:val="it-IT"/>
          </w:rPr>
          <w:t>noa.bendorziv@studio.unibo.it</w:t>
        </w:r>
      </w:hyperlink>
    </w:p>
    <w:p w14:paraId="1D05C665" w14:textId="77777777" w:rsidR="003F75D4" w:rsidRPr="00F43F27" w:rsidRDefault="003F75D4" w:rsidP="00F43F27">
      <w:pPr>
        <w:pBdr>
          <w:top w:val="nil"/>
          <w:left w:val="nil"/>
          <w:bottom w:val="nil"/>
          <w:right w:val="nil"/>
          <w:between w:val="nil"/>
        </w:pBdr>
        <w:spacing w:line="36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ORCID: 0009-0009-8608-6418</w:t>
      </w:r>
    </w:p>
    <w:p w14:paraId="7FA9452F" w14:textId="77777777" w:rsidR="003F75D4" w:rsidRPr="00F43F27" w:rsidRDefault="003F75D4" w:rsidP="00F43F27">
      <w:pPr>
        <w:spacing w:before="200"/>
        <w:jc w:val="both"/>
        <w:rPr>
          <w:rFonts w:asciiTheme="majorBidi" w:hAnsiTheme="majorBidi" w:cstheme="majorBidi"/>
          <w:sz w:val="19"/>
        </w:rPr>
      </w:pPr>
    </w:p>
    <w:p w14:paraId="131CBCE3" w14:textId="2B1C81B8" w:rsidR="005215C4" w:rsidRPr="00F43F27" w:rsidRDefault="00000000" w:rsidP="00F43F27">
      <w:pPr>
        <w:spacing w:before="200"/>
        <w:jc w:val="both"/>
        <w:rPr>
          <w:rFonts w:asciiTheme="majorBidi" w:hAnsiTheme="majorBidi" w:cstheme="majorBidi"/>
        </w:rPr>
      </w:pPr>
      <w:r>
        <w:rPr>
          <w:rFonts w:asciiTheme="majorBidi" w:hAnsiTheme="majorBidi" w:cstheme="majorBidi"/>
          <w:b/>
          <w:sz w:val="22"/>
        </w:rPr>
        <w:t xml:space="preserve">Supplementary methods: machine-learning methodology (sections S1–S8, Tables S1–S7, Fig. S1)</w:t>
      </w:r>
    </w:p>
    <w:p w14:paraId="5087000B" w14:textId="77777777" w:rsidR="005215C4" w:rsidRPr="00F43F27" w:rsidRDefault="005215C4" w:rsidP="00F43F27">
      <w:pPr>
        <w:pBdr>
          <w:bottom w:val="single" w:sz="6" w:space="0" w:color="808080"/>
        </w:pBdr>
        <w:spacing w:after="120"/>
        <w:jc w:val="both"/>
        <w:rPr>
          <w:rFonts w:asciiTheme="majorBidi" w:hAnsiTheme="majorBidi" w:cstheme="majorBidi"/>
        </w:rPr>
      </w:pPr>
    </w:p>
    <w:p w14:paraId="66198CF2"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This document expands the Machine Learning Workflow section of the Methods. It describes the modelling population, predictor representation, model specification, validation, performance measures, sample size and software in enough detail for the analyses to be reproduced. Results are reported in the main text and in Online Resource 3.</w:t>
      </w:r>
    </w:p>
    <w:p w14:paraId="7D410FC7" w14:textId="77777777" w:rsidR="005215C4" w:rsidRPr="00F43F27" w:rsidRDefault="00000000" w:rsidP="00F43F27">
      <w:pPr>
        <w:keepNext/>
        <w:spacing w:before="280"/>
        <w:jc w:val="both"/>
        <w:rPr>
          <w:rFonts w:asciiTheme="majorBidi" w:hAnsiTheme="majorBidi" w:cstheme="majorBidi"/>
        </w:rPr>
      </w:pPr>
      <w:r>
        <w:rPr>
          <w:rFonts w:asciiTheme="majorBidi" w:hAnsiTheme="majorBidi" w:cstheme="majorBidi"/>
          <w:b/>
          <w:sz w:val="24"/>
        </w:rPr>
        <w:t xml:space="preserve">S1. Modelling population and analysis design</w:t>
      </w:r>
    </w:p>
    <w:p w14:paraId="44074CC3"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Two prediction analyses were performed independently from the same database: histogram gradient boosting and logistic regression with ridge (L2) penalization. Of the 241 patients, the ten patients from the Chinese center were excluded from modelling because no complication of any type had been recorded and their records were otherwise not comparable with the cohort (see below and Table S1). Both analyses therefore used the same modelling population of 231 patients: Bologna (n = 115), Cesena (n = 68) and Liverpool (n = 48).</w:t>
      </w:r>
    </w:p>
    <w:p w14:paraId="6718BE43"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Three validation designs were applied to every endpoint: internal validation in all 231 patients; internal–external cross-validation, in which each center was held out in turn and the model refitted on the remaining centers; and a geographical split, with development in Bologna and Cesena (n = 183) and external validation in Liverpool (n = 48). Held-out data were withheld from predictor specification, penalty selection and all model fitting. Postoperative cognitive decline was not recorded in Cesena, so the cognitive-decline model was developed in Bologna (n = 115) and validated in Liverpool (n = 48). Because the two algorithms used different predictor sets and representations, their estimates are reported side by side and are not a formal comparison of algorithms. The workflow is shown in Fig. S1.</w:t>
      </w:r>
    </w:p>
    <w:p w14:paraId="3B47FFFC" w14:textId="77777777" w:rsidR="005215C4" w:rsidRPr="00F43F27" w:rsidRDefault="00000000" w:rsidP="00F43F27">
      <w:pPr>
        <w:keepNext/>
        <w:spacing w:before="160"/>
        <w:jc w:val="both"/>
        <w:rPr>
          <w:rFonts w:asciiTheme="majorBidi" w:hAnsiTheme="majorBidi" w:cstheme="majorBidi"/>
        </w:rPr>
      </w:pPr>
      <w:r>
        <w:rPr>
          <w:rFonts w:asciiTheme="majorBidi" w:hAnsiTheme="majorBidi" w:cstheme="majorBidi"/>
          <w:b/>
          <w:sz w:val="21"/>
        </w:rPr>
        <w:lastRenderedPageBreak/>
        <w:t>Excluded center</w:t>
      </w:r>
    </w:p>
    <w:p w14:paraId="543432BF"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The ten patients from the Chinese center differed systematically from the remainder of the cohort: no postoperative complication of any type was recorded (0 of 10, against 40.3% elsewhere; Fisher exact p = 0.008; the exact probability of observing no event in ten patients at the cohort rate is 0.006); every patient was discharged with a Karnofsky score of 90 or 100, including one admitted at 50; all had a Charlson Comorbidity Index of 0 or 1 (cohort mean 2.4); 30-day, 6-month and 12-month follow-up status was complete for all ten but missing for 56%, 76% and 76% of the other patients; and operative duration was recorded for these ten patients only. Whether this reflects case selection or a difference in how outcomes were recorded could not be determined; in either case the records were not comparable. The ten patients were excluded from all modelling analyses and retained in the descriptive tables (Tables 1 and 2 of the main text; Online Resource 2, Table S8). Model performance with the ten patients included is given in Online Resource 3, Table S9 and is marginally higher for every endpoint.</w:t>
      </w:r>
    </w:p>
    <w:p w14:paraId="718BBF2C"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Table S1 compares the development, external and excluded groups. The withheld Liverpool cohort had larger tumors with more frequent cavernous sinus and major cerebral artery involvement, but a lower comorbidity burden.</w:t>
      </w:r>
    </w:p>
    <w:p w14:paraId="1931E982" w14:textId="77777777" w:rsidR="005215C4" w:rsidRPr="00F43F27" w:rsidRDefault="00000000" w:rsidP="00F43F27">
      <w:pPr>
        <w:keepNext/>
        <w:spacing w:before="280"/>
        <w:jc w:val="both"/>
        <w:rPr>
          <w:rFonts w:asciiTheme="majorBidi" w:hAnsiTheme="majorBidi" w:cstheme="majorBidi"/>
        </w:rPr>
      </w:pPr>
      <w:r>
        <w:rPr>
          <w:rFonts w:asciiTheme="majorBidi" w:hAnsiTheme="majorBidi" w:cstheme="majorBidi"/>
          <w:b/>
          <w:sz w:val="24"/>
        </w:rPr>
        <w:t xml:space="preserve">S2. Outcomes, predictors and encoding</w:t>
      </w:r>
    </w:p>
    <w:p w14:paraId="2AD7D0B5"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Outcomes were defined as in the Methods of the main text and ascertained at discharge: medical complications (systemic infection, deep vein thrombosis, acute respiratory insufficiency, heart failure), surgical complications (postoperative hematoma, seizure, wound infection, CSF leak, hydrocephalus), the composite of any new or worsened neurological deficit and its motor, cognitive and visual components. New ischemic stroke was assigned to the neurological domain. The non-neurological composite (any medical or surgical complication or new ischemic stroke) was analyzed as a sensitivity endpoint.</w:t>
      </w:r>
    </w:p>
    <w:p w14:paraId="346E773D"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All predictors were recorded preoperatively (Table S2). The gradient-boosting analysis used 25 candidate variables. Sex, ASA class, tumor side and vessel-encasement category were one-hot encoded, each with an explicit missing-category indicator, giving 39 encoded inputs; the remaining variables were entered on their original scale. The ridge analysis used two fixed sets. The non-neurological set (age, Charlson Comorbidity Index, cardiorespiratory comorbidity, preoperative KPS, maximum axial tumor diameter, vessel encasement grade and ACA/MCA/PCA involvement; seven variables) was used for the medical, surgical and non-neurological composite endpoints. ASA class was part of the pre-specified non-neurological set and was removed before the final models were fitted because its adjusted association with medical complications was inverse and clinically implausible, reflecting its overlap with age and the Charlson index and inconsistent grading across centers (Online Resource 3, Table S16); the pre-specified eight-variable medical model is reported there as a sensitivity analysis. The neurological set (age, Charlson Comorbidity Index, preoperative KPS, preoperative motor symptoms, maximum axial tumor diameter, vessel encasement grade, ICA/carotid siphon involvement and cavernous sinus involvement; eight variables) was fixed for the composite neurological endpoint and applied unchanged to its components. In the ridge models vessel encasement was entered as an ordinal grade from 0 (none) to 4 (&gt; 270°).</w:t>
      </w:r>
    </w:p>
    <w:p w14:paraId="0CE11D94"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There were no missing values in any predictor or outcome variable of the modelling population, so no imputation was needed. Cognitive decline in Cesena was not recorded rather than absent; Cesena was therefore excluded from every analysis of that endpoint.</w:t>
      </w:r>
    </w:p>
    <w:p w14:paraId="33387602" w14:textId="77777777" w:rsidR="005215C4" w:rsidRPr="00F43F27" w:rsidRDefault="00000000" w:rsidP="00F43F27">
      <w:pPr>
        <w:keepNext/>
        <w:spacing w:before="280"/>
        <w:jc w:val="both"/>
        <w:rPr>
          <w:rFonts w:asciiTheme="majorBidi" w:hAnsiTheme="majorBidi" w:cstheme="majorBidi"/>
        </w:rPr>
      </w:pPr>
      <w:r>
        <w:rPr>
          <w:rFonts w:asciiTheme="majorBidi" w:hAnsiTheme="majorBidi" w:cstheme="majorBidi"/>
          <w:b/>
          <w:sz w:val="24"/>
        </w:rPr>
        <w:t xml:space="preserve">S3. Histogram gradient boosting</w:t>
      </w:r>
    </w:p>
    <w:p w14:paraId="1813E9E5"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Models used scikit-learn's HistGradientBoostingClassifier with its default settings (logarithmic loss, learning rate 0.1, up to 100 boosting iterations, 31 leaf nodes, at least 20 samples per leaf, unrestricted depth, no L2 regularization) and early stopping on a 10% internal validation fraction after 10 iterations without improvement of the loss. No hyperparameter search and no class weighting were used. Internal performance was the mean AUC over five repeats of stratified five-fold cross-validation. A high-sensitivity operating threshold was estimated within the development cohort (Bologna and Cesena) from repeated cross-validated predictions, as the largest threshold on a grid from 0.01 to 0.60 (steps of 0.01) that reached at least 90% sensitivity; it was then frozen and applied to the external predictions. Because a single boosted model depends on the random early-stopping split, the external AUC was also recomputed over 20 random seeds. Settings are listed in Table S3.</w:t>
      </w:r>
    </w:p>
    <w:p w14:paraId="4F00AE63" w14:textId="77777777" w:rsidR="005215C4" w:rsidRPr="00F43F27" w:rsidRDefault="00000000" w:rsidP="00F43F27">
      <w:pPr>
        <w:keepNext/>
        <w:spacing w:before="280"/>
        <w:jc w:val="both"/>
        <w:rPr>
          <w:rFonts w:asciiTheme="majorBidi" w:hAnsiTheme="majorBidi" w:cstheme="majorBidi"/>
        </w:rPr>
      </w:pPr>
      <w:r>
        <w:rPr>
          <w:rFonts w:asciiTheme="majorBidi" w:hAnsiTheme="majorBidi" w:cstheme="majorBidi"/>
          <w:b/>
          <w:sz w:val="24"/>
        </w:rPr>
        <w:lastRenderedPageBreak/>
        <w:t>S4. Ridge-penalized logistic regression</w:t>
      </w:r>
    </w:p>
    <w:p w14:paraId="682EEEA5"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Each model was a scikit-learn pipeline of StandardScaler and LogisticRegressionCV with an L2 penalty, the lbfgs solver, up to 2,000 iterations and no class weighting. The inverse penalty C was selected from eleven log-spaced values between 10⁻³ and 10² by stratified five-fold cross-validation minimizing the log-loss, and was re-selected within every training set of every validation procedure. Predictors were standardized within each training set. For the final models fitted on all eligible patients, the selected values were C = 0.1 (medical), C = 0.032 (motor) and C = 0.01 (cognitive decline, Bologna). Coefficients are reported as standardized odds ratios per 1-SD increase, which describe relative contribution within the penalized model; confidence intervals are not given because penalized coefficients have no valid closed-form standard errors. Raw-scale coefficients and intercepts, which the online calculator implements, are given in Online Resource 3 (Tables S12 and S15). Settings are listed in Table S4.</w:t>
      </w:r>
    </w:p>
    <w:p w14:paraId="6B86123F" w14:textId="77777777" w:rsidR="005215C4" w:rsidRPr="00F43F27" w:rsidRDefault="00000000" w:rsidP="00F43F27">
      <w:pPr>
        <w:keepNext/>
        <w:spacing w:before="280"/>
        <w:jc w:val="both"/>
        <w:rPr>
          <w:rFonts w:asciiTheme="majorBidi" w:hAnsiTheme="majorBidi" w:cstheme="majorBidi"/>
        </w:rPr>
      </w:pPr>
      <w:r>
        <w:rPr>
          <w:rFonts w:asciiTheme="majorBidi" w:hAnsiTheme="majorBidi" w:cstheme="majorBidi"/>
          <w:b/>
          <w:sz w:val="24"/>
        </w:rPr>
        <w:t xml:space="preserve">S5. Validation procedures</w:t>
      </w:r>
    </w:p>
    <w:p w14:paraId="1176E0B8"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Ridge models were validated internally by nested 10-fold stratified cross-validation repeated five times, with the penalty selected in the inner loop; the reported AUC is the mean over repeats, with a 95% percentile bootstrap interval (2,000 replicates) computed on the out-of-fold predictions averaged over repeats. Optimism was estimated with 200 bootstrap replicates that repeated the whole procedure, including penalty selection; the optimism-corrected AUC is the apparent AUC minus the mean optimism.</w:t>
      </w:r>
    </w:p>
    <w:p w14:paraId="1897A0A1"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In internal–external cross-validation, the held-out AUC of a center was reported when it contained at least five events and five non-events, with a 1,000-replicate percentile bootstrap interval. Per-center AUCs were pooled on the logit scale by DerSimonian–Laird random-effects meta-analysis, with standard errors derived from the bootstrap interval width (upper minus lower logit bound divided by 3.92). With three contributing centers the between-center variance is estimated imprecisely. External AUCs in the geographical split used 2,000 bootstrap replicates. The cognitive-decline model followed the same procedures within Bologna before a single test in Liverpool.</w:t>
      </w:r>
    </w:p>
    <w:p w14:paraId="0BF9F34B"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Sensitivity analyses comprised the full cohort of 241 patients, the non-neurological composite endpoint, the motor model without the preoperative motor-symptom predictor, the pre-specified medical model with ASA class and, for cognitive decline, a model with preoperative cognitive or psychiatric symptoms in place of motor symptoms, nested cross-validation with Bologna and Liverpool pooled, and the reverse direction (development in Liverpool, test in Bologna). The designs of the two analyses are compared in Table S5.</w:t>
      </w:r>
    </w:p>
    <w:p w14:paraId="0EF73D92" w14:textId="77777777" w:rsidR="005215C4" w:rsidRPr="00F43F27" w:rsidRDefault="00000000" w:rsidP="00F43F27">
      <w:pPr>
        <w:keepNext/>
        <w:spacing w:before="280"/>
        <w:jc w:val="both"/>
        <w:rPr>
          <w:rFonts w:asciiTheme="majorBidi" w:hAnsiTheme="majorBidi" w:cstheme="majorBidi"/>
        </w:rPr>
      </w:pPr>
      <w:r>
        <w:rPr>
          <w:rFonts w:asciiTheme="majorBidi" w:hAnsiTheme="majorBidi" w:cstheme="majorBidi"/>
          <w:b/>
          <w:sz w:val="24"/>
        </w:rPr>
        <w:t xml:space="preserve">S6. Performance measures</w:t>
      </w:r>
    </w:p>
    <w:p w14:paraId="3E01BBCB"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Discrimination was measured by the AUC. Calibration was summarized by the calibration slope (logistic regression of the outcome on the logit of the predicted probability) and by calibration-in-the-large (the intercept of that regression with the slope fixed at 1; negative values indicate over-prediction), and overall accuracy by the Brier score, shown with the Brier score of a model predicting the event rate for everyone. Sensitivity, specificity, positive and negative predictive values and net benefit were computed across probability thresholds from the held-out predictions of internal–external cross-validation, in which every patient is predicted by a model that has not seen his or her center. These thresholds describe trade-offs and were not validated as cut-points. Observed event rates were also summarized across tertiles of held-out predicted risk.</w:t>
      </w:r>
    </w:p>
    <w:p w14:paraId="638E2599" w14:textId="77777777" w:rsidR="005215C4" w:rsidRPr="00F43F27" w:rsidRDefault="00000000" w:rsidP="00F43F27">
      <w:pPr>
        <w:keepNext/>
        <w:spacing w:before="280"/>
        <w:jc w:val="both"/>
        <w:rPr>
          <w:rFonts w:asciiTheme="majorBidi" w:hAnsiTheme="majorBidi" w:cstheme="majorBidi"/>
        </w:rPr>
      </w:pPr>
      <w:r>
        <w:rPr>
          <w:rFonts w:asciiTheme="majorBidi" w:hAnsiTheme="majorBidi" w:cstheme="majorBidi"/>
          <w:b/>
          <w:sz w:val="24"/>
        </w:rPr>
        <w:t xml:space="preserve">S7. Sample size</w:t>
      </w:r>
    </w:p>
    <w:p w14:paraId="5F454A07" w14:textId="77777777" w:rsidR="005215C4" w:rsidRPr="00F43F27" w:rsidRDefault="00000000" w:rsidP="00F43F27">
      <w:pPr>
        <w:spacing w:after="120"/>
        <w:jc w:val="both"/>
        <w:rPr>
          <w:rFonts w:asciiTheme="majorBidi" w:hAnsiTheme="majorBidi" w:cstheme="majorBidi"/>
        </w:rPr>
      </w:pPr>
      <w:r>
        <w:rPr>
          <w:rFonts w:asciiTheme="majorBidi" w:hAnsiTheme="majorBidi" w:cstheme="majorBidi"/>
        </w:rPr>
        <w:t xml:space="preserve">No a priori sample-size calculation was performed; the sample was the available multicenter cohort. Events per predictor are given in Table S6. The low ratios motivated the fixed parsimonious predictor sets and penalization of the ridge models, preset settings with early stopping for gradient boosting, strict separation of development and validation data, and resampling-based estimates of optimism.</w:t>
      </w:r>
    </w:p>
    <w:p w14:paraId="3AB094F8" w14:textId="037F9BC5" w:rsidR="00106E44" w:rsidRPr="00F43F27" w:rsidRDefault="00106E44" w:rsidP="00F43F27">
      <w:pPr>
        <w:spacing w:after="120"/>
        <w:jc w:val="both"/>
        <w:rPr>
          <w:rFonts w:asciiTheme="majorBidi" w:hAnsiTheme="majorBidi" w:cstheme="majorBidi"/>
        </w:rPr>
        <w:sectPr w:rsidR="00106E44" w:rsidRPr="00F43F27">
          <w:footerReference w:type="default" r:id="rId9"/>
          <w:pgSz w:w="12240" w:h="15840"/>
          <w:pgMar w:top="1134" w:right="1134" w:bottom="1134" w:left="1134" w:header="720" w:footer="720" w:gutter="0"/>
          <w:cols w:space="720"/>
          <w:docGrid w:linePitch="360"/>
        </w:sectPr>
      </w:pPr>
    </w:p>
    <w:p w14:paraId="234FD32D" w14:textId="77777777" w:rsidR="005215C4" w:rsidRPr="00F43F27" w:rsidRDefault="00000000" w:rsidP="00F43F27">
      <w:pPr>
        <w:keepNext/>
        <w:spacing w:before="280"/>
        <w:jc w:val="both"/>
        <w:rPr>
          <w:rFonts w:asciiTheme="majorBidi" w:hAnsiTheme="majorBidi" w:cstheme="majorBidi"/>
        </w:rPr>
      </w:pPr>
      <w:r>
        <w:rPr>
          <w:rFonts w:asciiTheme="majorBidi" w:hAnsiTheme="majorBidi" w:cstheme="majorBidi"/>
          <w:b/>
          <w:sz w:val="24"/>
        </w:rPr>
        <w:lastRenderedPageBreak/>
        <w:t>Supplementary tables</w:t>
      </w:r>
    </w:p>
    <w:p w14:paraId="48651A19" w14:textId="77777777" w:rsidR="005215C4" w:rsidRPr="00F43F27" w:rsidRDefault="00000000" w:rsidP="00F43F27">
      <w:pPr>
        <w:keepNext/>
        <w:spacing w:before="200"/>
        <w:jc w:val="both"/>
        <w:rPr>
          <w:rFonts w:asciiTheme="majorBidi" w:hAnsiTheme="majorBidi" w:cstheme="majorBidi"/>
        </w:rPr>
      </w:pPr>
      <w:r>
        <w:rPr>
          <w:rFonts w:asciiTheme="majorBidi" w:hAnsiTheme="majorBidi" w:cstheme="majorBidi"/>
          <w:b/>
        </w:rPr>
        <w:t xml:space="preserve">Table S1</w:t>
      </w:r>
      <w:r>
        <w:rPr>
          <w:rFonts w:asciiTheme="majorBidi" w:hAnsiTheme="majorBidi" w:cstheme="majorBidi"/>
        </w:rPr>
        <w:t xml:space="preserve"> Composition of the development, external and excluded cohorts</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3515"/>
        <w:gridCol w:w="1814"/>
        <w:gridCol w:w="1587"/>
        <w:gridCol w:w="1474"/>
        <w:gridCol w:w="1361"/>
      </w:tblGrid>
      <w:tr w:rsidR="005215C4" w:rsidRPr="00F43F27" w14:paraId="17DDA77B" w14:textId="77777777">
        <w:trPr>
          <w:cantSplit/>
          <w:tblHeader/>
          <w:jc w:val="center"/>
        </w:trPr>
        <w:tc>
          <w:tcPr>
            <w:tcW w:w="3515" w:type="dxa"/>
          </w:tcPr>
          <w:p w14:paraId="69A7062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Variable</w:t>
            </w:r>
          </w:p>
        </w:tc>
        <w:tc>
          <w:tcPr>
            <w:tcW w:w="1814" w:type="dxa"/>
          </w:tcPr>
          <w:p w14:paraId="47A2D9A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Development (Bologna + Cesena)</w:t>
            </w:r>
          </w:p>
        </w:tc>
        <w:tc>
          <w:tcPr>
            <w:tcW w:w="1587" w:type="dxa"/>
          </w:tcPr>
          <w:p w14:paraId="4D85E32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External (Liverpool)</w:t>
            </w:r>
          </w:p>
        </w:tc>
        <w:tc>
          <w:tcPr>
            <w:tcW w:w="1474" w:type="dxa"/>
          </w:tcPr>
          <w:p w14:paraId="2468C53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Excluded (n = 10)</w:t>
            </w:r>
          </w:p>
        </w:tc>
        <w:tc>
          <w:tcPr>
            <w:tcW w:w="1361" w:type="dxa"/>
          </w:tcPr>
          <w:p w14:paraId="626355C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p, development vs external</w:t>
            </w:r>
          </w:p>
        </w:tc>
      </w:tr>
      <w:tr w:rsidR="005215C4" w:rsidRPr="00F43F27" w14:paraId="2273D728" w14:textId="77777777">
        <w:trPr>
          <w:cantSplit/>
          <w:jc w:val="center"/>
        </w:trPr>
        <w:tc>
          <w:tcPr>
            <w:tcW w:w="3515" w:type="dxa"/>
          </w:tcPr>
          <w:p w14:paraId="2D6ECF6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Patients</w:t>
            </w:r>
          </w:p>
        </w:tc>
        <w:tc>
          <w:tcPr>
            <w:tcW w:w="1814" w:type="dxa"/>
          </w:tcPr>
          <w:p w14:paraId="0F17ABB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183</w:t>
            </w:r>
          </w:p>
        </w:tc>
        <w:tc>
          <w:tcPr>
            <w:tcW w:w="1587" w:type="dxa"/>
          </w:tcPr>
          <w:p w14:paraId="1A224FC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48</w:t>
            </w:r>
          </w:p>
        </w:tc>
        <w:tc>
          <w:tcPr>
            <w:tcW w:w="1474" w:type="dxa"/>
          </w:tcPr>
          <w:p w14:paraId="315BAB7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10</w:t>
            </w:r>
          </w:p>
        </w:tc>
        <w:tc>
          <w:tcPr>
            <w:tcW w:w="1361" w:type="dxa"/>
          </w:tcPr>
          <w:p w14:paraId="24CE893E" w14:textId="77777777" w:rsidR="005215C4" w:rsidRPr="00F43F27" w:rsidRDefault="005215C4" w:rsidP="00F43F27">
            <w:pPr>
              <w:spacing w:before="20" w:after="0"/>
              <w:jc w:val="both"/>
              <w:rPr>
                <w:rFonts w:asciiTheme="majorBidi" w:hAnsiTheme="majorBidi" w:cstheme="majorBidi"/>
              </w:rPr>
            </w:pPr>
          </w:p>
        </w:tc>
      </w:tr>
      <w:tr w:rsidR="005215C4" w:rsidRPr="00F43F27" w14:paraId="3B5EFCCC" w14:textId="77777777">
        <w:trPr>
          <w:cantSplit/>
          <w:jc w:val="center"/>
        </w:trPr>
        <w:tc>
          <w:tcPr>
            <w:tcW w:w="3515" w:type="dxa"/>
          </w:tcPr>
          <w:p w14:paraId="5111E5E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Age, years (mean ± SD)</w:t>
            </w:r>
          </w:p>
        </w:tc>
        <w:tc>
          <w:tcPr>
            <w:tcW w:w="1814" w:type="dxa"/>
          </w:tcPr>
          <w:p w14:paraId="36ACEC7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60.8 ± 11.9</w:t>
            </w:r>
          </w:p>
        </w:tc>
        <w:tc>
          <w:tcPr>
            <w:tcW w:w="1587" w:type="dxa"/>
          </w:tcPr>
          <w:p w14:paraId="22F8512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59.8 ± 13.9</w:t>
            </w:r>
          </w:p>
        </w:tc>
        <w:tc>
          <w:tcPr>
            <w:tcW w:w="1474" w:type="dxa"/>
          </w:tcPr>
          <w:p w14:paraId="2B4DCFF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55.0 ± 12.4</w:t>
            </w:r>
          </w:p>
        </w:tc>
        <w:tc>
          <w:tcPr>
            <w:tcW w:w="1361" w:type="dxa"/>
          </w:tcPr>
          <w:p w14:paraId="632FC9D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0.675</w:t>
            </w:r>
          </w:p>
        </w:tc>
      </w:tr>
      <w:tr w:rsidR="005215C4" w:rsidRPr="00F43F27" w14:paraId="3330EFF9" w14:textId="77777777">
        <w:trPr>
          <w:cantSplit/>
          <w:jc w:val="center"/>
        </w:trPr>
        <w:tc>
          <w:tcPr>
            <w:tcW w:w="3515" w:type="dxa"/>
          </w:tcPr>
          <w:p w14:paraId="4614E0B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Male sex, n (%)</w:t>
            </w:r>
          </w:p>
        </w:tc>
        <w:tc>
          <w:tcPr>
            <w:tcW w:w="1814" w:type="dxa"/>
          </w:tcPr>
          <w:p w14:paraId="29FDDF0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55 (30.1)</w:t>
            </w:r>
          </w:p>
        </w:tc>
        <w:tc>
          <w:tcPr>
            <w:tcW w:w="1587" w:type="dxa"/>
          </w:tcPr>
          <w:p w14:paraId="0B62679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12 (25.0)</w:t>
            </w:r>
          </w:p>
        </w:tc>
        <w:tc>
          <w:tcPr>
            <w:tcW w:w="1474" w:type="dxa"/>
          </w:tcPr>
          <w:p w14:paraId="592BCC7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6 (60.0)</w:t>
            </w:r>
          </w:p>
        </w:tc>
        <w:tc>
          <w:tcPr>
            <w:tcW w:w="1361" w:type="dxa"/>
          </w:tcPr>
          <w:p w14:paraId="0050B4B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0.593</w:t>
            </w:r>
          </w:p>
        </w:tc>
      </w:tr>
      <w:tr w:rsidR="005215C4" w:rsidRPr="00F43F27" w14:paraId="1CB410F8" w14:textId="77777777">
        <w:trPr>
          <w:cantSplit/>
          <w:jc w:val="center"/>
        </w:trPr>
        <w:tc>
          <w:tcPr>
            <w:tcW w:w="3515" w:type="dxa"/>
          </w:tcPr>
          <w:p w14:paraId="7772FF1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Charlson Comorbidity Index (mean ± SD)</w:t>
            </w:r>
          </w:p>
        </w:tc>
        <w:tc>
          <w:tcPr>
            <w:tcW w:w="1814" w:type="dxa"/>
          </w:tcPr>
          <w:p w14:paraId="11B1299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2.6 ± 1.7</w:t>
            </w:r>
          </w:p>
        </w:tc>
        <w:tc>
          <w:tcPr>
            <w:tcW w:w="1587" w:type="dxa"/>
          </w:tcPr>
          <w:p w14:paraId="54945E1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2.1 ± 1.4</w:t>
            </w:r>
          </w:p>
        </w:tc>
        <w:tc>
          <w:tcPr>
            <w:tcW w:w="1474" w:type="dxa"/>
          </w:tcPr>
          <w:p w14:paraId="5AEA7DF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0.2 ± 0.4</w:t>
            </w:r>
          </w:p>
        </w:tc>
        <w:tc>
          <w:tcPr>
            <w:tcW w:w="1361" w:type="dxa"/>
          </w:tcPr>
          <w:p w14:paraId="70EF058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0.043</w:t>
            </w:r>
          </w:p>
        </w:tc>
      </w:tr>
      <w:tr w:rsidR="005215C4" w:rsidRPr="00F43F27" w14:paraId="1E31B422" w14:textId="77777777">
        <w:trPr>
          <w:cantSplit/>
          <w:jc w:val="center"/>
        </w:trPr>
        <w:tc>
          <w:tcPr>
            <w:tcW w:w="3515" w:type="dxa"/>
          </w:tcPr>
          <w:p w14:paraId="42FBB66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ASA class III–IV, n (%)</w:t>
            </w:r>
          </w:p>
        </w:tc>
        <w:tc>
          <w:tcPr>
            <w:tcW w:w="1814" w:type="dxa"/>
          </w:tcPr>
          <w:p w14:paraId="4D91BC7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105 (57.4)</w:t>
            </w:r>
          </w:p>
        </w:tc>
        <w:tc>
          <w:tcPr>
            <w:tcW w:w="1587" w:type="dxa"/>
          </w:tcPr>
          <w:p w14:paraId="6AF76D9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15 (31.2)</w:t>
            </w:r>
          </w:p>
        </w:tc>
        <w:tc>
          <w:tcPr>
            <w:tcW w:w="1474" w:type="dxa"/>
          </w:tcPr>
          <w:p w14:paraId="3134A76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4C06066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0.002</w:t>
            </w:r>
          </w:p>
        </w:tc>
      </w:tr>
      <w:tr w:rsidR="005215C4" w:rsidRPr="00F43F27" w14:paraId="4A889AF7" w14:textId="77777777">
        <w:trPr>
          <w:cantSplit/>
          <w:jc w:val="center"/>
        </w:trPr>
        <w:tc>
          <w:tcPr>
            <w:tcW w:w="3515" w:type="dxa"/>
          </w:tcPr>
          <w:p w14:paraId="73D82DB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Any comorbidity, n (%)</w:t>
            </w:r>
          </w:p>
        </w:tc>
        <w:tc>
          <w:tcPr>
            <w:tcW w:w="1814" w:type="dxa"/>
          </w:tcPr>
          <w:p w14:paraId="475F2D4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127 (69.4)</w:t>
            </w:r>
          </w:p>
        </w:tc>
        <w:tc>
          <w:tcPr>
            <w:tcW w:w="1587" w:type="dxa"/>
          </w:tcPr>
          <w:p w14:paraId="295A096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31 (64.6)</w:t>
            </w:r>
          </w:p>
        </w:tc>
        <w:tc>
          <w:tcPr>
            <w:tcW w:w="1474" w:type="dxa"/>
          </w:tcPr>
          <w:p w14:paraId="7E27050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8 (80.0)</w:t>
            </w:r>
          </w:p>
        </w:tc>
        <w:tc>
          <w:tcPr>
            <w:tcW w:w="1361" w:type="dxa"/>
          </w:tcPr>
          <w:p w14:paraId="39FA187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0.601</w:t>
            </w:r>
          </w:p>
        </w:tc>
      </w:tr>
      <w:tr w:rsidR="005215C4" w:rsidRPr="00F43F27" w14:paraId="55D66477" w14:textId="77777777">
        <w:trPr>
          <w:cantSplit/>
          <w:jc w:val="center"/>
        </w:trPr>
        <w:tc>
          <w:tcPr>
            <w:tcW w:w="3515" w:type="dxa"/>
          </w:tcPr>
          <w:p w14:paraId="75ADCF7E" w14:textId="0AE4A258"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Cardiorespiratory disease n (%)</w:t>
            </w:r>
          </w:p>
        </w:tc>
        <w:tc>
          <w:tcPr>
            <w:tcW w:w="1814" w:type="dxa"/>
          </w:tcPr>
          <w:p w14:paraId="27FE05D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94 (51.4)</w:t>
            </w:r>
          </w:p>
        </w:tc>
        <w:tc>
          <w:tcPr>
            <w:tcW w:w="1587" w:type="dxa"/>
          </w:tcPr>
          <w:p w14:paraId="5732E6B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21 (43.8)</w:t>
            </w:r>
          </w:p>
        </w:tc>
        <w:tc>
          <w:tcPr>
            <w:tcW w:w="1474" w:type="dxa"/>
          </w:tcPr>
          <w:p w14:paraId="56C8E91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4 (40.0)</w:t>
            </w:r>
          </w:p>
        </w:tc>
        <w:tc>
          <w:tcPr>
            <w:tcW w:w="1361" w:type="dxa"/>
          </w:tcPr>
          <w:p w14:paraId="74A4156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0.418</w:t>
            </w:r>
          </w:p>
        </w:tc>
      </w:tr>
      <w:tr w:rsidR="005215C4" w:rsidRPr="00F43F27" w14:paraId="518AC49C" w14:textId="77777777">
        <w:trPr>
          <w:cantSplit/>
          <w:jc w:val="center"/>
        </w:trPr>
        <w:tc>
          <w:tcPr>
            <w:tcW w:w="3515" w:type="dxa"/>
          </w:tcPr>
          <w:p w14:paraId="1CD904B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Preoperative KPS, median (IQR)</w:t>
            </w:r>
          </w:p>
        </w:tc>
        <w:tc>
          <w:tcPr>
            <w:tcW w:w="1814" w:type="dxa"/>
          </w:tcPr>
          <w:p w14:paraId="4C96D85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80 (70–90)</w:t>
            </w:r>
          </w:p>
        </w:tc>
        <w:tc>
          <w:tcPr>
            <w:tcW w:w="1587" w:type="dxa"/>
          </w:tcPr>
          <w:p w14:paraId="51F7599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80 (70–80)</w:t>
            </w:r>
          </w:p>
        </w:tc>
        <w:tc>
          <w:tcPr>
            <w:tcW w:w="1474" w:type="dxa"/>
          </w:tcPr>
          <w:p w14:paraId="19353F6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90 (82–98)</w:t>
            </w:r>
          </w:p>
        </w:tc>
        <w:tc>
          <w:tcPr>
            <w:tcW w:w="1361" w:type="dxa"/>
          </w:tcPr>
          <w:p w14:paraId="2ACE908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0.016</w:t>
            </w:r>
          </w:p>
        </w:tc>
      </w:tr>
      <w:tr w:rsidR="005215C4" w:rsidRPr="00F43F27" w14:paraId="7F6FF7EE" w14:textId="77777777">
        <w:trPr>
          <w:cantSplit/>
          <w:jc w:val="center"/>
        </w:trPr>
        <w:tc>
          <w:tcPr>
            <w:tcW w:w="3515" w:type="dxa"/>
          </w:tcPr>
          <w:p w14:paraId="53A5786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Preoperative motor deficit, n (%)</w:t>
            </w:r>
          </w:p>
        </w:tc>
        <w:tc>
          <w:tcPr>
            <w:tcW w:w="1814" w:type="dxa"/>
          </w:tcPr>
          <w:p w14:paraId="0E08D83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44 (24.0)</w:t>
            </w:r>
          </w:p>
        </w:tc>
        <w:tc>
          <w:tcPr>
            <w:tcW w:w="1587" w:type="dxa"/>
          </w:tcPr>
          <w:p w14:paraId="045AA24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12 (25.0)</w:t>
            </w:r>
          </w:p>
        </w:tc>
        <w:tc>
          <w:tcPr>
            <w:tcW w:w="1474" w:type="dxa"/>
          </w:tcPr>
          <w:p w14:paraId="241116E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3EA9495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0.852</w:t>
            </w:r>
          </w:p>
        </w:tc>
      </w:tr>
      <w:tr w:rsidR="005215C4" w:rsidRPr="00F43F27" w14:paraId="78A7FA7A" w14:textId="77777777">
        <w:trPr>
          <w:cantSplit/>
          <w:jc w:val="center"/>
        </w:trPr>
        <w:tc>
          <w:tcPr>
            <w:tcW w:w="3515" w:type="dxa"/>
          </w:tcPr>
          <w:p w14:paraId="0587576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Preoperative visual deficit, n (%)</w:t>
            </w:r>
          </w:p>
        </w:tc>
        <w:tc>
          <w:tcPr>
            <w:tcW w:w="1814" w:type="dxa"/>
          </w:tcPr>
          <w:p w14:paraId="3431D51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45 (24.6)</w:t>
            </w:r>
          </w:p>
        </w:tc>
        <w:tc>
          <w:tcPr>
            <w:tcW w:w="1587" w:type="dxa"/>
          </w:tcPr>
          <w:p w14:paraId="76C829F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9 (18.8)</w:t>
            </w:r>
          </w:p>
        </w:tc>
        <w:tc>
          <w:tcPr>
            <w:tcW w:w="1474" w:type="dxa"/>
          </w:tcPr>
          <w:p w14:paraId="77FFEB4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2FF22CA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0.449</w:t>
            </w:r>
          </w:p>
        </w:tc>
      </w:tr>
      <w:tr w:rsidR="005215C4" w:rsidRPr="00F43F27" w14:paraId="4F576EB9" w14:textId="77777777">
        <w:trPr>
          <w:cantSplit/>
          <w:jc w:val="center"/>
        </w:trPr>
        <w:tc>
          <w:tcPr>
            <w:tcW w:w="3515" w:type="dxa"/>
          </w:tcPr>
          <w:p w14:paraId="5F41052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Maximum axial diameter, mm (mean ± SD)</w:t>
            </w:r>
          </w:p>
        </w:tc>
        <w:tc>
          <w:tcPr>
            <w:tcW w:w="1814" w:type="dxa"/>
          </w:tcPr>
          <w:p w14:paraId="5C701D3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35.1 ± 13.8</w:t>
            </w:r>
          </w:p>
        </w:tc>
        <w:tc>
          <w:tcPr>
            <w:tcW w:w="1587" w:type="dxa"/>
          </w:tcPr>
          <w:p w14:paraId="541D6B3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40.2 ± 14.9</w:t>
            </w:r>
          </w:p>
        </w:tc>
        <w:tc>
          <w:tcPr>
            <w:tcW w:w="1474" w:type="dxa"/>
          </w:tcPr>
          <w:p w14:paraId="07A8266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38.0 ± 13.2</w:t>
            </w:r>
          </w:p>
        </w:tc>
        <w:tc>
          <w:tcPr>
            <w:tcW w:w="1361" w:type="dxa"/>
          </w:tcPr>
          <w:p w14:paraId="58D71BE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0.036</w:t>
            </w:r>
          </w:p>
        </w:tc>
      </w:tr>
      <w:tr w:rsidR="005215C4" w:rsidRPr="00F43F27" w14:paraId="79B4734B" w14:textId="77777777">
        <w:trPr>
          <w:cantSplit/>
          <w:jc w:val="center"/>
        </w:trPr>
        <w:tc>
          <w:tcPr>
            <w:tcW w:w="3515" w:type="dxa"/>
          </w:tcPr>
          <w:p w14:paraId="683F934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Vessel encasement grade 3–4, n (%)</w:t>
            </w:r>
          </w:p>
        </w:tc>
        <w:tc>
          <w:tcPr>
            <w:tcW w:w="1814" w:type="dxa"/>
          </w:tcPr>
          <w:p w14:paraId="6A03315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57 (31.1)</w:t>
            </w:r>
          </w:p>
        </w:tc>
        <w:tc>
          <w:tcPr>
            <w:tcW w:w="1587" w:type="dxa"/>
          </w:tcPr>
          <w:p w14:paraId="1787AE5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22 (45.8)</w:t>
            </w:r>
          </w:p>
        </w:tc>
        <w:tc>
          <w:tcPr>
            <w:tcW w:w="1474" w:type="dxa"/>
          </w:tcPr>
          <w:p w14:paraId="4B37349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1FEA470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0.062</w:t>
            </w:r>
          </w:p>
        </w:tc>
      </w:tr>
      <w:tr w:rsidR="005215C4" w:rsidRPr="00F43F27" w14:paraId="142F8A8E" w14:textId="77777777">
        <w:trPr>
          <w:cantSplit/>
          <w:jc w:val="center"/>
        </w:trPr>
        <w:tc>
          <w:tcPr>
            <w:tcW w:w="3515" w:type="dxa"/>
          </w:tcPr>
          <w:p w14:paraId="1AB7FF9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ICA/carotid siphon involvement, n (%)</w:t>
            </w:r>
          </w:p>
        </w:tc>
        <w:tc>
          <w:tcPr>
            <w:tcW w:w="1814" w:type="dxa"/>
          </w:tcPr>
          <w:p w14:paraId="1FD4A9D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108 (59.0)</w:t>
            </w:r>
          </w:p>
        </w:tc>
        <w:tc>
          <w:tcPr>
            <w:tcW w:w="1587" w:type="dxa"/>
          </w:tcPr>
          <w:p w14:paraId="3C850F4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23 (47.9)</w:t>
            </w:r>
          </w:p>
        </w:tc>
        <w:tc>
          <w:tcPr>
            <w:tcW w:w="1474" w:type="dxa"/>
          </w:tcPr>
          <w:p w14:paraId="57A7CCA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5B63869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0.192</w:t>
            </w:r>
          </w:p>
        </w:tc>
      </w:tr>
      <w:tr w:rsidR="005215C4" w:rsidRPr="00F43F27" w14:paraId="5D213B8D" w14:textId="77777777">
        <w:trPr>
          <w:cantSplit/>
          <w:jc w:val="center"/>
        </w:trPr>
        <w:tc>
          <w:tcPr>
            <w:tcW w:w="3515" w:type="dxa"/>
          </w:tcPr>
          <w:p w14:paraId="7EE31D6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Cavernous sinus involvement, n (%)</w:t>
            </w:r>
          </w:p>
        </w:tc>
        <w:tc>
          <w:tcPr>
            <w:tcW w:w="1814" w:type="dxa"/>
          </w:tcPr>
          <w:p w14:paraId="69ED1FD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29 (15.8)</w:t>
            </w:r>
          </w:p>
        </w:tc>
        <w:tc>
          <w:tcPr>
            <w:tcW w:w="1587" w:type="dxa"/>
          </w:tcPr>
          <w:p w14:paraId="48EB3FF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16 (33.3)</w:t>
            </w:r>
          </w:p>
        </w:tc>
        <w:tc>
          <w:tcPr>
            <w:tcW w:w="1474" w:type="dxa"/>
          </w:tcPr>
          <w:p w14:paraId="0401BDC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51DB177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0.013</w:t>
            </w:r>
          </w:p>
        </w:tc>
      </w:tr>
      <w:tr w:rsidR="005215C4" w:rsidRPr="00F43F27" w14:paraId="08F4D9BB" w14:textId="77777777">
        <w:trPr>
          <w:cantSplit/>
          <w:jc w:val="center"/>
        </w:trPr>
        <w:tc>
          <w:tcPr>
            <w:tcW w:w="3515" w:type="dxa"/>
          </w:tcPr>
          <w:p w14:paraId="5EF676F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ACA/MCA/PCA involvement, n (%)</w:t>
            </w:r>
          </w:p>
        </w:tc>
        <w:tc>
          <w:tcPr>
            <w:tcW w:w="1814" w:type="dxa"/>
          </w:tcPr>
          <w:p w14:paraId="303E233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102 (55.7)</w:t>
            </w:r>
          </w:p>
        </w:tc>
        <w:tc>
          <w:tcPr>
            <w:tcW w:w="1587" w:type="dxa"/>
          </w:tcPr>
          <w:p w14:paraId="5ADAC8A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35 (72.9)</w:t>
            </w:r>
          </w:p>
        </w:tc>
        <w:tc>
          <w:tcPr>
            <w:tcW w:w="1474" w:type="dxa"/>
          </w:tcPr>
          <w:p w14:paraId="164FB0C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0A3E093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0.033</w:t>
            </w:r>
          </w:p>
        </w:tc>
      </w:tr>
      <w:tr w:rsidR="005215C4" w:rsidRPr="00F43F27" w14:paraId="2053FA3C" w14:textId="77777777">
        <w:trPr>
          <w:cantSplit/>
          <w:jc w:val="center"/>
        </w:trPr>
        <w:tc>
          <w:tcPr>
            <w:tcW w:w="3515" w:type="dxa"/>
          </w:tcPr>
          <w:p w14:paraId="34517E6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Optic canal invasion, n (%)</w:t>
            </w:r>
          </w:p>
        </w:tc>
        <w:tc>
          <w:tcPr>
            <w:tcW w:w="1814" w:type="dxa"/>
          </w:tcPr>
          <w:p w14:paraId="3569FF7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23 (12.6)</w:t>
            </w:r>
          </w:p>
        </w:tc>
        <w:tc>
          <w:tcPr>
            <w:tcW w:w="1587" w:type="dxa"/>
          </w:tcPr>
          <w:p w14:paraId="3E7B5DB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8 (16.7)</w:t>
            </w:r>
          </w:p>
        </w:tc>
        <w:tc>
          <w:tcPr>
            <w:tcW w:w="1474" w:type="dxa"/>
          </w:tcPr>
          <w:p w14:paraId="1DC7004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7661C87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0.478</w:t>
            </w:r>
          </w:p>
        </w:tc>
      </w:tr>
      <w:tr w:rsidR="005215C4" w:rsidRPr="00F43F27" w14:paraId="3DBA3518" w14:textId="77777777">
        <w:trPr>
          <w:cantSplit/>
          <w:jc w:val="center"/>
        </w:trPr>
        <w:tc>
          <w:tcPr>
            <w:tcW w:w="3515" w:type="dxa"/>
          </w:tcPr>
          <w:p w14:paraId="50B39F7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Medical complication, n (%)</w:t>
            </w:r>
          </w:p>
        </w:tc>
        <w:tc>
          <w:tcPr>
            <w:tcW w:w="1814" w:type="dxa"/>
          </w:tcPr>
          <w:p w14:paraId="15F8B57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29 (15.8)</w:t>
            </w:r>
          </w:p>
        </w:tc>
        <w:tc>
          <w:tcPr>
            <w:tcW w:w="1587" w:type="dxa"/>
          </w:tcPr>
          <w:p w14:paraId="0156D3B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7 (14.6)</w:t>
            </w:r>
          </w:p>
        </w:tc>
        <w:tc>
          <w:tcPr>
            <w:tcW w:w="1474" w:type="dxa"/>
          </w:tcPr>
          <w:p w14:paraId="7B05483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14AFF79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1.000</w:t>
            </w:r>
          </w:p>
        </w:tc>
      </w:tr>
      <w:tr w:rsidR="005215C4" w:rsidRPr="00F43F27" w14:paraId="6376E564" w14:textId="77777777">
        <w:trPr>
          <w:cantSplit/>
          <w:jc w:val="center"/>
        </w:trPr>
        <w:tc>
          <w:tcPr>
            <w:tcW w:w="3515" w:type="dxa"/>
          </w:tcPr>
          <w:p w14:paraId="2B93C05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Surgical complication, n (%)</w:t>
            </w:r>
          </w:p>
        </w:tc>
        <w:tc>
          <w:tcPr>
            <w:tcW w:w="1814" w:type="dxa"/>
          </w:tcPr>
          <w:p w14:paraId="5E47D08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15 (8.2)</w:t>
            </w:r>
          </w:p>
        </w:tc>
        <w:tc>
          <w:tcPr>
            <w:tcW w:w="1587" w:type="dxa"/>
          </w:tcPr>
          <w:p w14:paraId="0416D67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6 (12.5)</w:t>
            </w:r>
          </w:p>
        </w:tc>
        <w:tc>
          <w:tcPr>
            <w:tcW w:w="1474" w:type="dxa"/>
          </w:tcPr>
          <w:p w14:paraId="7B2E081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2FF84B8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0.397</w:t>
            </w:r>
          </w:p>
        </w:tc>
      </w:tr>
      <w:tr w:rsidR="005215C4" w:rsidRPr="00F43F27" w14:paraId="625F6524" w14:textId="77777777">
        <w:trPr>
          <w:cantSplit/>
          <w:jc w:val="center"/>
        </w:trPr>
        <w:tc>
          <w:tcPr>
            <w:tcW w:w="3515" w:type="dxa"/>
          </w:tcPr>
          <w:p w14:paraId="634B1B9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New ischemic stroke, n (%)</w:t>
            </w:r>
          </w:p>
        </w:tc>
        <w:tc>
          <w:tcPr>
            <w:tcW w:w="1814" w:type="dxa"/>
          </w:tcPr>
          <w:p w14:paraId="536F8AF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5 (2.7)</w:t>
            </w:r>
          </w:p>
        </w:tc>
        <w:tc>
          <w:tcPr>
            <w:tcW w:w="1587" w:type="dxa"/>
          </w:tcPr>
          <w:p w14:paraId="7933D8C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 (4.2)</w:t>
            </w:r>
          </w:p>
        </w:tc>
        <w:tc>
          <w:tcPr>
            <w:tcW w:w="1474" w:type="dxa"/>
          </w:tcPr>
          <w:p w14:paraId="55107EC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74DD219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0.637</w:t>
            </w:r>
          </w:p>
        </w:tc>
      </w:tr>
      <w:tr w:rsidR="005215C4" w:rsidRPr="00F43F27" w14:paraId="4ADFF054" w14:textId="77777777">
        <w:trPr>
          <w:cantSplit/>
          <w:jc w:val="center"/>
        </w:trPr>
        <w:tc>
          <w:tcPr>
            <w:tcW w:w="3515" w:type="dxa"/>
          </w:tcPr>
          <w:p w14:paraId="00B7FF8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Non-neurological composite, n (%)</w:t>
            </w:r>
          </w:p>
        </w:tc>
        <w:tc>
          <w:tcPr>
            <w:tcW w:w="1814" w:type="dxa"/>
          </w:tcPr>
          <w:p w14:paraId="2DD1C12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39 (21.3)</w:t>
            </w:r>
          </w:p>
        </w:tc>
        <w:tc>
          <w:tcPr>
            <w:tcW w:w="1587" w:type="dxa"/>
          </w:tcPr>
          <w:p w14:paraId="62EB74A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11 (22.9)</w:t>
            </w:r>
          </w:p>
        </w:tc>
        <w:tc>
          <w:tcPr>
            <w:tcW w:w="1474" w:type="dxa"/>
          </w:tcPr>
          <w:p w14:paraId="7DE6B8D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174EF37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0.845</w:t>
            </w:r>
          </w:p>
        </w:tc>
      </w:tr>
      <w:tr w:rsidR="005215C4" w:rsidRPr="00F43F27" w14:paraId="259CB3E4" w14:textId="77777777">
        <w:trPr>
          <w:cantSplit/>
          <w:jc w:val="center"/>
        </w:trPr>
        <w:tc>
          <w:tcPr>
            <w:tcW w:w="3515" w:type="dxa"/>
          </w:tcPr>
          <w:p w14:paraId="0C13B24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New or worsened motor deficit, n (%)</w:t>
            </w:r>
          </w:p>
        </w:tc>
        <w:tc>
          <w:tcPr>
            <w:tcW w:w="1814" w:type="dxa"/>
          </w:tcPr>
          <w:p w14:paraId="6AAA95D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20 (10.9)</w:t>
            </w:r>
          </w:p>
        </w:tc>
        <w:tc>
          <w:tcPr>
            <w:tcW w:w="1587" w:type="dxa"/>
          </w:tcPr>
          <w:p w14:paraId="2D427F3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10 (20.8)</w:t>
            </w:r>
          </w:p>
        </w:tc>
        <w:tc>
          <w:tcPr>
            <w:tcW w:w="1474" w:type="dxa"/>
          </w:tcPr>
          <w:p w14:paraId="6B1655D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52E7E72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0.090</w:t>
            </w:r>
          </w:p>
        </w:tc>
      </w:tr>
      <w:tr w:rsidR="005215C4" w:rsidRPr="00F43F27" w14:paraId="6D52BC54" w14:textId="77777777">
        <w:trPr>
          <w:cantSplit/>
          <w:jc w:val="center"/>
        </w:trPr>
        <w:tc>
          <w:tcPr>
            <w:tcW w:w="3515" w:type="dxa"/>
          </w:tcPr>
          <w:p w14:paraId="07AE060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Cognitive decline, n (%) ᵃ</w:t>
            </w:r>
          </w:p>
        </w:tc>
        <w:tc>
          <w:tcPr>
            <w:tcW w:w="1814" w:type="dxa"/>
          </w:tcPr>
          <w:p w14:paraId="3A2ADA7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16 (8.7)</w:t>
            </w:r>
          </w:p>
        </w:tc>
        <w:tc>
          <w:tcPr>
            <w:tcW w:w="1587" w:type="dxa"/>
          </w:tcPr>
          <w:p w14:paraId="190CEF5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12 (25.0)</w:t>
            </w:r>
          </w:p>
        </w:tc>
        <w:tc>
          <w:tcPr>
            <w:tcW w:w="1474" w:type="dxa"/>
          </w:tcPr>
          <w:p w14:paraId="20468EB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4DDE89A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0.005</w:t>
            </w:r>
          </w:p>
        </w:tc>
      </w:tr>
      <w:tr w:rsidR="005215C4" w:rsidRPr="00F43F27" w14:paraId="2FC1F146" w14:textId="77777777">
        <w:trPr>
          <w:cantSplit/>
          <w:jc w:val="center"/>
        </w:trPr>
        <w:tc>
          <w:tcPr>
            <w:tcW w:w="3515" w:type="dxa"/>
          </w:tcPr>
          <w:p w14:paraId="1A0FD05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Visual deterioration, n (%)</w:t>
            </w:r>
          </w:p>
        </w:tc>
        <w:tc>
          <w:tcPr>
            <w:tcW w:w="1814" w:type="dxa"/>
          </w:tcPr>
          <w:p w14:paraId="6BB93E3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14 (7.7)</w:t>
            </w:r>
          </w:p>
        </w:tc>
        <w:tc>
          <w:tcPr>
            <w:tcW w:w="1587" w:type="dxa"/>
          </w:tcPr>
          <w:p w14:paraId="3C94102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5 (10.4)</w:t>
            </w:r>
          </w:p>
        </w:tc>
        <w:tc>
          <w:tcPr>
            <w:tcW w:w="1474" w:type="dxa"/>
          </w:tcPr>
          <w:p w14:paraId="173BA78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6696518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0.557</w:t>
            </w:r>
          </w:p>
        </w:tc>
      </w:tr>
      <w:tr w:rsidR="005215C4" w:rsidRPr="00F43F27" w14:paraId="0752C438" w14:textId="77777777">
        <w:trPr>
          <w:cantSplit/>
          <w:jc w:val="center"/>
        </w:trPr>
        <w:tc>
          <w:tcPr>
            <w:tcW w:w="3515" w:type="dxa"/>
          </w:tcPr>
          <w:p w14:paraId="3E51C65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Any new neurological deficit, n (%)</w:t>
            </w:r>
          </w:p>
        </w:tc>
        <w:tc>
          <w:tcPr>
            <w:tcW w:w="1814" w:type="dxa"/>
          </w:tcPr>
          <w:p w14:paraId="6234105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48 (26.2)</w:t>
            </w:r>
          </w:p>
        </w:tc>
        <w:tc>
          <w:tcPr>
            <w:tcW w:w="1587" w:type="dxa"/>
          </w:tcPr>
          <w:p w14:paraId="0263ADA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20 (41.7)</w:t>
            </w:r>
          </w:p>
        </w:tc>
        <w:tc>
          <w:tcPr>
            <w:tcW w:w="1474" w:type="dxa"/>
          </w:tcPr>
          <w:p w14:paraId="450A980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4277C1C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0.050</w:t>
            </w:r>
          </w:p>
        </w:tc>
      </w:tr>
      <w:tr w:rsidR="005215C4" w:rsidRPr="00F43F27" w14:paraId="09849228" w14:textId="77777777">
        <w:trPr>
          <w:cantSplit/>
          <w:jc w:val="center"/>
        </w:trPr>
        <w:tc>
          <w:tcPr>
            <w:tcW w:w="3515" w:type="dxa"/>
          </w:tcPr>
          <w:p w14:paraId="0D3E5DA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Any complication, n (%)</w:t>
            </w:r>
          </w:p>
        </w:tc>
        <w:tc>
          <w:tcPr>
            <w:tcW w:w="1814" w:type="dxa"/>
          </w:tcPr>
          <w:p w14:paraId="2C9BAA2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71 (38.8)</w:t>
            </w:r>
          </w:p>
        </w:tc>
        <w:tc>
          <w:tcPr>
            <w:tcW w:w="1587" w:type="dxa"/>
          </w:tcPr>
          <w:p w14:paraId="6ADC90B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22 (45.8)</w:t>
            </w:r>
          </w:p>
        </w:tc>
        <w:tc>
          <w:tcPr>
            <w:tcW w:w="1474" w:type="dxa"/>
          </w:tcPr>
          <w:p w14:paraId="2AA956F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 (0.0)</w:t>
            </w:r>
          </w:p>
        </w:tc>
        <w:tc>
          <w:tcPr>
            <w:tcW w:w="1361" w:type="dxa"/>
          </w:tcPr>
          <w:p w14:paraId="3D79ECF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0.411</w:t>
            </w:r>
          </w:p>
        </w:tc>
      </w:tr>
    </w:tbl>
    <w:p w14:paraId="3DE7B484" w14:textId="634F4C5F" w:rsidR="005215C4" w:rsidRPr="00F43F27" w:rsidRDefault="00000000" w:rsidP="00F43F27">
      <w:pPr>
        <w:jc w:val="both"/>
        <w:rPr>
          <w:rFonts w:asciiTheme="majorBidi" w:hAnsiTheme="majorBidi" w:cstheme="majorBidi"/>
        </w:rPr>
      </w:pPr>
      <w:r>
        <w:rPr>
          <w:rFonts w:asciiTheme="majorBidi" w:hAnsiTheme="majorBidi" w:cstheme="majorBidi"/>
          <w:sz w:val="17"/>
        </w:rPr>
        <w:t xml:space="preserve">Values are mean ± SD, median (IQR) or n (%). p-values: Welch t-test (means), Mann–Whitney U test (medians) or Fisher exact test (proportions), development versus external cohort; the excluded group is shown for completeness only. ᵃ Cognitive decline was not recorded in Cesena; the development value is 16 of 115 (13.9%) in Bologna. The model predictor ‘cardiorespiratory comorbidity’ used the variable as recorded (development 81 of 183, 44.3%; external 7 of 48, 14.6%). ASA, American Society of Anesthesiologists; ICA, internal carotid artery; KPS, Karnofsky Performance Status.</w:t>
      </w:r>
    </w:p>
    <w:p w14:paraId="7D04F754" w14:textId="77777777" w:rsidR="005215C4" w:rsidRPr="00F43F27" w:rsidRDefault="00000000" w:rsidP="00F43F27">
      <w:pPr>
        <w:keepNext/>
        <w:spacing w:before="200"/>
        <w:jc w:val="both"/>
        <w:rPr>
          <w:rFonts w:asciiTheme="majorBidi" w:hAnsiTheme="majorBidi" w:cstheme="majorBidi"/>
        </w:rPr>
      </w:pPr>
      <w:r>
        <w:rPr>
          <w:rFonts w:asciiTheme="majorBidi" w:hAnsiTheme="majorBidi" w:cstheme="majorBidi"/>
          <w:b/>
        </w:rPr>
        <w:t xml:space="preserve">Table S2</w:t>
      </w:r>
      <w:r>
        <w:rPr>
          <w:rFonts w:asciiTheme="majorBidi" w:hAnsiTheme="majorBidi" w:cstheme="majorBidi"/>
        </w:rPr>
        <w:t xml:space="preserve"> Candidate and model-specific predictor sets</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3515"/>
        <w:gridCol w:w="2041"/>
        <w:gridCol w:w="2041"/>
        <w:gridCol w:w="2041"/>
      </w:tblGrid>
      <w:tr w:rsidR="005215C4" w:rsidRPr="00F43F27" w14:paraId="34714533" w14:textId="77777777">
        <w:trPr>
          <w:cantSplit/>
          <w:tblHeader/>
          <w:jc w:val="center"/>
        </w:trPr>
        <w:tc>
          <w:tcPr>
            <w:tcW w:w="3515" w:type="dxa"/>
          </w:tcPr>
          <w:p w14:paraId="4291476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Predictor</w:t>
            </w:r>
          </w:p>
        </w:tc>
        <w:tc>
          <w:tcPr>
            <w:tcW w:w="2041" w:type="dxa"/>
          </w:tcPr>
          <w:p w14:paraId="5A6C237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Gradient boosting</w:t>
            </w:r>
          </w:p>
        </w:tc>
        <w:tc>
          <w:tcPr>
            <w:tcW w:w="2041" w:type="dxa"/>
          </w:tcPr>
          <w:p w14:paraId="0198594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Ridge – non-neurological set</w:t>
            </w:r>
          </w:p>
        </w:tc>
        <w:tc>
          <w:tcPr>
            <w:tcW w:w="2041" w:type="dxa"/>
          </w:tcPr>
          <w:p w14:paraId="4CA6C21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Ridge – neurological set</w:t>
            </w:r>
          </w:p>
        </w:tc>
      </w:tr>
      <w:tr w:rsidR="005215C4" w:rsidRPr="00F43F27" w14:paraId="64C8490E" w14:textId="77777777">
        <w:trPr>
          <w:cantSplit/>
          <w:jc w:val="center"/>
        </w:trPr>
        <w:tc>
          <w:tcPr>
            <w:tcW w:w="3515" w:type="dxa"/>
          </w:tcPr>
          <w:p w14:paraId="78788E1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Demographic and comorbidity</w:t>
            </w:r>
          </w:p>
        </w:tc>
        <w:tc>
          <w:tcPr>
            <w:tcW w:w="2041" w:type="dxa"/>
          </w:tcPr>
          <w:p w14:paraId="43EFFD05" w14:textId="77777777" w:rsidR="005215C4" w:rsidRPr="00F43F27" w:rsidRDefault="005215C4" w:rsidP="00F43F27">
            <w:pPr>
              <w:spacing w:before="20" w:after="0"/>
              <w:jc w:val="both"/>
              <w:rPr>
                <w:rFonts w:asciiTheme="majorBidi" w:hAnsiTheme="majorBidi" w:cstheme="majorBidi"/>
              </w:rPr>
            </w:pPr>
          </w:p>
        </w:tc>
        <w:tc>
          <w:tcPr>
            <w:tcW w:w="2041" w:type="dxa"/>
          </w:tcPr>
          <w:p w14:paraId="68CA7B9C" w14:textId="77777777" w:rsidR="005215C4" w:rsidRPr="00F43F27" w:rsidRDefault="005215C4" w:rsidP="00F43F27">
            <w:pPr>
              <w:spacing w:before="20" w:after="0"/>
              <w:jc w:val="both"/>
              <w:rPr>
                <w:rFonts w:asciiTheme="majorBidi" w:hAnsiTheme="majorBidi" w:cstheme="majorBidi"/>
              </w:rPr>
            </w:pPr>
          </w:p>
        </w:tc>
        <w:tc>
          <w:tcPr>
            <w:tcW w:w="2041" w:type="dxa"/>
          </w:tcPr>
          <w:p w14:paraId="3AF504DC" w14:textId="77777777" w:rsidR="005215C4" w:rsidRPr="00F43F27" w:rsidRDefault="005215C4" w:rsidP="00F43F27">
            <w:pPr>
              <w:spacing w:before="20" w:after="0"/>
              <w:jc w:val="both"/>
              <w:rPr>
                <w:rFonts w:asciiTheme="majorBidi" w:hAnsiTheme="majorBidi" w:cstheme="majorBidi"/>
              </w:rPr>
            </w:pPr>
          </w:p>
        </w:tc>
      </w:tr>
      <w:tr w:rsidR="005215C4" w:rsidRPr="00F43F27" w14:paraId="0B63A84F" w14:textId="77777777">
        <w:trPr>
          <w:cantSplit/>
          <w:jc w:val="center"/>
        </w:trPr>
        <w:tc>
          <w:tcPr>
            <w:tcW w:w="3515" w:type="dxa"/>
          </w:tcPr>
          <w:p w14:paraId="72A795D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Age</w:t>
            </w:r>
          </w:p>
        </w:tc>
        <w:tc>
          <w:tcPr>
            <w:tcW w:w="2041" w:type="dxa"/>
          </w:tcPr>
          <w:p w14:paraId="222B7D2C"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796DB967"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016E9C02"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r>
      <w:tr w:rsidR="005215C4" w:rsidRPr="00F43F27" w14:paraId="5FEE8112" w14:textId="77777777">
        <w:trPr>
          <w:cantSplit/>
          <w:jc w:val="center"/>
        </w:trPr>
        <w:tc>
          <w:tcPr>
            <w:tcW w:w="3515" w:type="dxa"/>
          </w:tcPr>
          <w:p w14:paraId="093C9F4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Sex</w:t>
            </w:r>
          </w:p>
        </w:tc>
        <w:tc>
          <w:tcPr>
            <w:tcW w:w="2041" w:type="dxa"/>
          </w:tcPr>
          <w:p w14:paraId="75B7AEE3"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22BD2A3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4E09903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72AA5DE3" w14:textId="77777777">
        <w:trPr>
          <w:cantSplit/>
          <w:jc w:val="center"/>
        </w:trPr>
        <w:tc>
          <w:tcPr>
            <w:tcW w:w="3515" w:type="dxa"/>
          </w:tcPr>
          <w:p w14:paraId="5BDA696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Charlson Comorbidity Index</w:t>
            </w:r>
          </w:p>
        </w:tc>
        <w:tc>
          <w:tcPr>
            <w:tcW w:w="2041" w:type="dxa"/>
          </w:tcPr>
          <w:p w14:paraId="65097FE8"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387CE709"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2AB8127F"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r>
      <w:tr w:rsidR="005215C4" w:rsidRPr="00F43F27" w14:paraId="5F40610A" w14:textId="77777777">
        <w:trPr>
          <w:cantSplit/>
          <w:jc w:val="center"/>
        </w:trPr>
        <w:tc>
          <w:tcPr>
            <w:tcW w:w="3515" w:type="dxa"/>
          </w:tcPr>
          <w:p w14:paraId="0CE0BFC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ASA physical status</w:t>
            </w:r>
          </w:p>
        </w:tc>
        <w:tc>
          <w:tcPr>
            <w:tcW w:w="2041" w:type="dxa"/>
          </w:tcPr>
          <w:p w14:paraId="252B22B8"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02DFC15E"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5D09E26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24A4CB81" w14:textId="77777777">
        <w:trPr>
          <w:cantSplit/>
          <w:jc w:val="center"/>
        </w:trPr>
        <w:tc>
          <w:tcPr>
            <w:tcW w:w="3515" w:type="dxa"/>
          </w:tcPr>
          <w:p w14:paraId="43D7ADA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Any comorbidity</w:t>
            </w:r>
          </w:p>
        </w:tc>
        <w:tc>
          <w:tcPr>
            <w:tcW w:w="2041" w:type="dxa"/>
          </w:tcPr>
          <w:p w14:paraId="442CA9AB"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0075D71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43C9829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511C2C1E" w14:textId="77777777">
        <w:trPr>
          <w:cantSplit/>
          <w:jc w:val="center"/>
        </w:trPr>
        <w:tc>
          <w:tcPr>
            <w:tcW w:w="3515" w:type="dxa"/>
          </w:tcPr>
          <w:p w14:paraId="611FEC9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Cardiorespiratory comorbidity</w:t>
            </w:r>
          </w:p>
        </w:tc>
        <w:tc>
          <w:tcPr>
            <w:tcW w:w="2041" w:type="dxa"/>
          </w:tcPr>
          <w:p w14:paraId="20C3C601"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118FDED8"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5764CD1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07B34A70" w14:textId="77777777">
        <w:trPr>
          <w:cantSplit/>
          <w:jc w:val="center"/>
        </w:trPr>
        <w:tc>
          <w:tcPr>
            <w:tcW w:w="3515" w:type="dxa"/>
          </w:tcPr>
          <w:p w14:paraId="40D5490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Hypertension</w:t>
            </w:r>
          </w:p>
        </w:tc>
        <w:tc>
          <w:tcPr>
            <w:tcW w:w="2041" w:type="dxa"/>
          </w:tcPr>
          <w:p w14:paraId="51603C82"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73FE175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75D1ABA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742B0A09" w14:textId="77777777">
        <w:trPr>
          <w:cantSplit/>
          <w:jc w:val="center"/>
        </w:trPr>
        <w:tc>
          <w:tcPr>
            <w:tcW w:w="3515" w:type="dxa"/>
          </w:tcPr>
          <w:p w14:paraId="043B6EA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Hyperlipidemia</w:t>
            </w:r>
          </w:p>
        </w:tc>
        <w:tc>
          <w:tcPr>
            <w:tcW w:w="2041" w:type="dxa"/>
          </w:tcPr>
          <w:p w14:paraId="7710A67A"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54CF7DC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3719CF1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53970821" w14:textId="77777777">
        <w:trPr>
          <w:cantSplit/>
          <w:jc w:val="center"/>
        </w:trPr>
        <w:tc>
          <w:tcPr>
            <w:tcW w:w="3515" w:type="dxa"/>
          </w:tcPr>
          <w:p w14:paraId="322CE33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Preoperative clinical status</w:t>
            </w:r>
          </w:p>
        </w:tc>
        <w:tc>
          <w:tcPr>
            <w:tcW w:w="2041" w:type="dxa"/>
          </w:tcPr>
          <w:p w14:paraId="7F14CC9A" w14:textId="77777777" w:rsidR="005215C4" w:rsidRPr="00F43F27" w:rsidRDefault="005215C4" w:rsidP="00F43F27">
            <w:pPr>
              <w:spacing w:before="20" w:after="0"/>
              <w:jc w:val="both"/>
              <w:rPr>
                <w:rFonts w:asciiTheme="majorBidi" w:hAnsiTheme="majorBidi" w:cstheme="majorBidi"/>
              </w:rPr>
            </w:pPr>
          </w:p>
        </w:tc>
        <w:tc>
          <w:tcPr>
            <w:tcW w:w="2041" w:type="dxa"/>
          </w:tcPr>
          <w:p w14:paraId="5BFA2F2C" w14:textId="77777777" w:rsidR="005215C4" w:rsidRPr="00F43F27" w:rsidRDefault="005215C4" w:rsidP="00F43F27">
            <w:pPr>
              <w:spacing w:before="20" w:after="0"/>
              <w:jc w:val="both"/>
              <w:rPr>
                <w:rFonts w:asciiTheme="majorBidi" w:hAnsiTheme="majorBidi" w:cstheme="majorBidi"/>
              </w:rPr>
            </w:pPr>
          </w:p>
        </w:tc>
        <w:tc>
          <w:tcPr>
            <w:tcW w:w="2041" w:type="dxa"/>
          </w:tcPr>
          <w:p w14:paraId="27F09529" w14:textId="77777777" w:rsidR="005215C4" w:rsidRPr="00F43F27" w:rsidRDefault="005215C4" w:rsidP="00F43F27">
            <w:pPr>
              <w:spacing w:before="20" w:after="0"/>
              <w:jc w:val="both"/>
              <w:rPr>
                <w:rFonts w:asciiTheme="majorBidi" w:hAnsiTheme="majorBidi" w:cstheme="majorBidi"/>
              </w:rPr>
            </w:pPr>
          </w:p>
        </w:tc>
      </w:tr>
      <w:tr w:rsidR="005215C4" w:rsidRPr="00F43F27" w14:paraId="73861285" w14:textId="77777777">
        <w:trPr>
          <w:cantSplit/>
          <w:jc w:val="center"/>
        </w:trPr>
        <w:tc>
          <w:tcPr>
            <w:tcW w:w="3515" w:type="dxa"/>
          </w:tcPr>
          <w:p w14:paraId="641FC9B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Karnofsky Performance Status</w:t>
            </w:r>
          </w:p>
        </w:tc>
        <w:tc>
          <w:tcPr>
            <w:tcW w:w="2041" w:type="dxa"/>
          </w:tcPr>
          <w:p w14:paraId="3289F7ED"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71F90A66"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7A10D9F2"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r>
      <w:tr w:rsidR="005215C4" w:rsidRPr="00F43F27" w14:paraId="1066AF59" w14:textId="77777777">
        <w:trPr>
          <w:cantSplit/>
          <w:jc w:val="center"/>
        </w:trPr>
        <w:tc>
          <w:tcPr>
            <w:tcW w:w="3515" w:type="dxa"/>
          </w:tcPr>
          <w:p w14:paraId="7981710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Headache</w:t>
            </w:r>
          </w:p>
        </w:tc>
        <w:tc>
          <w:tcPr>
            <w:tcW w:w="2041" w:type="dxa"/>
          </w:tcPr>
          <w:p w14:paraId="75D9E4FE"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4332E12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11F573C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6D0198F3" w14:textId="77777777">
        <w:trPr>
          <w:cantSplit/>
          <w:jc w:val="center"/>
        </w:trPr>
        <w:tc>
          <w:tcPr>
            <w:tcW w:w="3515" w:type="dxa"/>
          </w:tcPr>
          <w:p w14:paraId="4E61A2F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Motor deficits</w:t>
            </w:r>
          </w:p>
        </w:tc>
        <w:tc>
          <w:tcPr>
            <w:tcW w:w="2041" w:type="dxa"/>
          </w:tcPr>
          <w:p w14:paraId="12B53845"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4D3C696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21A5B446"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r>
      <w:tr w:rsidR="005215C4" w:rsidRPr="00F43F27" w14:paraId="42B8967F" w14:textId="77777777">
        <w:trPr>
          <w:cantSplit/>
          <w:jc w:val="center"/>
        </w:trPr>
        <w:tc>
          <w:tcPr>
            <w:tcW w:w="3515" w:type="dxa"/>
          </w:tcPr>
          <w:p w14:paraId="715592F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lastRenderedPageBreak/>
              <w:t>Visual deficits</w:t>
            </w:r>
          </w:p>
        </w:tc>
        <w:tc>
          <w:tcPr>
            <w:tcW w:w="2041" w:type="dxa"/>
          </w:tcPr>
          <w:p w14:paraId="7AF4151F"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00DB4F2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787885F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5C1C583A" w14:textId="77777777">
        <w:trPr>
          <w:cantSplit/>
          <w:jc w:val="center"/>
        </w:trPr>
        <w:tc>
          <w:tcPr>
            <w:tcW w:w="3515" w:type="dxa"/>
          </w:tcPr>
          <w:p w14:paraId="3E7260E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Radiological</w:t>
            </w:r>
          </w:p>
        </w:tc>
        <w:tc>
          <w:tcPr>
            <w:tcW w:w="2041" w:type="dxa"/>
          </w:tcPr>
          <w:p w14:paraId="44FB49F1" w14:textId="77777777" w:rsidR="005215C4" w:rsidRPr="00F43F27" w:rsidRDefault="005215C4" w:rsidP="00F43F27">
            <w:pPr>
              <w:spacing w:before="20" w:after="0"/>
              <w:jc w:val="both"/>
              <w:rPr>
                <w:rFonts w:asciiTheme="majorBidi" w:hAnsiTheme="majorBidi" w:cstheme="majorBidi"/>
              </w:rPr>
            </w:pPr>
          </w:p>
        </w:tc>
        <w:tc>
          <w:tcPr>
            <w:tcW w:w="2041" w:type="dxa"/>
          </w:tcPr>
          <w:p w14:paraId="775070D9" w14:textId="77777777" w:rsidR="005215C4" w:rsidRPr="00F43F27" w:rsidRDefault="005215C4" w:rsidP="00F43F27">
            <w:pPr>
              <w:spacing w:before="20" w:after="0"/>
              <w:jc w:val="both"/>
              <w:rPr>
                <w:rFonts w:asciiTheme="majorBidi" w:hAnsiTheme="majorBidi" w:cstheme="majorBidi"/>
              </w:rPr>
            </w:pPr>
          </w:p>
        </w:tc>
        <w:tc>
          <w:tcPr>
            <w:tcW w:w="2041" w:type="dxa"/>
          </w:tcPr>
          <w:p w14:paraId="64062DEA" w14:textId="77777777" w:rsidR="005215C4" w:rsidRPr="00F43F27" w:rsidRDefault="005215C4" w:rsidP="00F43F27">
            <w:pPr>
              <w:spacing w:before="20" w:after="0"/>
              <w:jc w:val="both"/>
              <w:rPr>
                <w:rFonts w:asciiTheme="majorBidi" w:hAnsiTheme="majorBidi" w:cstheme="majorBidi"/>
              </w:rPr>
            </w:pPr>
          </w:p>
        </w:tc>
      </w:tr>
      <w:tr w:rsidR="005215C4" w:rsidRPr="00F43F27" w14:paraId="087F3774" w14:textId="77777777">
        <w:trPr>
          <w:cantSplit/>
          <w:jc w:val="center"/>
        </w:trPr>
        <w:tc>
          <w:tcPr>
            <w:tcW w:w="3515" w:type="dxa"/>
          </w:tcPr>
          <w:p w14:paraId="46718A5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Maximum axial tumor diameter</w:t>
            </w:r>
          </w:p>
        </w:tc>
        <w:tc>
          <w:tcPr>
            <w:tcW w:w="2041" w:type="dxa"/>
          </w:tcPr>
          <w:p w14:paraId="0CD48984"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50AC4DFD"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7D38D639"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r>
      <w:tr w:rsidR="005215C4" w:rsidRPr="00F43F27" w14:paraId="0708AB84" w14:textId="77777777">
        <w:trPr>
          <w:cantSplit/>
          <w:jc w:val="center"/>
        </w:trPr>
        <w:tc>
          <w:tcPr>
            <w:tcW w:w="3515" w:type="dxa"/>
          </w:tcPr>
          <w:p w14:paraId="137F227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Tumor side</w:t>
            </w:r>
          </w:p>
        </w:tc>
        <w:tc>
          <w:tcPr>
            <w:tcW w:w="2041" w:type="dxa"/>
          </w:tcPr>
          <w:p w14:paraId="0F59704B"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7535B0E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27D08EF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44EFC4DD" w14:textId="77777777">
        <w:trPr>
          <w:cantSplit/>
          <w:jc w:val="center"/>
        </w:trPr>
        <w:tc>
          <w:tcPr>
            <w:tcW w:w="3515" w:type="dxa"/>
          </w:tcPr>
          <w:p w14:paraId="72A8930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Vessel encasement</w:t>
            </w:r>
          </w:p>
        </w:tc>
        <w:tc>
          <w:tcPr>
            <w:tcW w:w="2041" w:type="dxa"/>
          </w:tcPr>
          <w:p w14:paraId="481CAC70"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r>
              <w:rPr>
                <w:rFonts w:asciiTheme="majorBidi" w:hAnsiTheme="majorBidi" w:cstheme="majorBidi"/>
                <w:sz w:val="16"/>
              </w:rPr>
              <w:t xml:space="preserve"> (categorical)</w:t>
            </w:r>
          </w:p>
        </w:tc>
        <w:tc>
          <w:tcPr>
            <w:tcW w:w="2041" w:type="dxa"/>
          </w:tcPr>
          <w:p w14:paraId="0F101025"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r>
              <w:rPr>
                <w:rFonts w:asciiTheme="majorBidi" w:hAnsiTheme="majorBidi" w:cstheme="majorBidi"/>
                <w:sz w:val="16"/>
              </w:rPr>
              <w:t xml:space="preserve"> (ordinal 0–4)</w:t>
            </w:r>
          </w:p>
        </w:tc>
        <w:tc>
          <w:tcPr>
            <w:tcW w:w="2041" w:type="dxa"/>
          </w:tcPr>
          <w:p w14:paraId="76480B8B"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r>
              <w:rPr>
                <w:rFonts w:asciiTheme="majorBidi" w:hAnsiTheme="majorBidi" w:cstheme="majorBidi"/>
                <w:sz w:val="16"/>
              </w:rPr>
              <w:t xml:space="preserve"> (ordinal 0–4)</w:t>
            </w:r>
          </w:p>
        </w:tc>
      </w:tr>
      <w:tr w:rsidR="005215C4" w:rsidRPr="00F43F27" w14:paraId="2D0D7D9D" w14:textId="77777777">
        <w:trPr>
          <w:cantSplit/>
          <w:jc w:val="center"/>
        </w:trPr>
        <w:tc>
          <w:tcPr>
            <w:tcW w:w="3515" w:type="dxa"/>
          </w:tcPr>
          <w:p w14:paraId="3D60256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Midline shift</w:t>
            </w:r>
          </w:p>
        </w:tc>
        <w:tc>
          <w:tcPr>
            <w:tcW w:w="2041" w:type="dxa"/>
          </w:tcPr>
          <w:p w14:paraId="2C86E4F0"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4E0997D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6112E5F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30AA4747" w14:textId="77777777">
        <w:trPr>
          <w:cantSplit/>
          <w:jc w:val="center"/>
        </w:trPr>
        <w:tc>
          <w:tcPr>
            <w:tcW w:w="3515" w:type="dxa"/>
          </w:tcPr>
          <w:p w14:paraId="7998C90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Dural tail</w:t>
            </w:r>
          </w:p>
        </w:tc>
        <w:tc>
          <w:tcPr>
            <w:tcW w:w="2041" w:type="dxa"/>
          </w:tcPr>
          <w:p w14:paraId="7565C977"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5CEEE10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533B9AB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75E88AE5" w14:textId="77777777">
        <w:trPr>
          <w:cantSplit/>
          <w:jc w:val="center"/>
        </w:trPr>
        <w:tc>
          <w:tcPr>
            <w:tcW w:w="3515" w:type="dxa"/>
          </w:tcPr>
          <w:p w14:paraId="0F7D338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Hyperostosis</w:t>
            </w:r>
          </w:p>
        </w:tc>
        <w:tc>
          <w:tcPr>
            <w:tcW w:w="2041" w:type="dxa"/>
          </w:tcPr>
          <w:p w14:paraId="512DA4FE"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5F1F88E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57D3DD9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3A08279A" w14:textId="77777777">
        <w:trPr>
          <w:cantSplit/>
          <w:jc w:val="center"/>
        </w:trPr>
        <w:tc>
          <w:tcPr>
            <w:tcW w:w="3515" w:type="dxa"/>
          </w:tcPr>
          <w:p w14:paraId="7525775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Optic canal invasion</w:t>
            </w:r>
          </w:p>
        </w:tc>
        <w:tc>
          <w:tcPr>
            <w:tcW w:w="2041" w:type="dxa"/>
          </w:tcPr>
          <w:p w14:paraId="39611482"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5C5CA47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691DDF3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5393A71C" w14:textId="77777777">
        <w:trPr>
          <w:cantSplit/>
          <w:jc w:val="center"/>
        </w:trPr>
        <w:tc>
          <w:tcPr>
            <w:tcW w:w="3515" w:type="dxa"/>
          </w:tcPr>
          <w:p w14:paraId="65E41FC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Optic nerve or chiasm compression</w:t>
            </w:r>
          </w:p>
        </w:tc>
        <w:tc>
          <w:tcPr>
            <w:tcW w:w="2041" w:type="dxa"/>
          </w:tcPr>
          <w:p w14:paraId="7BA2FCA9"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36C3DF8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1362E26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4C720F08" w14:textId="77777777">
        <w:trPr>
          <w:cantSplit/>
          <w:jc w:val="center"/>
        </w:trPr>
        <w:tc>
          <w:tcPr>
            <w:tcW w:w="3515" w:type="dxa"/>
          </w:tcPr>
          <w:p w14:paraId="627ED16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ICA compression</w:t>
            </w:r>
          </w:p>
        </w:tc>
        <w:tc>
          <w:tcPr>
            <w:tcW w:w="2041" w:type="dxa"/>
          </w:tcPr>
          <w:p w14:paraId="3633923D"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737E0EB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46086E0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1B41A07D" w14:textId="77777777">
        <w:trPr>
          <w:cantSplit/>
          <w:jc w:val="center"/>
        </w:trPr>
        <w:tc>
          <w:tcPr>
            <w:tcW w:w="3515" w:type="dxa"/>
          </w:tcPr>
          <w:p w14:paraId="4EB795D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Carotid siphon involvement</w:t>
            </w:r>
          </w:p>
        </w:tc>
        <w:tc>
          <w:tcPr>
            <w:tcW w:w="2041" w:type="dxa"/>
          </w:tcPr>
          <w:p w14:paraId="73FC8DE8"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3ADCE29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46ED5E26"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r>
      <w:tr w:rsidR="005215C4" w:rsidRPr="00F43F27" w14:paraId="374EBD2F" w14:textId="77777777">
        <w:trPr>
          <w:cantSplit/>
          <w:jc w:val="center"/>
        </w:trPr>
        <w:tc>
          <w:tcPr>
            <w:tcW w:w="3515" w:type="dxa"/>
          </w:tcPr>
          <w:p w14:paraId="3FB6963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ICA encasement</w:t>
            </w:r>
          </w:p>
        </w:tc>
        <w:tc>
          <w:tcPr>
            <w:tcW w:w="2041" w:type="dxa"/>
          </w:tcPr>
          <w:p w14:paraId="5AAE1F76"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64F9DD6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60AF11E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423E282E" w14:textId="77777777">
        <w:trPr>
          <w:cantSplit/>
          <w:jc w:val="center"/>
        </w:trPr>
        <w:tc>
          <w:tcPr>
            <w:tcW w:w="3515" w:type="dxa"/>
          </w:tcPr>
          <w:p w14:paraId="62BC8DF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ACA/MCA/PCA involvement</w:t>
            </w:r>
          </w:p>
        </w:tc>
        <w:tc>
          <w:tcPr>
            <w:tcW w:w="2041" w:type="dxa"/>
          </w:tcPr>
          <w:p w14:paraId="769FFB8C"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7282257D"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05E5216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r>
      <w:tr w:rsidR="005215C4" w:rsidRPr="00F43F27" w14:paraId="67429F50" w14:textId="77777777">
        <w:trPr>
          <w:cantSplit/>
          <w:jc w:val="center"/>
        </w:trPr>
        <w:tc>
          <w:tcPr>
            <w:tcW w:w="3515" w:type="dxa"/>
          </w:tcPr>
          <w:p w14:paraId="6598516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Cavernous sinus involvement</w:t>
            </w:r>
          </w:p>
        </w:tc>
        <w:tc>
          <w:tcPr>
            <w:tcW w:w="2041" w:type="dxa"/>
          </w:tcPr>
          <w:p w14:paraId="1F782E25"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c>
          <w:tcPr>
            <w:tcW w:w="2041" w:type="dxa"/>
          </w:tcPr>
          <w:p w14:paraId="608F04B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2041" w:type="dxa"/>
          </w:tcPr>
          <w:p w14:paraId="69B531C1" w14:textId="77777777" w:rsidR="005215C4" w:rsidRPr="00F43F27" w:rsidRDefault="00000000" w:rsidP="00F43F27">
            <w:pPr>
              <w:spacing w:before="20" w:after="0"/>
              <w:jc w:val="both"/>
              <w:rPr>
                <w:rFonts w:asciiTheme="majorBidi" w:hAnsiTheme="majorBidi" w:cstheme="majorBidi"/>
              </w:rPr>
            </w:pPr>
            <w:r>
              <w:rPr>
                <w:rFonts w:ascii="Segoe UI Symbol" w:hAnsi="Segoe UI Symbol" w:cs="Segoe UI Symbol"/>
                <w:sz w:val="16"/>
              </w:rPr>
              <w:t xml:space="preserve">✓</w:t>
            </w:r>
          </w:p>
        </w:tc>
      </w:tr>
      <w:tr w:rsidR="005215C4" w:rsidRPr="00F43F27" w14:paraId="5D1C6CC5" w14:textId="77777777">
        <w:trPr>
          <w:cantSplit/>
          <w:jc w:val="center"/>
        </w:trPr>
        <w:tc>
          <w:tcPr>
            <w:tcW w:w="3515" w:type="dxa"/>
          </w:tcPr>
          <w:p w14:paraId="01E6B6F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Total predictors</w:t>
            </w:r>
          </w:p>
        </w:tc>
        <w:tc>
          <w:tcPr>
            <w:tcW w:w="2041" w:type="dxa"/>
          </w:tcPr>
          <w:p w14:paraId="0B06526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25 (39 encoded inputs)</w:t>
            </w:r>
          </w:p>
        </w:tc>
        <w:tc>
          <w:tcPr>
            <w:tcW w:w="2041" w:type="dxa"/>
          </w:tcPr>
          <w:p w14:paraId="0C946BD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7</w:t>
            </w:r>
          </w:p>
        </w:tc>
        <w:tc>
          <w:tcPr>
            <w:tcW w:w="2041" w:type="dxa"/>
          </w:tcPr>
          <w:p w14:paraId="34F95AC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8</w:t>
            </w:r>
          </w:p>
        </w:tc>
      </w:tr>
    </w:tbl>
    <w:p w14:paraId="2685AAC5" w14:textId="2230AB9B" w:rsidR="005215C4" w:rsidRPr="00F43F27" w:rsidRDefault="00000000" w:rsidP="00F43F27">
      <w:pPr>
        <w:jc w:val="both"/>
        <w:rPr>
          <w:rFonts w:asciiTheme="majorBidi" w:hAnsiTheme="majorBidi" w:cstheme="majorBidi"/>
        </w:rPr>
      </w:pPr>
      <w:r>
        <w:rPr>
          <w:rFonts w:asciiTheme="majorBidi" w:hAnsiTheme="majorBidi" w:cstheme="majorBidi"/>
          <w:sz w:val="17"/>
        </w:rPr>
        <w:t xml:space="preserve">All predictors were recorded preoperatively and were available at the time of surgical counselling. The non-neurological set was used for the medical, surgical and non-neurological composite endpoints; the neurological set for the neurological composite, motor, cognitive and visual endpoints. ASA physical status was part of the pre-specified non-neurological set and was removed before the final models were fitted (Online Resource 3, Table S16). The count of 39 encoded inputs reflects one-hot encoding of sex, ASA class, tumor side and vessel-encasement category, each with an explicit missing-category indicator. ACA, anterior cerebral artery; ASA, American Society of Anesthesiologists; ICA, internal carotid artery; MCA, middle cerebral artery; PCA, posterior cerebral artery.</w:t>
      </w:r>
    </w:p>
    <w:p w14:paraId="70F4FBF0" w14:textId="77777777" w:rsidR="005215C4" w:rsidRPr="00F43F27" w:rsidRDefault="00000000" w:rsidP="00F43F27">
      <w:pPr>
        <w:keepNext/>
        <w:spacing w:before="200"/>
        <w:jc w:val="both"/>
        <w:rPr>
          <w:rFonts w:asciiTheme="majorBidi" w:hAnsiTheme="majorBidi" w:cstheme="majorBidi"/>
        </w:rPr>
      </w:pPr>
      <w:r>
        <w:rPr>
          <w:rFonts w:asciiTheme="majorBidi" w:hAnsiTheme="majorBidi" w:cstheme="majorBidi"/>
          <w:b/>
        </w:rPr>
        <w:t xml:space="preserve">Table S3</w:t>
      </w:r>
      <w:r>
        <w:rPr>
          <w:rFonts w:asciiTheme="majorBidi" w:hAnsiTheme="majorBidi" w:cstheme="majorBidi"/>
        </w:rPr>
        <w:t xml:space="preserve"> Histogram gradient boosting: specification</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835"/>
        <w:gridCol w:w="6803"/>
      </w:tblGrid>
      <w:tr w:rsidR="005215C4" w:rsidRPr="00F43F27" w14:paraId="04BB7D41" w14:textId="77777777">
        <w:trPr>
          <w:cantSplit/>
          <w:tblHeader/>
          <w:jc w:val="center"/>
        </w:trPr>
        <w:tc>
          <w:tcPr>
            <w:tcW w:w="2835" w:type="dxa"/>
          </w:tcPr>
          <w:p w14:paraId="0172251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Setting</w:t>
            </w:r>
          </w:p>
        </w:tc>
        <w:tc>
          <w:tcPr>
            <w:tcW w:w="6803" w:type="dxa"/>
          </w:tcPr>
          <w:p w14:paraId="1306BE3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Value</w:t>
            </w:r>
          </w:p>
        </w:tc>
      </w:tr>
      <w:tr w:rsidR="005215C4" w:rsidRPr="00F43F27" w14:paraId="54A0FC64" w14:textId="77777777">
        <w:trPr>
          <w:cantSplit/>
          <w:jc w:val="center"/>
        </w:trPr>
        <w:tc>
          <w:tcPr>
            <w:tcW w:w="2835" w:type="dxa"/>
          </w:tcPr>
          <w:p w14:paraId="27C0D39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Estimator</w:t>
            </w:r>
          </w:p>
        </w:tc>
        <w:tc>
          <w:tcPr>
            <w:tcW w:w="6803" w:type="dxa"/>
          </w:tcPr>
          <w:p w14:paraId="2B82D13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scikit-learn HistGradientBoostingClassifier</w:t>
            </w:r>
          </w:p>
        </w:tc>
      </w:tr>
      <w:tr w:rsidR="005215C4" w:rsidRPr="00F43F27" w14:paraId="672494D3" w14:textId="77777777">
        <w:trPr>
          <w:cantSplit/>
          <w:jc w:val="center"/>
        </w:trPr>
        <w:tc>
          <w:tcPr>
            <w:tcW w:w="2835" w:type="dxa"/>
          </w:tcPr>
          <w:p w14:paraId="3EFF5C8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Hyperparameter search</w:t>
            </w:r>
          </w:p>
        </w:tc>
        <w:tc>
          <w:tcPr>
            <w:tcW w:w="6803" w:type="dxa"/>
          </w:tcPr>
          <w:p w14:paraId="658CD71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None; scikit-learn default settings</w:t>
            </w:r>
          </w:p>
        </w:tc>
      </w:tr>
      <w:tr w:rsidR="005215C4" w:rsidRPr="00F43F27" w14:paraId="09431B11" w14:textId="77777777">
        <w:trPr>
          <w:cantSplit/>
          <w:jc w:val="center"/>
        </w:trPr>
        <w:tc>
          <w:tcPr>
            <w:tcW w:w="2835" w:type="dxa"/>
          </w:tcPr>
          <w:p w14:paraId="016E4C1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Loss</w:t>
            </w:r>
          </w:p>
        </w:tc>
        <w:tc>
          <w:tcPr>
            <w:tcW w:w="6803" w:type="dxa"/>
          </w:tcPr>
          <w:p w14:paraId="7F69648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Logarithmic loss</w:t>
            </w:r>
          </w:p>
        </w:tc>
      </w:tr>
      <w:tr w:rsidR="005215C4" w:rsidRPr="00F43F27" w14:paraId="7BA62376" w14:textId="77777777">
        <w:trPr>
          <w:cantSplit/>
          <w:jc w:val="center"/>
        </w:trPr>
        <w:tc>
          <w:tcPr>
            <w:tcW w:w="2835" w:type="dxa"/>
          </w:tcPr>
          <w:p w14:paraId="6E720FB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Learning rate</w:t>
            </w:r>
          </w:p>
        </w:tc>
        <w:tc>
          <w:tcPr>
            <w:tcW w:w="6803" w:type="dxa"/>
          </w:tcPr>
          <w:p w14:paraId="28D12C8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0.1</w:t>
            </w:r>
          </w:p>
        </w:tc>
      </w:tr>
      <w:tr w:rsidR="005215C4" w:rsidRPr="00F43F27" w14:paraId="31CFD24D" w14:textId="77777777">
        <w:trPr>
          <w:cantSplit/>
          <w:jc w:val="center"/>
        </w:trPr>
        <w:tc>
          <w:tcPr>
            <w:tcW w:w="2835" w:type="dxa"/>
          </w:tcPr>
          <w:p w14:paraId="2FAB5FB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Maximum boosting iterations</w:t>
            </w:r>
          </w:p>
        </w:tc>
        <w:tc>
          <w:tcPr>
            <w:tcW w:w="6803" w:type="dxa"/>
          </w:tcPr>
          <w:p w14:paraId="5C833D3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100</w:t>
            </w:r>
          </w:p>
        </w:tc>
      </w:tr>
      <w:tr w:rsidR="005215C4" w:rsidRPr="00F43F27" w14:paraId="4646749F" w14:textId="77777777">
        <w:trPr>
          <w:cantSplit/>
          <w:jc w:val="center"/>
        </w:trPr>
        <w:tc>
          <w:tcPr>
            <w:tcW w:w="2835" w:type="dxa"/>
          </w:tcPr>
          <w:p w14:paraId="0CC3A8B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Maximum leaf nodes</w:t>
            </w:r>
          </w:p>
        </w:tc>
        <w:tc>
          <w:tcPr>
            <w:tcW w:w="6803" w:type="dxa"/>
          </w:tcPr>
          <w:p w14:paraId="492C5F0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31</w:t>
            </w:r>
          </w:p>
        </w:tc>
      </w:tr>
      <w:tr w:rsidR="005215C4" w:rsidRPr="00F43F27" w14:paraId="1A5ED8EF" w14:textId="77777777">
        <w:trPr>
          <w:cantSplit/>
          <w:jc w:val="center"/>
        </w:trPr>
        <w:tc>
          <w:tcPr>
            <w:tcW w:w="2835" w:type="dxa"/>
          </w:tcPr>
          <w:p w14:paraId="17F4D2E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Minimum samples per leaf</w:t>
            </w:r>
          </w:p>
        </w:tc>
        <w:tc>
          <w:tcPr>
            <w:tcW w:w="6803" w:type="dxa"/>
          </w:tcPr>
          <w:p w14:paraId="264AB06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20</w:t>
            </w:r>
          </w:p>
        </w:tc>
      </w:tr>
      <w:tr w:rsidR="005215C4" w:rsidRPr="00F43F27" w14:paraId="346589FC" w14:textId="77777777">
        <w:trPr>
          <w:cantSplit/>
          <w:jc w:val="center"/>
        </w:trPr>
        <w:tc>
          <w:tcPr>
            <w:tcW w:w="2835" w:type="dxa"/>
          </w:tcPr>
          <w:p w14:paraId="43B4F70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Maximum depth</w:t>
            </w:r>
          </w:p>
        </w:tc>
        <w:tc>
          <w:tcPr>
            <w:tcW w:w="6803" w:type="dxa"/>
          </w:tcPr>
          <w:p w14:paraId="1076B0B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Unrestricted</w:t>
            </w:r>
          </w:p>
        </w:tc>
      </w:tr>
      <w:tr w:rsidR="005215C4" w:rsidRPr="00F43F27" w14:paraId="3291C8D7" w14:textId="77777777">
        <w:trPr>
          <w:cantSplit/>
          <w:jc w:val="center"/>
        </w:trPr>
        <w:tc>
          <w:tcPr>
            <w:tcW w:w="2835" w:type="dxa"/>
          </w:tcPr>
          <w:p w14:paraId="366B62E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L2 regularization</w:t>
            </w:r>
          </w:p>
        </w:tc>
        <w:tc>
          <w:tcPr>
            <w:tcW w:w="6803" w:type="dxa"/>
          </w:tcPr>
          <w:p w14:paraId="50BE60B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None</w:t>
            </w:r>
          </w:p>
        </w:tc>
      </w:tr>
      <w:tr w:rsidR="005215C4" w:rsidRPr="00F43F27" w14:paraId="181C9301" w14:textId="77777777">
        <w:trPr>
          <w:cantSplit/>
          <w:jc w:val="center"/>
        </w:trPr>
        <w:tc>
          <w:tcPr>
            <w:tcW w:w="2835" w:type="dxa"/>
          </w:tcPr>
          <w:p w14:paraId="1DD2B0F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Class weighting</w:t>
            </w:r>
          </w:p>
        </w:tc>
        <w:tc>
          <w:tcPr>
            <w:tcW w:w="6803" w:type="dxa"/>
          </w:tcPr>
          <w:p w14:paraId="36DB5A1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None</w:t>
            </w:r>
          </w:p>
        </w:tc>
      </w:tr>
      <w:tr w:rsidR="005215C4" w:rsidRPr="00F43F27" w14:paraId="1E8C7546" w14:textId="77777777">
        <w:trPr>
          <w:cantSplit/>
          <w:jc w:val="center"/>
        </w:trPr>
        <w:tc>
          <w:tcPr>
            <w:tcW w:w="2835" w:type="dxa"/>
          </w:tcPr>
          <w:p w14:paraId="1B4054F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Early stopping</w:t>
            </w:r>
          </w:p>
        </w:tc>
        <w:tc>
          <w:tcPr>
            <w:tcW w:w="6803" w:type="dxa"/>
          </w:tcPr>
          <w:p w14:paraId="0E0986F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10% internal validation fraction; stop after 10 iterations without improvement of the loss</w:t>
            </w:r>
          </w:p>
        </w:tc>
      </w:tr>
      <w:tr w:rsidR="005215C4" w:rsidRPr="00F43F27" w14:paraId="040C2DE2" w14:textId="77777777">
        <w:trPr>
          <w:cantSplit/>
          <w:jc w:val="center"/>
        </w:trPr>
        <w:tc>
          <w:tcPr>
            <w:tcW w:w="2835" w:type="dxa"/>
          </w:tcPr>
          <w:p w14:paraId="0D7BBE5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Inputs</w:t>
            </w:r>
          </w:p>
        </w:tc>
        <w:tc>
          <w:tcPr>
            <w:tcW w:w="6803" w:type="dxa"/>
          </w:tcPr>
          <w:p w14:paraId="5F420D7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25 candidate variables, 39 encoded inputs (Table S2)</w:t>
            </w:r>
          </w:p>
        </w:tc>
      </w:tr>
      <w:tr w:rsidR="005215C4" w:rsidRPr="00F43F27" w14:paraId="75856B41" w14:textId="77777777">
        <w:trPr>
          <w:cantSplit/>
          <w:jc w:val="center"/>
        </w:trPr>
        <w:tc>
          <w:tcPr>
            <w:tcW w:w="2835" w:type="dxa"/>
          </w:tcPr>
          <w:p w14:paraId="6248F6C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Internal validation</w:t>
            </w:r>
          </w:p>
        </w:tc>
        <w:tc>
          <w:tcPr>
            <w:tcW w:w="6803" w:type="dxa"/>
          </w:tcPr>
          <w:p w14:paraId="24308C5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Stratified five-fold cross-validation, five repeats; AUC = mean over repeats</w:t>
            </w:r>
          </w:p>
        </w:tc>
      </w:tr>
      <w:tr w:rsidR="005215C4" w:rsidRPr="00F43F27" w14:paraId="04D949A5" w14:textId="77777777">
        <w:trPr>
          <w:cantSplit/>
          <w:jc w:val="center"/>
        </w:trPr>
        <w:tc>
          <w:tcPr>
            <w:tcW w:w="2835" w:type="dxa"/>
          </w:tcPr>
          <w:p w14:paraId="1A70818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Operating threshold</w:t>
            </w:r>
          </w:p>
        </w:tc>
        <w:tc>
          <w:tcPr>
            <w:tcW w:w="6803" w:type="dxa"/>
          </w:tcPr>
          <w:p w14:paraId="69267EB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Largest threshold (grid 0.01–0.60, step 0.01) with ≥ 90% sensitivity in repeated cross-validation within the development cohort; frozen before external evaluation</w:t>
            </w:r>
          </w:p>
        </w:tc>
      </w:tr>
      <w:tr w:rsidR="005215C4" w:rsidRPr="00F43F27" w14:paraId="470E53EB" w14:textId="77777777">
        <w:trPr>
          <w:cantSplit/>
          <w:jc w:val="center"/>
        </w:trPr>
        <w:tc>
          <w:tcPr>
            <w:tcW w:w="2835" w:type="dxa"/>
          </w:tcPr>
          <w:p w14:paraId="1EEAF3C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Seed sensitivity</w:t>
            </w:r>
          </w:p>
        </w:tc>
        <w:tc>
          <w:tcPr>
            <w:tcW w:w="6803" w:type="dxa"/>
          </w:tcPr>
          <w:p w14:paraId="3696823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External AUC recomputed over 20 random seeds</w:t>
            </w:r>
          </w:p>
        </w:tc>
      </w:tr>
      <w:tr w:rsidR="005215C4" w:rsidRPr="00F43F27" w14:paraId="0DCFAA62" w14:textId="77777777">
        <w:trPr>
          <w:cantSplit/>
          <w:jc w:val="center"/>
        </w:trPr>
        <w:tc>
          <w:tcPr>
            <w:tcW w:w="2835" w:type="dxa"/>
          </w:tcPr>
          <w:p w14:paraId="0BB6335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Random seed</w:t>
            </w:r>
          </w:p>
        </w:tc>
        <w:tc>
          <w:tcPr>
            <w:tcW w:w="6803" w:type="dxa"/>
          </w:tcPr>
          <w:p w14:paraId="67DC69B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2026</w:t>
            </w:r>
          </w:p>
        </w:tc>
      </w:tr>
    </w:tbl>
    <w:p w14:paraId="72C82779" w14:textId="77777777" w:rsidR="005215C4" w:rsidRPr="00F43F27" w:rsidRDefault="00000000" w:rsidP="00F43F27">
      <w:pPr>
        <w:jc w:val="both"/>
        <w:rPr>
          <w:rFonts w:asciiTheme="majorBidi" w:hAnsiTheme="majorBidi" w:cstheme="majorBidi"/>
        </w:rPr>
      </w:pPr>
      <w:r>
        <w:rPr>
          <w:rFonts w:asciiTheme="majorBidi" w:hAnsiTheme="majorBidi" w:cstheme="majorBidi"/>
          <w:sz w:val="17"/>
        </w:rPr>
        <w:t xml:space="preserve">AUC, area under the receiver operating characteristic curve.</w:t>
      </w:r>
    </w:p>
    <w:p w14:paraId="039F3DCE" w14:textId="77777777" w:rsidR="005215C4" w:rsidRPr="00F43F27" w:rsidRDefault="00000000" w:rsidP="00F43F27">
      <w:pPr>
        <w:keepNext/>
        <w:spacing w:before="200"/>
        <w:jc w:val="both"/>
        <w:rPr>
          <w:rFonts w:asciiTheme="majorBidi" w:hAnsiTheme="majorBidi" w:cstheme="majorBidi"/>
        </w:rPr>
      </w:pPr>
      <w:r>
        <w:rPr>
          <w:rFonts w:asciiTheme="majorBidi" w:hAnsiTheme="majorBidi" w:cstheme="majorBidi"/>
          <w:b/>
        </w:rPr>
        <w:t xml:space="preserve">Table S4</w:t>
      </w:r>
      <w:r>
        <w:rPr>
          <w:rFonts w:asciiTheme="majorBidi" w:hAnsiTheme="majorBidi" w:cstheme="majorBidi"/>
        </w:rPr>
        <w:t xml:space="preserve"> Ridge-penalized logistic regression: specification</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835"/>
        <w:gridCol w:w="6803"/>
      </w:tblGrid>
      <w:tr w:rsidR="005215C4" w:rsidRPr="00F43F27" w14:paraId="3D408BD6" w14:textId="77777777">
        <w:trPr>
          <w:cantSplit/>
          <w:tblHeader/>
          <w:jc w:val="center"/>
        </w:trPr>
        <w:tc>
          <w:tcPr>
            <w:tcW w:w="2835" w:type="dxa"/>
          </w:tcPr>
          <w:p w14:paraId="0F12AA1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Setting</w:t>
            </w:r>
          </w:p>
        </w:tc>
        <w:tc>
          <w:tcPr>
            <w:tcW w:w="6803" w:type="dxa"/>
          </w:tcPr>
          <w:p w14:paraId="5A139B7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Value</w:t>
            </w:r>
          </w:p>
        </w:tc>
      </w:tr>
      <w:tr w:rsidR="005215C4" w:rsidRPr="00F43F27" w14:paraId="27C201AA" w14:textId="77777777">
        <w:trPr>
          <w:cantSplit/>
          <w:jc w:val="center"/>
        </w:trPr>
        <w:tc>
          <w:tcPr>
            <w:tcW w:w="2835" w:type="dxa"/>
          </w:tcPr>
          <w:p w14:paraId="7041558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Pipeline</w:t>
            </w:r>
          </w:p>
        </w:tc>
        <w:tc>
          <w:tcPr>
            <w:tcW w:w="6803" w:type="dxa"/>
          </w:tcPr>
          <w:p w14:paraId="157AEC2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scikit-learn Pipeline: StandardScaler, then LogisticRegressionCV</w:t>
            </w:r>
          </w:p>
        </w:tc>
      </w:tr>
      <w:tr w:rsidR="005215C4" w:rsidRPr="00F43F27" w14:paraId="2583EC71" w14:textId="77777777">
        <w:trPr>
          <w:cantSplit/>
          <w:jc w:val="center"/>
        </w:trPr>
        <w:tc>
          <w:tcPr>
            <w:tcW w:w="2835" w:type="dxa"/>
          </w:tcPr>
          <w:p w14:paraId="58C68F6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Penalty</w:t>
            </w:r>
          </w:p>
        </w:tc>
        <w:tc>
          <w:tcPr>
            <w:tcW w:w="6803" w:type="dxa"/>
          </w:tcPr>
          <w:p w14:paraId="5478488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L2 (ridge); lbfgs solver; up to 2,000 iterations; no class weighting</w:t>
            </w:r>
          </w:p>
        </w:tc>
      </w:tr>
      <w:tr w:rsidR="005215C4" w:rsidRPr="00F43F27" w14:paraId="0F060719" w14:textId="77777777">
        <w:trPr>
          <w:cantSplit/>
          <w:jc w:val="center"/>
        </w:trPr>
        <w:tc>
          <w:tcPr>
            <w:tcW w:w="2835" w:type="dxa"/>
          </w:tcPr>
          <w:p w14:paraId="51126CC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Penalty grid (C)</w:t>
            </w:r>
          </w:p>
        </w:tc>
        <w:tc>
          <w:tcPr>
            <w:tcW w:w="6803" w:type="dxa"/>
          </w:tcPr>
          <w:p w14:paraId="4AE35A2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11 log-spaced values from 10⁻³ to 10²</w:t>
            </w:r>
          </w:p>
        </w:tc>
      </w:tr>
      <w:tr w:rsidR="005215C4" w:rsidRPr="00F43F27" w14:paraId="2B704449" w14:textId="77777777">
        <w:trPr>
          <w:cantSplit/>
          <w:jc w:val="center"/>
        </w:trPr>
        <w:tc>
          <w:tcPr>
            <w:tcW w:w="2835" w:type="dxa"/>
          </w:tcPr>
          <w:p w14:paraId="754B12C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Penalty selection</w:t>
            </w:r>
          </w:p>
        </w:tc>
        <w:tc>
          <w:tcPr>
            <w:tcW w:w="6803" w:type="dxa"/>
          </w:tcPr>
          <w:p w14:paraId="5C1BA40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Stratified five-fold cross-validation minimizing log-loss, repeated within every training set</w:t>
            </w:r>
          </w:p>
        </w:tc>
      </w:tr>
      <w:tr w:rsidR="005215C4" w:rsidRPr="00F43F27" w14:paraId="3887FD1E" w14:textId="77777777">
        <w:trPr>
          <w:cantSplit/>
          <w:jc w:val="center"/>
        </w:trPr>
        <w:tc>
          <w:tcPr>
            <w:tcW w:w="2835" w:type="dxa"/>
          </w:tcPr>
          <w:p w14:paraId="0CF870A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Selected penalty, final models</w:t>
            </w:r>
          </w:p>
        </w:tc>
        <w:tc>
          <w:tcPr>
            <w:tcW w:w="6803" w:type="dxa"/>
          </w:tcPr>
          <w:p w14:paraId="320658C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Medical C = 0.1; motor C = 0.032; cognitive decline C = 0.01</w:t>
            </w:r>
          </w:p>
        </w:tc>
      </w:tr>
      <w:tr w:rsidR="005215C4" w:rsidRPr="00F43F27" w14:paraId="59A2AC4C" w14:textId="77777777">
        <w:trPr>
          <w:cantSplit/>
          <w:jc w:val="center"/>
        </w:trPr>
        <w:tc>
          <w:tcPr>
            <w:tcW w:w="2835" w:type="dxa"/>
          </w:tcPr>
          <w:p w14:paraId="54063E4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Predictors</w:t>
            </w:r>
          </w:p>
        </w:tc>
        <w:tc>
          <w:tcPr>
            <w:tcW w:w="6803" w:type="dxa"/>
          </w:tcPr>
          <w:p w14:paraId="0E90874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Two fixed sets of seven (non-neurological) and eight (neurological) variables (Table S2); standardized within each training set</w:t>
            </w:r>
          </w:p>
        </w:tc>
      </w:tr>
      <w:tr w:rsidR="005215C4" w:rsidRPr="00F43F27" w14:paraId="68839747" w14:textId="77777777">
        <w:trPr>
          <w:cantSplit/>
          <w:jc w:val="center"/>
        </w:trPr>
        <w:tc>
          <w:tcPr>
            <w:tcW w:w="2835" w:type="dxa"/>
          </w:tcPr>
          <w:p w14:paraId="50B8C2F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lastRenderedPageBreak/>
              <w:t>Vessel encasement</w:t>
            </w:r>
          </w:p>
        </w:tc>
        <w:tc>
          <w:tcPr>
            <w:tcW w:w="6803" w:type="dxa"/>
          </w:tcPr>
          <w:p w14:paraId="5B1C520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Ordinal grade 0 (none) to 4 (&gt; 270°)</w:t>
            </w:r>
          </w:p>
        </w:tc>
      </w:tr>
      <w:tr w:rsidR="005215C4" w:rsidRPr="00F43F27" w14:paraId="6A754996" w14:textId="77777777">
        <w:trPr>
          <w:cantSplit/>
          <w:jc w:val="center"/>
        </w:trPr>
        <w:tc>
          <w:tcPr>
            <w:tcW w:w="2835" w:type="dxa"/>
          </w:tcPr>
          <w:p w14:paraId="1B4F7C9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Missing values</w:t>
            </w:r>
          </w:p>
        </w:tc>
        <w:tc>
          <w:tcPr>
            <w:tcW w:w="6803" w:type="dxa"/>
          </w:tcPr>
          <w:p w14:paraId="536BD27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None in the modelling population</w:t>
            </w:r>
          </w:p>
        </w:tc>
      </w:tr>
      <w:tr w:rsidR="005215C4" w:rsidRPr="00F43F27" w14:paraId="0AC16E14" w14:textId="77777777">
        <w:trPr>
          <w:cantSplit/>
          <w:jc w:val="center"/>
        </w:trPr>
        <w:tc>
          <w:tcPr>
            <w:tcW w:w="2835" w:type="dxa"/>
          </w:tcPr>
          <w:p w14:paraId="3094E81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Coefficient reporting</w:t>
            </w:r>
          </w:p>
        </w:tc>
        <w:tc>
          <w:tcPr>
            <w:tcW w:w="6803" w:type="dxa"/>
          </w:tcPr>
          <w:p w14:paraId="5B98AA1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Standardized odds ratios per 1 SD; raw-scale coefficients for the calculator (Online Resource 3, Tables S12 and S15)</w:t>
            </w:r>
          </w:p>
        </w:tc>
      </w:tr>
      <w:tr w:rsidR="005215C4" w:rsidRPr="00F43F27" w14:paraId="2A3B1144" w14:textId="77777777">
        <w:trPr>
          <w:cantSplit/>
          <w:jc w:val="center"/>
        </w:trPr>
        <w:tc>
          <w:tcPr>
            <w:tcW w:w="2835" w:type="dxa"/>
          </w:tcPr>
          <w:p w14:paraId="39A89A3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Random seed</w:t>
            </w:r>
          </w:p>
        </w:tc>
        <w:tc>
          <w:tcPr>
            <w:tcW w:w="6803" w:type="dxa"/>
          </w:tcPr>
          <w:p w14:paraId="1430ABC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2026</w:t>
            </w:r>
          </w:p>
        </w:tc>
      </w:tr>
    </w:tbl>
    <w:p w14:paraId="37122FFA" w14:textId="77777777" w:rsidR="005215C4" w:rsidRPr="00F43F27" w:rsidRDefault="00000000" w:rsidP="00F43F27">
      <w:pPr>
        <w:jc w:val="both"/>
        <w:rPr>
          <w:rFonts w:asciiTheme="majorBidi" w:hAnsiTheme="majorBidi" w:cstheme="majorBidi"/>
        </w:rPr>
      </w:pPr>
      <w:r>
        <w:rPr>
          <w:rFonts w:asciiTheme="majorBidi" w:hAnsiTheme="majorBidi" w:cstheme="majorBidi"/>
          <w:sz w:val="17"/>
        </w:rPr>
        <w:t xml:space="preserve">C, inverse of the penalty strength (λ = 1/C); larger penalties (smaller C) shrink coefficients more strongly toward zero.</w:t>
      </w:r>
    </w:p>
    <w:p w14:paraId="4FC74E3B" w14:textId="77777777" w:rsidR="005215C4" w:rsidRPr="00F43F27" w:rsidRDefault="00000000" w:rsidP="00F43F27">
      <w:pPr>
        <w:keepNext/>
        <w:spacing w:before="200"/>
        <w:jc w:val="both"/>
        <w:rPr>
          <w:rFonts w:asciiTheme="majorBidi" w:hAnsiTheme="majorBidi" w:cstheme="majorBidi"/>
        </w:rPr>
      </w:pPr>
      <w:r>
        <w:rPr>
          <w:rFonts w:asciiTheme="majorBidi" w:hAnsiTheme="majorBidi" w:cstheme="majorBidi"/>
          <w:b/>
        </w:rPr>
        <w:t xml:space="preserve">Table S5</w:t>
      </w:r>
      <w:r>
        <w:rPr>
          <w:rFonts w:asciiTheme="majorBidi" w:hAnsiTheme="majorBidi" w:cstheme="majorBidi"/>
        </w:rPr>
        <w:t xml:space="preserve"> Validation design and statistical inference, by analysis</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494"/>
        <w:gridCol w:w="3572"/>
        <w:gridCol w:w="3572"/>
      </w:tblGrid>
      <w:tr w:rsidR="005215C4" w:rsidRPr="00F43F27" w14:paraId="35250F24" w14:textId="77777777">
        <w:trPr>
          <w:cantSplit/>
          <w:tblHeader/>
          <w:jc w:val="center"/>
        </w:trPr>
        <w:tc>
          <w:tcPr>
            <w:tcW w:w="2494" w:type="dxa"/>
          </w:tcPr>
          <w:p w14:paraId="2C11010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Element</w:t>
            </w:r>
          </w:p>
        </w:tc>
        <w:tc>
          <w:tcPr>
            <w:tcW w:w="3572" w:type="dxa"/>
          </w:tcPr>
          <w:p w14:paraId="236244D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Gradient boosting</w:t>
            </w:r>
          </w:p>
        </w:tc>
        <w:tc>
          <w:tcPr>
            <w:tcW w:w="3572" w:type="dxa"/>
          </w:tcPr>
          <w:p w14:paraId="0BF79BE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b/>
                <w:sz w:val="16"/>
              </w:rPr>
              <w:t xml:space="preserve">Ridge-penalized regression</w:t>
            </w:r>
          </w:p>
        </w:tc>
      </w:tr>
      <w:tr w:rsidR="005215C4" w:rsidRPr="00F43F27" w14:paraId="3B7F4F88" w14:textId="77777777">
        <w:trPr>
          <w:cantSplit/>
          <w:jc w:val="center"/>
        </w:trPr>
        <w:tc>
          <w:tcPr>
            <w:tcW w:w="2494" w:type="dxa"/>
          </w:tcPr>
          <w:p w14:paraId="69C2953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Modelling population</w:t>
            </w:r>
          </w:p>
        </w:tc>
        <w:tc>
          <w:tcPr>
            <w:tcW w:w="3572" w:type="dxa"/>
          </w:tcPr>
          <w:p w14:paraId="68E3679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231 patients (Bologna, Cesena, Liverpool)</w:t>
            </w:r>
          </w:p>
        </w:tc>
        <w:tc>
          <w:tcPr>
            <w:tcW w:w="3572" w:type="dxa"/>
          </w:tcPr>
          <w:p w14:paraId="7709514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231 patients (Bologna, Cesena, Liverpool)</w:t>
            </w:r>
          </w:p>
        </w:tc>
      </w:tr>
      <w:tr w:rsidR="005215C4" w:rsidRPr="00F43F27" w14:paraId="6B28E556" w14:textId="77777777">
        <w:trPr>
          <w:cantSplit/>
          <w:jc w:val="center"/>
        </w:trPr>
        <w:tc>
          <w:tcPr>
            <w:tcW w:w="2494" w:type="dxa"/>
          </w:tcPr>
          <w:p w14:paraId="1E1AE64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Predictors</w:t>
            </w:r>
          </w:p>
        </w:tc>
        <w:tc>
          <w:tcPr>
            <w:tcW w:w="3572" w:type="dxa"/>
          </w:tcPr>
          <w:p w14:paraId="0902064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25 candidate variables (39 encoded inputs)</w:t>
            </w:r>
          </w:p>
        </w:tc>
        <w:tc>
          <w:tcPr>
            <w:tcW w:w="3572" w:type="dxa"/>
          </w:tcPr>
          <w:p w14:paraId="2DB746E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Fixed set per domain: seven (non-neurological) or eight (neurological) variables</w:t>
            </w:r>
          </w:p>
        </w:tc>
      </w:tr>
      <w:tr w:rsidR="005215C4" w:rsidRPr="00F43F27" w14:paraId="31F3F99E" w14:textId="77777777">
        <w:trPr>
          <w:cantSplit/>
          <w:jc w:val="center"/>
        </w:trPr>
        <w:tc>
          <w:tcPr>
            <w:tcW w:w="2494" w:type="dxa"/>
          </w:tcPr>
          <w:p w14:paraId="1AF2FC0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Tuning</w:t>
            </w:r>
          </w:p>
        </w:tc>
        <w:tc>
          <w:tcPr>
            <w:tcW w:w="3572" w:type="dxa"/>
          </w:tcPr>
          <w:p w14:paraId="76BB1551"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None (default settings with early stopping)</w:t>
            </w:r>
          </w:p>
        </w:tc>
        <w:tc>
          <w:tcPr>
            <w:tcW w:w="3572" w:type="dxa"/>
          </w:tcPr>
          <w:p w14:paraId="022DCBE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Penalty selected by inner five-fold cross-validation (log-loss)</w:t>
            </w:r>
          </w:p>
        </w:tc>
      </w:tr>
      <w:tr w:rsidR="005215C4" w:rsidRPr="00F43F27" w14:paraId="31BF907D" w14:textId="77777777">
        <w:trPr>
          <w:cantSplit/>
          <w:jc w:val="center"/>
        </w:trPr>
        <w:tc>
          <w:tcPr>
            <w:tcW w:w="2494" w:type="dxa"/>
          </w:tcPr>
          <w:p w14:paraId="77BBEBA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Internal validation</w:t>
            </w:r>
          </w:p>
        </w:tc>
        <w:tc>
          <w:tcPr>
            <w:tcW w:w="3572" w:type="dxa"/>
          </w:tcPr>
          <w:p w14:paraId="7F4D556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Stratified five-fold cross-validation, five repeats</w:t>
            </w:r>
          </w:p>
        </w:tc>
        <w:tc>
          <w:tcPr>
            <w:tcW w:w="3572" w:type="dxa"/>
          </w:tcPr>
          <w:p w14:paraId="54D2B03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Nested 10-fold cross-validation, five repeats</w:t>
            </w:r>
          </w:p>
        </w:tc>
      </w:tr>
      <w:tr w:rsidR="005215C4" w:rsidRPr="00F43F27" w14:paraId="66ADB030" w14:textId="77777777">
        <w:trPr>
          <w:cantSplit/>
          <w:jc w:val="center"/>
        </w:trPr>
        <w:tc>
          <w:tcPr>
            <w:tcW w:w="2494" w:type="dxa"/>
          </w:tcPr>
          <w:p w14:paraId="1D16E91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Optimism</w:t>
            </w:r>
          </w:p>
        </w:tc>
        <w:tc>
          <w:tcPr>
            <w:tcW w:w="3572" w:type="dxa"/>
          </w:tcPr>
          <w:p w14:paraId="12F8335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Not estimated separately</w:t>
            </w:r>
          </w:p>
        </w:tc>
        <w:tc>
          <w:tcPr>
            <w:tcW w:w="3572" w:type="dxa"/>
          </w:tcPr>
          <w:p w14:paraId="56D5E48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200-replicate bootstrap repeating the full procedure</w:t>
            </w:r>
          </w:p>
        </w:tc>
      </w:tr>
      <w:tr w:rsidR="005215C4" w:rsidRPr="00F43F27" w14:paraId="21AF2EBC" w14:textId="77777777">
        <w:trPr>
          <w:cantSplit/>
          <w:jc w:val="center"/>
        </w:trPr>
        <w:tc>
          <w:tcPr>
            <w:tcW w:w="2494" w:type="dxa"/>
          </w:tcPr>
          <w:p w14:paraId="304D1FC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Internal–external cross-validation</w:t>
            </w:r>
          </w:p>
        </w:tc>
        <w:tc>
          <w:tcPr>
            <w:tcW w:w="3572" w:type="dxa"/>
          </w:tcPr>
          <w:p w14:paraId="19C8857C"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Each center held out in turn</w:t>
            </w:r>
          </w:p>
        </w:tc>
        <w:tc>
          <w:tcPr>
            <w:tcW w:w="3572" w:type="dxa"/>
          </w:tcPr>
          <w:p w14:paraId="3CB5B36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Each center held out in turn; DerSimonian–Laird pooling</w:t>
            </w:r>
          </w:p>
        </w:tc>
      </w:tr>
      <w:tr w:rsidR="005215C4" w:rsidRPr="00F43F27" w14:paraId="5F1DA8C8" w14:textId="77777777">
        <w:trPr>
          <w:cantSplit/>
          <w:jc w:val="center"/>
        </w:trPr>
        <w:tc>
          <w:tcPr>
            <w:tcW w:w="2494" w:type="dxa"/>
          </w:tcPr>
          <w:p w14:paraId="58A0B95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Geographical validation</w:t>
            </w:r>
          </w:p>
        </w:tc>
        <w:tc>
          <w:tcPr>
            <w:tcW w:w="3572" w:type="dxa"/>
          </w:tcPr>
          <w:p w14:paraId="28F4012C" w14:textId="77777777" w:rsidR="005215C4" w:rsidRPr="00F43F27" w:rsidRDefault="00000000" w:rsidP="00F43F27">
            <w:pPr>
              <w:spacing w:before="20" w:after="0"/>
              <w:jc w:val="both"/>
              <w:rPr>
                <w:rFonts w:asciiTheme="majorBidi" w:hAnsiTheme="majorBidi" w:cstheme="majorBidi"/>
                <w:lang w:val="it-IT"/>
              </w:rPr>
            </w:pPr>
            <w:r>
              <w:rPr>
                <w:rFonts w:asciiTheme="majorBidi" w:hAnsiTheme="majorBidi" w:cstheme="majorBidi"/>
                <w:sz w:val="16"/>
                <w:lang w:val="it-IT"/>
              </w:rPr>
              <w:t xml:space="preserve">Bologna + Cesena (n = 183) → Liverpool (n = 48)</w:t>
            </w:r>
          </w:p>
        </w:tc>
        <w:tc>
          <w:tcPr>
            <w:tcW w:w="3572" w:type="dxa"/>
          </w:tcPr>
          <w:p w14:paraId="33DDCD67" w14:textId="77777777" w:rsidR="005215C4" w:rsidRPr="00F43F27" w:rsidRDefault="00000000" w:rsidP="00F43F27">
            <w:pPr>
              <w:spacing w:before="20" w:after="0"/>
              <w:jc w:val="both"/>
              <w:rPr>
                <w:rFonts w:asciiTheme="majorBidi" w:hAnsiTheme="majorBidi" w:cstheme="majorBidi"/>
                <w:lang w:val="it-IT"/>
              </w:rPr>
            </w:pPr>
            <w:r>
              <w:rPr>
                <w:rFonts w:asciiTheme="majorBidi" w:hAnsiTheme="majorBidi" w:cstheme="majorBidi"/>
                <w:sz w:val="16"/>
                <w:lang w:val="it-IT"/>
              </w:rPr>
              <w:t xml:space="preserve">Bologna + Cesena (n = 183) → Liverpool (n = 48)</w:t>
            </w:r>
          </w:p>
        </w:tc>
      </w:tr>
      <w:tr w:rsidR="005215C4" w:rsidRPr="00F43F27" w14:paraId="0C6A6B20" w14:textId="77777777">
        <w:trPr>
          <w:cantSplit/>
          <w:jc w:val="center"/>
        </w:trPr>
        <w:tc>
          <w:tcPr>
            <w:tcW w:w="2494" w:type="dxa"/>
          </w:tcPr>
          <w:p w14:paraId="0FE0DB9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Cognitive decline</w:t>
            </w:r>
          </w:p>
        </w:tc>
        <w:tc>
          <w:tcPr>
            <w:tcW w:w="3572" w:type="dxa"/>
          </w:tcPr>
          <w:p w14:paraId="405629DE"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Bologna (n = 115) → Liverpool (n = 48)</w:t>
            </w:r>
          </w:p>
        </w:tc>
        <w:tc>
          <w:tcPr>
            <w:tcW w:w="3572" w:type="dxa"/>
          </w:tcPr>
          <w:p w14:paraId="449111F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Bologna (n = 115) → Liverpool (n = 48)</w:t>
            </w:r>
          </w:p>
        </w:tc>
      </w:tr>
      <w:tr w:rsidR="005215C4" w:rsidRPr="00F43F27" w14:paraId="073A6CAD" w14:textId="77777777">
        <w:trPr>
          <w:cantSplit/>
          <w:jc w:val="center"/>
        </w:trPr>
        <w:tc>
          <w:tcPr>
            <w:tcW w:w="2494" w:type="dxa"/>
          </w:tcPr>
          <w:p w14:paraId="699C67EA"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AUC confidence intervals</w:t>
            </w:r>
          </w:p>
        </w:tc>
        <w:tc>
          <w:tcPr>
            <w:tcW w:w="3572" w:type="dxa"/>
          </w:tcPr>
          <w:p w14:paraId="304B6C2D"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Percentile bootstrap: 2,000 replicates; 1,000 per held-out center</w:t>
            </w:r>
          </w:p>
        </w:tc>
        <w:tc>
          <w:tcPr>
            <w:tcW w:w="3572" w:type="dxa"/>
          </w:tcPr>
          <w:p w14:paraId="5881D0F7"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Percentile bootstrap: 2,000 replicates; 1,000 per held-out center</w:t>
            </w:r>
          </w:p>
        </w:tc>
      </w:tr>
      <w:tr w:rsidR="005215C4" w:rsidRPr="00F43F27" w14:paraId="64D36877" w14:textId="77777777">
        <w:trPr>
          <w:cantSplit/>
          <w:jc w:val="center"/>
        </w:trPr>
        <w:tc>
          <w:tcPr>
            <w:tcW w:w="2494" w:type="dxa"/>
          </w:tcPr>
          <w:p w14:paraId="6767CD43"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Calibration</w:t>
            </w:r>
          </w:p>
        </w:tc>
        <w:tc>
          <w:tcPr>
            <w:tcW w:w="3572" w:type="dxa"/>
          </w:tcPr>
          <w:p w14:paraId="143A67D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Calibration slope; Brier score</w:t>
            </w:r>
          </w:p>
        </w:tc>
        <w:tc>
          <w:tcPr>
            <w:tcW w:w="3572" w:type="dxa"/>
          </w:tcPr>
          <w:p w14:paraId="1FADAD05"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Calibration slope and calibration-in-the-large; Brier score</w:t>
            </w:r>
          </w:p>
        </w:tc>
      </w:tr>
      <w:tr w:rsidR="005215C4" w:rsidRPr="00F43F27" w14:paraId="67A417AB" w14:textId="77777777">
        <w:trPr>
          <w:cantSplit/>
          <w:jc w:val="center"/>
        </w:trPr>
        <w:tc>
          <w:tcPr>
            <w:tcW w:w="2494" w:type="dxa"/>
          </w:tcPr>
          <w:p w14:paraId="1D5B7A4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Thresholds</w:t>
            </w:r>
          </w:p>
        </w:tc>
        <w:tc>
          <w:tcPr>
            <w:tcW w:w="3572" w:type="dxa"/>
          </w:tcPr>
          <w:p w14:paraId="596F59A6"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High-sensitivity threshold frozen in development, applied externally</w:t>
            </w:r>
          </w:p>
        </w:tc>
        <w:tc>
          <w:tcPr>
            <w:tcW w:w="3572" w:type="dxa"/>
          </w:tcPr>
          <w:p w14:paraId="1FCF1D4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Descriptive trade-offs across thresholds; decision-curve analysis</w:t>
            </w:r>
          </w:p>
        </w:tc>
      </w:tr>
    </w:tbl>
    <w:p w14:paraId="1D2CEF43" w14:textId="77777777" w:rsidR="005215C4" w:rsidRPr="00F43F27" w:rsidRDefault="00000000" w:rsidP="00F43F27">
      <w:pPr>
        <w:jc w:val="both"/>
        <w:rPr>
          <w:rFonts w:asciiTheme="majorBidi" w:hAnsiTheme="majorBidi" w:cstheme="majorBidi"/>
        </w:rPr>
      </w:pPr>
      <w:r>
        <w:rPr>
          <w:rFonts w:asciiTheme="majorBidi" w:hAnsiTheme="majorBidi" w:cstheme="majorBidi"/>
          <w:sz w:val="17"/>
        </w:rPr>
        <w:t xml:space="preserve">AUC, area under the receiver operating characteristic curve.</w:t>
      </w:r>
    </w:p>
    <w:p w14:paraId="5FE3A5A5" w14:textId="77777777" w:rsidR="005215C4" w:rsidRPr="00F43F27" w:rsidRDefault="00000000" w:rsidP="00F43F27">
      <w:pPr>
        <w:keepNext/>
        <w:spacing w:before="200"/>
        <w:jc w:val="both"/>
        <w:rPr>
          <w:rFonts w:asciiTheme="majorBidi" w:hAnsiTheme="majorBidi" w:cstheme="majorBidi"/>
        </w:rPr>
      </w:pPr>
      <w:r>
        <w:rPr>
          <w:rFonts w:asciiTheme="majorBidi" w:hAnsiTheme="majorBidi" w:cstheme="majorBidi"/>
          <w:b/>
        </w:rPr>
        <w:t xml:space="preserve">Table S6</w:t>
      </w:r>
      <w:r>
        <w:rPr>
          <w:rFonts w:asciiTheme="majorBidi" w:hAnsiTheme="majorBidi" w:cstheme="majorBidi"/>
        </w:rPr>
        <w:t xml:space="preserve"> Sample size and events per predictor</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2835"/>
        <w:gridCol w:w="1474"/>
        <w:gridCol w:w="1474"/>
        <w:gridCol w:w="1304"/>
        <w:gridCol w:w="1304"/>
        <w:gridCol w:w="1247"/>
      </w:tblGrid>
      <w:tr w:rsidR="005215C4" w:rsidRPr="00F43F27" w14:paraId="1442529C" w14:textId="77777777">
        <w:trPr>
          <w:cantSplit/>
          <w:tblHeader/>
          <w:jc w:val="center"/>
        </w:trPr>
        <w:tc>
          <w:tcPr>
            <w:tcW w:w="2835" w:type="dxa"/>
          </w:tcPr>
          <w:p w14:paraId="3B568FA5"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Endpoint</w:t>
            </w:r>
          </w:p>
        </w:tc>
        <w:tc>
          <w:tcPr>
            <w:tcW w:w="1474" w:type="dxa"/>
          </w:tcPr>
          <w:p w14:paraId="02D18B94"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Patients / events,</w:t>
              <w:br/>
              <w:t>modelling population</w:t>
            </w:r>
          </w:p>
        </w:tc>
        <w:tc>
          <w:tcPr>
            <w:tcW w:w="1474" w:type="dxa"/>
          </w:tcPr>
          <w:p w14:paraId="3BE4700D"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Patients / events,</w:t>
              <w:br/>
              <w:t>development cohort</w:t>
            </w:r>
          </w:p>
        </w:tc>
        <w:tc>
          <w:tcPr>
            <w:tcW w:w="1304" w:type="dxa"/>
          </w:tcPr>
          <w:p w14:paraId="45AB80E9"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Events per predictor,</w:t>
              <w:br/>
              <w:t>ridge (231)</w:t>
            </w:r>
          </w:p>
        </w:tc>
        <w:tc>
          <w:tcPr>
            <w:tcW w:w="1304" w:type="dxa"/>
          </w:tcPr>
          <w:p w14:paraId="5F7D417C"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Events per predictor,</w:t>
              <w:br/>
              <w:t>ridge (development)</w:t>
            </w:r>
          </w:p>
        </w:tc>
        <w:tc>
          <w:tcPr>
            <w:tcW w:w="1247" w:type="dxa"/>
          </w:tcPr>
          <w:p w14:paraId="63461FE4"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Events per input,</w:t>
              <w:br/>
              <w:t>gradient boosting</w:t>
            </w:r>
          </w:p>
        </w:tc>
      </w:tr>
      <w:tr w:rsidR="005215C4" w:rsidRPr="00F43F27" w14:paraId="6D37BBF7" w14:textId="77777777">
        <w:trPr>
          <w:cantSplit/>
          <w:jc w:val="center"/>
        </w:trPr>
        <w:tc>
          <w:tcPr>
            <w:tcW w:w="2835" w:type="dxa"/>
          </w:tcPr>
          <w:p w14:paraId="4F67E9E9"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Medical complication</w:t>
            </w:r>
          </w:p>
        </w:tc>
        <w:tc>
          <w:tcPr>
            <w:tcW w:w="1474" w:type="dxa"/>
          </w:tcPr>
          <w:p w14:paraId="6085752C"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231 / 36</w:t>
            </w:r>
          </w:p>
        </w:tc>
        <w:tc>
          <w:tcPr>
            <w:tcW w:w="1474" w:type="dxa"/>
          </w:tcPr>
          <w:p w14:paraId="7AECF78A"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183 / 29</w:t>
            </w:r>
          </w:p>
        </w:tc>
        <w:tc>
          <w:tcPr>
            <w:tcW w:w="1304" w:type="dxa"/>
          </w:tcPr>
          <w:p w14:paraId="6FE1722D"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5.1</w:t>
            </w:r>
          </w:p>
        </w:tc>
        <w:tc>
          <w:tcPr>
            <w:tcW w:w="1304" w:type="dxa"/>
          </w:tcPr>
          <w:p w14:paraId="36E60ABB"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4.1</w:t>
            </w:r>
          </w:p>
        </w:tc>
        <w:tc>
          <w:tcPr>
            <w:tcW w:w="1247" w:type="dxa"/>
          </w:tcPr>
          <w:p w14:paraId="32366E71"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0.92</w:t>
            </w:r>
          </w:p>
        </w:tc>
      </w:tr>
      <w:tr w:rsidR="005215C4" w:rsidRPr="00F43F27" w14:paraId="526E1D03" w14:textId="77777777">
        <w:trPr>
          <w:cantSplit/>
          <w:jc w:val="center"/>
        </w:trPr>
        <w:tc>
          <w:tcPr>
            <w:tcW w:w="2835" w:type="dxa"/>
          </w:tcPr>
          <w:p w14:paraId="0E32E78C"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Surgical complication</w:t>
            </w:r>
          </w:p>
        </w:tc>
        <w:tc>
          <w:tcPr>
            <w:tcW w:w="1474" w:type="dxa"/>
          </w:tcPr>
          <w:p w14:paraId="51E9A03A"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231 / 21</w:t>
            </w:r>
          </w:p>
        </w:tc>
        <w:tc>
          <w:tcPr>
            <w:tcW w:w="1474" w:type="dxa"/>
          </w:tcPr>
          <w:p w14:paraId="0AB4BE05"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183 / 15</w:t>
            </w:r>
          </w:p>
        </w:tc>
        <w:tc>
          <w:tcPr>
            <w:tcW w:w="1304" w:type="dxa"/>
          </w:tcPr>
          <w:p w14:paraId="52EA7D56"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3.0</w:t>
            </w:r>
          </w:p>
        </w:tc>
        <w:tc>
          <w:tcPr>
            <w:tcW w:w="1304" w:type="dxa"/>
          </w:tcPr>
          <w:p w14:paraId="08D73CF0"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2.1</w:t>
            </w:r>
          </w:p>
        </w:tc>
        <w:tc>
          <w:tcPr>
            <w:tcW w:w="1247" w:type="dxa"/>
          </w:tcPr>
          <w:p w14:paraId="44497DDB"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0.54</w:t>
            </w:r>
          </w:p>
        </w:tc>
      </w:tr>
      <w:tr w:rsidR="005215C4" w:rsidRPr="00F43F27" w14:paraId="564E1051" w14:textId="77777777">
        <w:trPr>
          <w:cantSplit/>
          <w:jc w:val="center"/>
        </w:trPr>
        <w:tc>
          <w:tcPr>
            <w:tcW w:w="2835" w:type="dxa"/>
          </w:tcPr>
          <w:p w14:paraId="655BEFDA"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Non-neurological composite</w:t>
            </w:r>
          </w:p>
        </w:tc>
        <w:tc>
          <w:tcPr>
            <w:tcW w:w="1474" w:type="dxa"/>
          </w:tcPr>
          <w:p w14:paraId="130D7064"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231 / 50</w:t>
            </w:r>
          </w:p>
        </w:tc>
        <w:tc>
          <w:tcPr>
            <w:tcW w:w="1474" w:type="dxa"/>
          </w:tcPr>
          <w:p w14:paraId="059D58EA"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183 / 39</w:t>
            </w:r>
          </w:p>
        </w:tc>
        <w:tc>
          <w:tcPr>
            <w:tcW w:w="1304" w:type="dxa"/>
          </w:tcPr>
          <w:p w14:paraId="0068BF69"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7.1</w:t>
            </w:r>
          </w:p>
        </w:tc>
        <w:tc>
          <w:tcPr>
            <w:tcW w:w="1304" w:type="dxa"/>
          </w:tcPr>
          <w:p w14:paraId="4D83CDAD"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5.6</w:t>
            </w:r>
          </w:p>
        </w:tc>
        <w:tc>
          <w:tcPr>
            <w:tcW w:w="1247" w:type="dxa"/>
          </w:tcPr>
          <w:p w14:paraId="547637F8"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1.28</w:t>
            </w:r>
          </w:p>
        </w:tc>
      </w:tr>
      <w:tr w:rsidR="005215C4" w:rsidRPr="00F43F27" w14:paraId="44B68E2C" w14:textId="77777777">
        <w:trPr>
          <w:cantSplit/>
          <w:jc w:val="center"/>
        </w:trPr>
        <w:tc>
          <w:tcPr>
            <w:tcW w:w="2835" w:type="dxa"/>
          </w:tcPr>
          <w:p w14:paraId="0BD4CA7F"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New or worsened motor deficit</w:t>
            </w:r>
          </w:p>
        </w:tc>
        <w:tc>
          <w:tcPr>
            <w:tcW w:w="1474" w:type="dxa"/>
          </w:tcPr>
          <w:p w14:paraId="7D692028"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231 / 30</w:t>
            </w:r>
          </w:p>
        </w:tc>
        <w:tc>
          <w:tcPr>
            <w:tcW w:w="1474" w:type="dxa"/>
          </w:tcPr>
          <w:p w14:paraId="45039D4F"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183 / 20</w:t>
            </w:r>
          </w:p>
        </w:tc>
        <w:tc>
          <w:tcPr>
            <w:tcW w:w="1304" w:type="dxa"/>
          </w:tcPr>
          <w:p w14:paraId="36B6C66D"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3.8</w:t>
            </w:r>
          </w:p>
        </w:tc>
        <w:tc>
          <w:tcPr>
            <w:tcW w:w="1304" w:type="dxa"/>
          </w:tcPr>
          <w:p w14:paraId="1CE71E90"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2.5</w:t>
            </w:r>
          </w:p>
        </w:tc>
        <w:tc>
          <w:tcPr>
            <w:tcW w:w="1247" w:type="dxa"/>
          </w:tcPr>
          <w:p w14:paraId="698C416B"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0.77</w:t>
            </w:r>
          </w:p>
        </w:tc>
      </w:tr>
      <w:tr w:rsidR="005215C4" w:rsidRPr="00F43F27" w14:paraId="696F7FB2" w14:textId="77777777">
        <w:trPr>
          <w:cantSplit/>
          <w:jc w:val="center"/>
        </w:trPr>
        <w:tc>
          <w:tcPr>
            <w:tcW w:w="2835" w:type="dxa"/>
          </w:tcPr>
          <w:p w14:paraId="2A7901D5"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Any new or worsened neurological deficit</w:t>
            </w:r>
          </w:p>
        </w:tc>
        <w:tc>
          <w:tcPr>
            <w:tcW w:w="1474" w:type="dxa"/>
          </w:tcPr>
          <w:p w14:paraId="7F4805AB"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231 / 68</w:t>
            </w:r>
          </w:p>
        </w:tc>
        <w:tc>
          <w:tcPr>
            <w:tcW w:w="1474" w:type="dxa"/>
          </w:tcPr>
          <w:p w14:paraId="090E614B"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183 / 48</w:t>
            </w:r>
          </w:p>
        </w:tc>
        <w:tc>
          <w:tcPr>
            <w:tcW w:w="1304" w:type="dxa"/>
          </w:tcPr>
          <w:p w14:paraId="07B72A94"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8.5</w:t>
            </w:r>
          </w:p>
        </w:tc>
        <w:tc>
          <w:tcPr>
            <w:tcW w:w="1304" w:type="dxa"/>
          </w:tcPr>
          <w:p w14:paraId="18E92950"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6.0</w:t>
            </w:r>
          </w:p>
        </w:tc>
        <w:tc>
          <w:tcPr>
            <w:tcW w:w="1247" w:type="dxa"/>
          </w:tcPr>
          <w:p w14:paraId="43E2A8B8"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1.74</w:t>
            </w:r>
          </w:p>
        </w:tc>
      </w:tr>
      <w:tr w:rsidR="005215C4" w:rsidRPr="00F43F27" w14:paraId="5D970C75" w14:textId="77777777">
        <w:trPr>
          <w:cantSplit/>
          <w:jc w:val="center"/>
        </w:trPr>
        <w:tc>
          <w:tcPr>
            <w:tcW w:w="2835" w:type="dxa"/>
          </w:tcPr>
          <w:p w14:paraId="7582BC3B"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Visual deterioration</w:t>
            </w:r>
          </w:p>
        </w:tc>
        <w:tc>
          <w:tcPr>
            <w:tcW w:w="1474" w:type="dxa"/>
          </w:tcPr>
          <w:p w14:paraId="337C2B34"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231 / 19</w:t>
            </w:r>
          </w:p>
        </w:tc>
        <w:tc>
          <w:tcPr>
            <w:tcW w:w="1474" w:type="dxa"/>
          </w:tcPr>
          <w:p w14:paraId="3D9248D3"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183 / 14</w:t>
            </w:r>
          </w:p>
        </w:tc>
        <w:tc>
          <w:tcPr>
            <w:tcW w:w="1304" w:type="dxa"/>
          </w:tcPr>
          <w:p w14:paraId="3000A5D0"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2.4</w:t>
            </w:r>
          </w:p>
        </w:tc>
        <w:tc>
          <w:tcPr>
            <w:tcW w:w="1304" w:type="dxa"/>
          </w:tcPr>
          <w:p w14:paraId="23E5EA44"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1.8</w:t>
            </w:r>
          </w:p>
        </w:tc>
        <w:tc>
          <w:tcPr>
            <w:tcW w:w="1247" w:type="dxa"/>
          </w:tcPr>
          <w:p w14:paraId="4658F40A"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0.49</w:t>
            </w:r>
          </w:p>
        </w:tc>
      </w:tr>
      <w:tr w:rsidR="005215C4" w:rsidRPr="00F43F27" w14:paraId="614A6807" w14:textId="77777777">
        <w:trPr>
          <w:cantSplit/>
          <w:jc w:val="center"/>
        </w:trPr>
        <w:tc>
          <w:tcPr>
            <w:tcW w:w="2835" w:type="dxa"/>
          </w:tcPr>
          <w:p w14:paraId="06C5C2C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Cognitive decline (Bologna)</w:t>
            </w:r>
          </w:p>
        </w:tc>
        <w:tc>
          <w:tcPr>
            <w:tcW w:w="1474" w:type="dxa"/>
          </w:tcPr>
          <w:p w14:paraId="6BCDA002"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1474" w:type="dxa"/>
          </w:tcPr>
          <w:p w14:paraId="4A805F8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115 / 16</w:t>
            </w:r>
          </w:p>
        </w:tc>
        <w:tc>
          <w:tcPr>
            <w:tcW w:w="1304" w:type="dxa"/>
          </w:tcPr>
          <w:p w14:paraId="39DD2F48"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w:t>
            </w:r>
          </w:p>
        </w:tc>
        <w:tc>
          <w:tcPr>
            <w:tcW w:w="1304" w:type="dxa"/>
          </w:tcPr>
          <w:p w14:paraId="756BBF4F"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2.0</w:t>
            </w:r>
          </w:p>
        </w:tc>
        <w:tc>
          <w:tcPr>
            <w:tcW w:w="1247" w:type="dxa"/>
          </w:tcPr>
          <w:p w14:paraId="419737F4"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0.41</w:t>
            </w:r>
          </w:p>
        </w:tc>
      </w:tr>
    </w:tbl>
    <w:p w14:paraId="7E85ACF4" w14:textId="77777777" w:rsidR="005215C4" w:rsidRPr="00F43F27" w:rsidRDefault="00000000" w:rsidP="00F43F27">
      <w:pPr>
        <w:jc w:val="both"/>
        <w:rPr>
          <w:rFonts w:asciiTheme="majorBidi" w:hAnsiTheme="majorBidi" w:cstheme="majorBidi"/>
        </w:rPr>
      </w:pPr>
      <w:r>
        <w:rPr>
          <w:rFonts w:asciiTheme="majorBidi" w:hAnsiTheme="majorBidi" w:cstheme="majorBidi"/>
          <w:sz w:val="17"/>
        </w:rPr>
        <w:t xml:space="preserve">Ridge models have seven (non-neurological set) or eight (neurological set) predictors; gradient-boosting models have 39 encoded inputs (events per input shown for the modelling population, and for Bologna for cognitive decline). Development cohort: Bologna and Cesena (n = 183), or Bologna alone (n = 115) for cognitive decline.</w:t>
      </w:r>
    </w:p>
    <w:p w14:paraId="694919BA" w14:textId="77777777" w:rsidR="005215C4" w:rsidRPr="00F43F27" w:rsidRDefault="00000000" w:rsidP="00F43F27">
      <w:pPr>
        <w:keepNext/>
        <w:spacing w:before="200"/>
        <w:jc w:val="both"/>
        <w:rPr>
          <w:rFonts w:asciiTheme="majorBidi" w:hAnsiTheme="majorBidi" w:cstheme="majorBidi"/>
        </w:rPr>
      </w:pPr>
      <w:r>
        <w:rPr>
          <w:rFonts w:asciiTheme="majorBidi" w:hAnsiTheme="majorBidi" w:cstheme="majorBidi"/>
          <w:b/>
        </w:rPr>
        <w:t xml:space="preserve">Table S7</w:t>
      </w:r>
      <w:r>
        <w:rPr>
          <w:rFonts w:asciiTheme="majorBidi" w:hAnsiTheme="majorBidi" w:cstheme="majorBidi"/>
        </w:rPr>
        <w:t xml:space="preserve"> Software environment</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1984"/>
        <w:gridCol w:w="1417"/>
        <w:gridCol w:w="6236"/>
      </w:tblGrid>
      <w:tr w:rsidR="005215C4" w:rsidRPr="00F43F27" w14:paraId="377FB6B6" w14:textId="77777777">
        <w:trPr>
          <w:cantSplit/>
          <w:tblHeader/>
          <w:jc w:val="center"/>
        </w:trPr>
        <w:tc>
          <w:tcPr>
            <w:tcW w:w="1984" w:type="dxa"/>
          </w:tcPr>
          <w:p w14:paraId="346CF5F9"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Software</w:t>
            </w:r>
          </w:p>
        </w:tc>
        <w:tc>
          <w:tcPr>
            <w:tcW w:w="1417" w:type="dxa"/>
          </w:tcPr>
          <w:p w14:paraId="53251F88"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Version</w:t>
            </w:r>
          </w:p>
        </w:tc>
        <w:tc>
          <w:tcPr>
            <w:tcW w:w="6236" w:type="dxa"/>
          </w:tcPr>
          <w:p w14:paraId="52378896"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b/>
                <w:sz w:val="16"/>
              </w:rPr>
              <w:t xml:space="preserve">Use</w:t>
            </w:r>
          </w:p>
        </w:tc>
      </w:tr>
      <w:tr w:rsidR="005215C4" w:rsidRPr="00F43F27" w14:paraId="10642A6C" w14:textId="77777777">
        <w:trPr>
          <w:cantSplit/>
          <w:jc w:val="center"/>
        </w:trPr>
        <w:tc>
          <w:tcPr>
            <w:tcW w:w="1984" w:type="dxa"/>
          </w:tcPr>
          <w:p w14:paraId="39914440"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Python</w:t>
            </w:r>
          </w:p>
        </w:tc>
        <w:tc>
          <w:tcPr>
            <w:tcW w:w="1417" w:type="dxa"/>
          </w:tcPr>
          <w:p w14:paraId="14F426D1"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3.11.15</w:t>
            </w:r>
          </w:p>
        </w:tc>
        <w:tc>
          <w:tcPr>
            <w:tcW w:w="6236" w:type="dxa"/>
          </w:tcPr>
          <w:p w14:paraId="7581D20D"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Programming environment</w:t>
            </w:r>
          </w:p>
        </w:tc>
      </w:tr>
      <w:tr w:rsidR="005215C4" w:rsidRPr="00F43F27" w14:paraId="3D9D9B0B" w14:textId="77777777">
        <w:trPr>
          <w:cantSplit/>
          <w:jc w:val="center"/>
        </w:trPr>
        <w:tc>
          <w:tcPr>
            <w:tcW w:w="1984" w:type="dxa"/>
          </w:tcPr>
          <w:p w14:paraId="6DBC21B6"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scikit-learn</w:t>
            </w:r>
          </w:p>
        </w:tc>
        <w:tc>
          <w:tcPr>
            <w:tcW w:w="1417" w:type="dxa"/>
          </w:tcPr>
          <w:p w14:paraId="656630F6"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1.8.0</w:t>
            </w:r>
          </w:p>
        </w:tc>
        <w:tc>
          <w:tcPr>
            <w:tcW w:w="6236" w:type="dxa"/>
          </w:tcPr>
          <w:p w14:paraId="1C713226"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Model fitting, cross-validation, metrics</w:t>
            </w:r>
          </w:p>
        </w:tc>
      </w:tr>
      <w:tr w:rsidR="005215C4" w:rsidRPr="00F43F27" w14:paraId="3040557D" w14:textId="77777777">
        <w:trPr>
          <w:cantSplit/>
          <w:jc w:val="center"/>
        </w:trPr>
        <w:tc>
          <w:tcPr>
            <w:tcW w:w="1984" w:type="dxa"/>
          </w:tcPr>
          <w:p w14:paraId="6251DA86"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NumPy</w:t>
            </w:r>
          </w:p>
        </w:tc>
        <w:tc>
          <w:tcPr>
            <w:tcW w:w="1417" w:type="dxa"/>
          </w:tcPr>
          <w:p w14:paraId="7939253C"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2.4.4</w:t>
            </w:r>
          </w:p>
        </w:tc>
        <w:tc>
          <w:tcPr>
            <w:tcW w:w="6236" w:type="dxa"/>
          </w:tcPr>
          <w:p w14:paraId="205677D8"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Numerical computing, bootstrap resampling</w:t>
            </w:r>
          </w:p>
        </w:tc>
      </w:tr>
      <w:tr w:rsidR="005215C4" w:rsidRPr="00F43F27" w14:paraId="1EA86656" w14:textId="77777777">
        <w:trPr>
          <w:cantSplit/>
          <w:jc w:val="center"/>
        </w:trPr>
        <w:tc>
          <w:tcPr>
            <w:tcW w:w="1984" w:type="dxa"/>
          </w:tcPr>
          <w:p w14:paraId="2F1C62D8"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pandas</w:t>
            </w:r>
          </w:p>
        </w:tc>
        <w:tc>
          <w:tcPr>
            <w:tcW w:w="1417" w:type="dxa"/>
          </w:tcPr>
          <w:p w14:paraId="6F08C86A"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3.0.2</w:t>
            </w:r>
          </w:p>
        </w:tc>
        <w:tc>
          <w:tcPr>
            <w:tcW w:w="6236" w:type="dxa"/>
          </w:tcPr>
          <w:p w14:paraId="3EFD8371"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Data handling</w:t>
            </w:r>
          </w:p>
        </w:tc>
      </w:tr>
      <w:tr w:rsidR="005215C4" w:rsidRPr="00F43F27" w14:paraId="6EE7AD92" w14:textId="77777777">
        <w:trPr>
          <w:cantSplit/>
          <w:jc w:val="center"/>
        </w:trPr>
        <w:tc>
          <w:tcPr>
            <w:tcW w:w="1984" w:type="dxa"/>
          </w:tcPr>
          <w:p w14:paraId="3D6AB461"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SciPy</w:t>
            </w:r>
          </w:p>
        </w:tc>
        <w:tc>
          <w:tcPr>
            <w:tcW w:w="1417" w:type="dxa"/>
          </w:tcPr>
          <w:p w14:paraId="4196BD7D"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1.17.1</w:t>
            </w:r>
          </w:p>
        </w:tc>
        <w:tc>
          <w:tcPr>
            <w:tcW w:w="6236" w:type="dxa"/>
          </w:tcPr>
          <w:p w14:paraId="4EF02C7E" w14:textId="77777777" w:rsidR="005215C4" w:rsidRPr="00F43F27" w:rsidRDefault="00000000" w:rsidP="00F43F27">
            <w:pPr>
              <w:keepNext/>
              <w:spacing w:before="20" w:after="0"/>
              <w:jc w:val="both"/>
              <w:rPr>
                <w:rFonts w:asciiTheme="majorBidi" w:hAnsiTheme="majorBidi" w:cstheme="majorBidi"/>
              </w:rPr>
            </w:pPr>
            <w:r>
              <w:rPr>
                <w:rFonts w:asciiTheme="majorBidi" w:hAnsiTheme="majorBidi" w:cstheme="majorBidi"/>
                <w:sz w:val="16"/>
              </w:rPr>
              <w:t xml:space="preserve">Statistical tests (Welch t, Mann–Whitney U, Fisher exact)</w:t>
            </w:r>
          </w:p>
        </w:tc>
      </w:tr>
      <w:tr w:rsidR="005215C4" w:rsidRPr="00F43F27" w14:paraId="6850A56D" w14:textId="77777777">
        <w:trPr>
          <w:cantSplit/>
          <w:jc w:val="center"/>
        </w:trPr>
        <w:tc>
          <w:tcPr>
            <w:tcW w:w="1984" w:type="dxa"/>
          </w:tcPr>
          <w:p w14:paraId="48FAA509"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matplotlib</w:t>
            </w:r>
          </w:p>
        </w:tc>
        <w:tc>
          <w:tcPr>
            <w:tcW w:w="1417" w:type="dxa"/>
          </w:tcPr>
          <w:p w14:paraId="529A32CB"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3.10.9</w:t>
            </w:r>
          </w:p>
        </w:tc>
        <w:tc>
          <w:tcPr>
            <w:tcW w:w="6236" w:type="dxa"/>
          </w:tcPr>
          <w:p w14:paraId="009B7E80" w14:textId="77777777" w:rsidR="005215C4" w:rsidRPr="00F43F27" w:rsidRDefault="00000000" w:rsidP="00F43F27">
            <w:pPr>
              <w:spacing w:before="20" w:after="0"/>
              <w:jc w:val="both"/>
              <w:rPr>
                <w:rFonts w:asciiTheme="majorBidi" w:hAnsiTheme="majorBidi" w:cstheme="majorBidi"/>
              </w:rPr>
            </w:pPr>
            <w:r>
              <w:rPr>
                <w:rFonts w:asciiTheme="majorBidi" w:hAnsiTheme="majorBidi" w:cstheme="majorBidi"/>
                <w:sz w:val="16"/>
              </w:rPr>
              <w:t xml:space="preserve">Figures</w:t>
            </w:r>
          </w:p>
        </w:tc>
      </w:tr>
    </w:tbl>
    <w:p w14:paraId="78E737E3" w14:textId="77777777" w:rsidR="005215C4" w:rsidRPr="00F43F27" w:rsidRDefault="00000000" w:rsidP="00F43F27">
      <w:pPr>
        <w:jc w:val="both"/>
        <w:rPr>
          <w:rFonts w:asciiTheme="majorBidi" w:hAnsiTheme="majorBidi" w:cstheme="majorBidi"/>
        </w:rPr>
      </w:pPr>
      <w:r>
        <w:rPr>
          <w:rFonts w:asciiTheme="majorBidi" w:hAnsiTheme="majorBidi" w:cstheme="majorBidi"/>
        </w:rPr>
        <w:br w:type="page"/>
      </w:r>
    </w:p>
    <w:p w14:paraId="5957FD58" w14:textId="77777777" w:rsidR="005215C4" w:rsidRPr="00F43F27" w:rsidRDefault="00000000" w:rsidP="00F43F27">
      <w:pPr>
        <w:keepNext/>
        <w:jc w:val="both"/>
        <w:rPr>
          <w:rFonts w:asciiTheme="majorBidi" w:hAnsiTheme="majorBidi" w:cstheme="majorBidi"/>
        </w:rPr>
      </w:pPr>
      <w:r>
        <w:rPr>
          <w:rFonts w:asciiTheme="majorBidi" w:hAnsiTheme="majorBidi" w:cstheme="majorBidi"/>
          <w:noProof/>
        </w:rPr>
        <w:drawing>
          <wp:inline distT="0" distB="0" distL="0" distR="0" wp14:anchorId="30BBB687" wp14:editId="2C561BA8">
            <wp:extent cx="5580000" cy="6413606"/>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igS1.png"/>
                    <pic:cNvPicPr/>
                  </pic:nvPicPr>
                  <pic:blipFill>
                    <a:blip r:embed="rId14"/>
                    <a:stretch>
                      <a:fillRect/>
                    </a:stretch>
                  </pic:blipFill>
                  <pic:spPr>
                    <a:xfrm>
                      <a:off x="0" y="0"/>
                      <a:ext cx="5580000" cy="6413606"/>
                    </a:xfrm>
                    <a:prstGeom prst="rect">
                      <a:avLst/>
                    </a:prstGeom>
                  </pic:spPr>
                </pic:pic>
              </a:graphicData>
            </a:graphic>
          </wp:inline>
        </w:drawing>
      </w:r>
    </w:p>
    <w:p w14:paraId="1F9EF8CE" w14:textId="77777777" w:rsidR="005215C4" w:rsidRPr="00F43F27" w:rsidRDefault="00000000" w:rsidP="00F43F27">
      <w:pPr>
        <w:spacing w:before="200"/>
        <w:jc w:val="both"/>
        <w:rPr>
          <w:rFonts w:asciiTheme="majorBidi" w:hAnsiTheme="majorBidi" w:cstheme="majorBidi"/>
        </w:rPr>
      </w:pPr>
      <w:r>
        <w:rPr>
          <w:rFonts w:asciiTheme="majorBidi" w:hAnsiTheme="majorBidi" w:cstheme="majorBidi"/>
          <w:b/>
        </w:rPr>
        <w:t xml:space="preserve">Fig. S1</w:t>
      </w:r>
      <w:r>
        <w:rPr>
          <w:rFonts w:asciiTheme="majorBidi" w:hAnsiTheme="majorBidi" w:cstheme="majorBidi"/>
          <w:sz w:val="18"/>
        </w:rPr>
        <w:t xml:space="preserve"> Study and machine-learning workflow. Each complication category (medical, surgical, and the neurological composite with its motor, cognitive and visual components) was modeled from preoperative data alone in 231 patients; because cognitive decline was not recorded in Cesena, the cognitive model was developed in Bologna and validated in Liverpool. Gradient boosting and ridge analyses were conducted independently and reported separately. ACM, anterior clinoidal meningioma; CV, cross-validation; HGBC, histogram gradient boosting classifier; KPS, Karnofsky Performance Status.</w:t>
      </w:r>
    </w:p>
    <w:sectPr w:rsidR="005215C4" w:rsidRPr="00F43F27" w:rsidSect="00034616">
      <w:footerReference w:type="default" r:id="rId11"/>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4B5936" w14:textId="77777777" w:rsidR="00124150" w:rsidRDefault="00124150">
      <w:pPr>
        <w:spacing w:after="0" w:line="240" w:lineRule="auto"/>
      </w:pPr>
      <w:r>
        <w:separator/>
      </w:r>
    </w:p>
  </w:endnote>
  <w:endnote w:type="continuationSeparator" w:id="0">
    <w:p w14:paraId="46363807" w14:textId="77777777" w:rsidR="00124150" w:rsidRDefault="00124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49BC1F" w14:textId="77777777" w:rsidR="005215C4" w:rsidRDefault="00000000">
    <w:pPr>
      <w:pStyle w:val="Footer"/>
      <w:jc w:val="center"/>
    </w:pPr>
    <w:r>
      <w:rPr>
        <w:sz w:val="16"/>
      </w:rPr>
      <w:t xml:space="preserve">Online Resource 1 – page </w:t>
    </w:r>
    <w:r>
      <w:rPr>
        <w:sz w:val="16"/>
      </w:rPr>
      <w:fldChar w:fldCharType="begin"/>
    </w:r>
    <w:r>
      <w:rPr>
        <w:sz w:val="16"/>
      </w:rPr>
      <w:instrText>PAGE</w:instrText>
    </w:r>
    <w:r>
      <w:rPr>
        <w:sz w:val="16"/>
      </w:rPr>
      <w:fldChar w:fldCharType="separate"/>
    </w:r>
    <w:r w:rsidR="00ED7345">
      <w:rPr>
        <w:noProof/>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74997C" w14:textId="606C0794" w:rsidR="005215C4" w:rsidRDefault="00000000">
    <w:pPr>
      <w:pStyle w:val="Footer"/>
      <w:jc w:val="center"/>
    </w:pPr>
    <w:r>
      <w:rPr>
        <w:sz w:val="16"/>
      </w:rPr>
      <w:t xml:space="preserve">Online Resource 1 – page </w:t>
    </w:r>
    <w:r>
      <w:rPr>
        <w:sz w:val="16"/>
      </w:rPr>
      <w:fldChar w:fldCharType="begin"/>
    </w:r>
    <w:r>
      <w:rPr>
        <w:sz w:val="16"/>
      </w:rPr>
      <w:instrText>PAGE</w:instrText>
    </w:r>
    <w:r>
      <w:rPr>
        <w:sz w:val="16"/>
      </w:rPr>
      <w:fldChar w:fldCharType="separate"/>
    </w:r>
    <w:r w:rsidR="00ED7345">
      <w:rPr>
        <w:noProof/>
        <w:sz w:val="16"/>
      </w:rPr>
      <w:t>4</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47C33C" w14:textId="77777777" w:rsidR="00124150" w:rsidRDefault="00124150">
      <w:pPr>
        <w:spacing w:after="0" w:line="240" w:lineRule="auto"/>
      </w:pPr>
      <w:r>
        <w:separator/>
      </w:r>
    </w:p>
  </w:footnote>
  <w:footnote w:type="continuationSeparator" w:id="0">
    <w:p w14:paraId="0FA60E5A" w14:textId="77777777" w:rsidR="00124150" w:rsidRDefault="001241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4533981">
    <w:abstractNumId w:val="8"/>
  </w:num>
  <w:num w:numId="2" w16cid:durableId="1214466993">
    <w:abstractNumId w:val="6"/>
  </w:num>
  <w:num w:numId="3" w16cid:durableId="1419405109">
    <w:abstractNumId w:val="5"/>
  </w:num>
  <w:num w:numId="4" w16cid:durableId="1102259017">
    <w:abstractNumId w:val="4"/>
  </w:num>
  <w:num w:numId="5" w16cid:durableId="1436441599">
    <w:abstractNumId w:val="7"/>
  </w:num>
  <w:num w:numId="6" w16cid:durableId="798228586">
    <w:abstractNumId w:val="3"/>
  </w:num>
  <w:num w:numId="7" w16cid:durableId="859779950">
    <w:abstractNumId w:val="2"/>
  </w:num>
  <w:num w:numId="8" w16cid:durableId="1008602173">
    <w:abstractNumId w:val="1"/>
  </w:num>
  <w:num w:numId="9" w16cid:durableId="7288433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65D6"/>
    <w:rsid w:val="000D46A1"/>
    <w:rsid w:val="00106E44"/>
    <w:rsid w:val="00124150"/>
    <w:rsid w:val="0015074B"/>
    <w:rsid w:val="00252798"/>
    <w:rsid w:val="0029639D"/>
    <w:rsid w:val="00326F90"/>
    <w:rsid w:val="003E5429"/>
    <w:rsid w:val="003F75D4"/>
    <w:rsid w:val="00493A03"/>
    <w:rsid w:val="005215C4"/>
    <w:rsid w:val="00603E26"/>
    <w:rsid w:val="007169FE"/>
    <w:rsid w:val="00AA1D8D"/>
    <w:rsid w:val="00AB3264"/>
    <w:rsid w:val="00AD3C87"/>
    <w:rsid w:val="00B47730"/>
    <w:rsid w:val="00B933F6"/>
    <w:rsid w:val="00CB0664"/>
    <w:rsid w:val="00E4460C"/>
    <w:rsid w:val="00E664AF"/>
    <w:rsid w:val="00ED7345"/>
    <w:rsid w:val="00F43F27"/>
    <w:rsid w:val="00F96A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44919F"/>
  <w14:defaultImageDpi w14:val="300"/>
  <w15:docId w15:val="{8AE6211D-C2AB-024E-829B-EFABD4AB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F75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a.bendorziv@studio.unibo.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3127</Words>
  <Characters>17890</Characters>
  <Application>Microsoft Office Word</Application>
  <DocSecurity>0</DocSecurity>
  <Lines>941</Lines>
  <Paragraphs>778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Noa Ben Dor</cp:lastModifiedBy>
  <cp:revision>16</cp:revision>
  <dcterms:created xsi:type="dcterms:W3CDTF">2013-12-23T23:15:00Z</dcterms:created>
  <dcterms:modified xsi:type="dcterms:W3CDTF">2026-09-25T18:10:00Z</dcterms:modified>
  <cp:category/>
</cp:coreProperties>
</file>