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9E66461" w14:textId="77777777" w:rsidR="00F1197D" w:rsidRPr="00520EE2" w:rsidRDefault="00000000" w:rsidP="00520EE2">
      <w:pPr>
        <w:jc w:val="both"/>
        <w:rPr>
          <w:rFonts w:asciiTheme="majorBidi" w:hAnsiTheme="majorBidi" w:cstheme="majorBidi"/>
        </w:rPr>
      </w:pPr>
      <w:r>
        <w:rPr>
          <w:rFonts w:asciiTheme="majorBidi" w:hAnsiTheme="majorBidi" w:cstheme="majorBidi"/>
          <w:b/>
          <w:sz w:val="28"/>
        </w:rPr>
        <w:t xml:space="preserve">Online Resource 3</w:t>
      </w:r>
    </w:p>
    <w:p w14:paraId="46A5C23E" w14:textId="77777777" w:rsidR="00F1197D" w:rsidRPr="00520EE2" w:rsidRDefault="00000000" w:rsidP="00520EE2">
      <w:pPr>
        <w:jc w:val="both"/>
        <w:rPr>
          <w:rFonts w:asciiTheme="majorBidi" w:hAnsiTheme="majorBidi" w:cstheme="majorBidi"/>
        </w:rPr>
      </w:pPr>
      <w:r>
        <w:rPr>
          <w:rFonts w:asciiTheme="majorBidi" w:hAnsiTheme="majorBidi" w:cstheme="majorBidi"/>
          <w:b/>
          <w:sz w:val="22"/>
        </w:rPr>
        <w:t xml:space="preserve">Preoperative Machine-Learning Models for Predicting Postoperative Morbidity after Anterior Clinoidal Meningioma Surgery: Development and External Validation</w:t>
      </w:r>
    </w:p>
    <w:p w14:paraId="601998AB" w14:textId="77777777" w:rsidR="00F1197D" w:rsidRPr="00520EE2" w:rsidRDefault="00000000" w:rsidP="00520EE2">
      <w:pPr>
        <w:jc w:val="both"/>
        <w:rPr>
          <w:rFonts w:asciiTheme="majorBidi" w:hAnsiTheme="majorBidi" w:cstheme="majorBidi"/>
        </w:rPr>
      </w:pPr>
      <w:r>
        <w:rPr>
          <w:rFonts w:asciiTheme="majorBidi" w:hAnsiTheme="majorBidi" w:cstheme="majorBidi"/>
          <w:i/>
        </w:rPr>
        <w:t xml:space="preserve">Journal of Neuro-Oncology</w:t>
      </w:r>
    </w:p>
    <w:p w14:paraId="5102B149" w14:textId="77777777" w:rsidR="003D5025" w:rsidRPr="00520EE2" w:rsidRDefault="003D5025" w:rsidP="00520EE2">
      <w:pPr>
        <w:pBdr>
          <w:top w:val="nil"/>
          <w:left w:val="nil"/>
          <w:bottom w:val="nil"/>
          <w:right w:val="nil"/>
          <w:between w:val="nil"/>
        </w:pBdr>
        <w:spacing w:line="240" w:lineRule="auto"/>
        <w:jc w:val="both"/>
        <w:rPr>
          <w:rFonts w:asciiTheme="majorBidi" w:eastAsia="Palatino Linotype" w:hAnsiTheme="majorBidi" w:cstheme="majorBidi"/>
          <w:color w:val="000000"/>
          <w:szCs w:val="20"/>
        </w:rPr>
      </w:pPr>
      <w:r>
        <w:rPr>
          <w:rFonts w:asciiTheme="majorBidi" w:eastAsia="Palatino Linotype" w:hAnsiTheme="majorBidi" w:cstheme="majorBidi"/>
          <w:color w:val="000000"/>
          <w:szCs w:val="20"/>
          <w:vertAlign w:val="superscript"/>
        </w:rPr>
        <w:t xml:space="preserve">1</w:t>
      </w:r>
      <w:r>
        <w:rPr>
          <w:rFonts w:asciiTheme="majorBidi" w:eastAsia="Palatino Linotype" w:hAnsiTheme="majorBidi" w:cstheme="majorBidi"/>
          <w:color w:val="000000"/>
          <w:szCs w:val="20"/>
        </w:rPr>
        <w:t xml:space="preserve">Noa Ben Dor, MD; </w:t>
      </w:r>
      <w:r>
        <w:rPr>
          <w:rFonts w:asciiTheme="majorBidi" w:eastAsia="Palatino Linotype" w:hAnsiTheme="majorBidi" w:cstheme="majorBidi"/>
          <w:color w:val="000000"/>
          <w:szCs w:val="20"/>
          <w:vertAlign w:val="superscript"/>
        </w:rPr>
        <w:t xml:space="preserve">1</w:t>
      </w:r>
      <w:r>
        <w:rPr>
          <w:rFonts w:asciiTheme="majorBidi" w:eastAsia="Palatino Linotype" w:hAnsiTheme="majorBidi" w:cstheme="majorBidi"/>
          <w:color w:val="000000"/>
          <w:szCs w:val="20"/>
        </w:rPr>
        <w:t xml:space="preserve">Gal Ziv, BA; </w:t>
      </w:r>
      <w:r>
        <w:rPr>
          <w:rFonts w:asciiTheme="majorBidi" w:eastAsia="Palatino Linotype" w:hAnsiTheme="majorBidi" w:cstheme="majorBidi"/>
          <w:color w:val="000000"/>
          <w:szCs w:val="20"/>
          <w:vertAlign w:val="superscript"/>
        </w:rPr>
        <w:t xml:space="preserve">1</w:t>
      </w:r>
      <w:r>
        <w:rPr>
          <w:rFonts w:asciiTheme="majorBidi" w:eastAsia="Palatino Linotype" w:hAnsiTheme="majorBidi" w:cstheme="majorBidi"/>
          <w:color w:val="000000"/>
          <w:szCs w:val="20"/>
        </w:rPr>
        <w:t xml:space="preserve">Filippo Friso, MD; </w:t>
      </w:r>
      <w:r>
        <w:rPr>
          <w:rFonts w:asciiTheme="majorBidi" w:eastAsia="Palatino Linotype" w:hAnsiTheme="majorBidi" w:cstheme="majorBidi"/>
          <w:color w:val="000000"/>
          <w:szCs w:val="20"/>
          <w:vertAlign w:val="superscript"/>
        </w:rPr>
        <w:t xml:space="preserve">1</w:t>
      </w:r>
      <w:r>
        <w:rPr>
          <w:rFonts w:asciiTheme="majorBidi" w:eastAsia="Palatino Linotype" w:hAnsiTheme="majorBidi" w:cstheme="majorBidi"/>
          <w:color w:val="000000"/>
          <w:szCs w:val="20"/>
        </w:rPr>
        <w:t xml:space="preserve">Carlo Bortolotti, MD; </w:t>
      </w:r>
      <w:r>
        <w:rPr>
          <w:rFonts w:asciiTheme="majorBidi" w:eastAsia="Palatino Linotype" w:hAnsiTheme="majorBidi" w:cstheme="majorBidi"/>
          <w:color w:val="000000"/>
          <w:szCs w:val="20"/>
          <w:vertAlign w:val="superscript"/>
        </w:rPr>
        <w:t xml:space="preserve">1,2</w:t>
      </w:r>
      <w:r>
        <w:rPr>
          <w:rFonts w:asciiTheme="majorBidi" w:eastAsia="Palatino Linotype" w:hAnsiTheme="majorBidi" w:cstheme="majorBidi"/>
          <w:color w:val="000000"/>
          <w:szCs w:val="20"/>
        </w:rPr>
        <w:t xml:space="preserve">Diego Mazzatenta, MD, PhD; </w:t>
      </w:r>
      <w:r>
        <w:rPr>
          <w:rFonts w:asciiTheme="majorBidi" w:eastAsia="Palatino Linotype" w:hAnsiTheme="majorBidi" w:cstheme="majorBidi"/>
          <w:color w:val="000000"/>
          <w:szCs w:val="20"/>
          <w:vertAlign w:val="superscript"/>
        </w:rPr>
        <w:t xml:space="preserve">1,2</w:t>
      </w:r>
      <w:r>
        <w:rPr>
          <w:rFonts w:asciiTheme="majorBidi" w:eastAsia="Palatino Linotype" w:hAnsiTheme="majorBidi" w:cstheme="majorBidi"/>
          <w:color w:val="000000"/>
          <w:szCs w:val="20"/>
        </w:rPr>
        <w:t xml:space="preserve">Matteo Zoli, MD, PhD; </w:t>
      </w:r>
      <w:r>
        <w:rPr>
          <w:rFonts w:asciiTheme="majorBidi" w:eastAsia="Palatino Linotype" w:hAnsiTheme="majorBidi" w:cstheme="majorBidi"/>
          <w:color w:val="000000"/>
          <w:szCs w:val="20"/>
          <w:vertAlign w:val="superscript"/>
        </w:rPr>
        <w:t xml:space="preserve">1</w:t>
      </w:r>
      <w:r>
        <w:rPr>
          <w:rFonts w:asciiTheme="majorBidi" w:eastAsia="Palatino Linotype" w:hAnsiTheme="majorBidi" w:cstheme="majorBidi"/>
          <w:color w:val="000000"/>
          <w:szCs w:val="20"/>
        </w:rPr>
        <w:t xml:space="preserve">Matteo Martinoni, MD; </w:t>
      </w:r>
      <w:r>
        <w:rPr>
          <w:rFonts w:asciiTheme="majorBidi" w:eastAsia="Palatino Linotype" w:hAnsiTheme="majorBidi" w:cstheme="majorBidi"/>
          <w:color w:val="000000"/>
          <w:szCs w:val="20"/>
          <w:vertAlign w:val="superscript"/>
        </w:rPr>
        <w:t xml:space="preserve">1</w:t>
      </w:r>
      <w:r>
        <w:rPr>
          <w:rFonts w:asciiTheme="majorBidi" w:eastAsia="Palatino Linotype" w:hAnsiTheme="majorBidi" w:cstheme="majorBidi"/>
          <w:color w:val="000000"/>
          <w:szCs w:val="20"/>
        </w:rPr>
        <w:t xml:space="preserve">Filippo Badaloni, MD; </w:t>
      </w:r>
      <w:r>
        <w:rPr>
          <w:rFonts w:asciiTheme="majorBidi" w:eastAsia="Palatino Linotype" w:hAnsiTheme="majorBidi" w:cstheme="majorBidi"/>
          <w:color w:val="000000"/>
          <w:szCs w:val="20"/>
          <w:vertAlign w:val="superscript"/>
        </w:rPr>
        <w:t xml:space="preserve">1</w:t>
      </w:r>
      <w:r>
        <w:rPr>
          <w:rFonts w:asciiTheme="majorBidi" w:eastAsia="Palatino Linotype" w:hAnsiTheme="majorBidi" w:cstheme="majorBidi"/>
          <w:color w:val="000000"/>
          <w:szCs w:val="20"/>
        </w:rPr>
        <w:t xml:space="preserve">Giulia Casulli, MD; </w:t>
      </w:r>
      <w:r>
        <w:rPr>
          <w:rFonts w:asciiTheme="majorBidi" w:eastAsia="Palatino Linotype" w:hAnsiTheme="majorBidi" w:cstheme="majorBidi"/>
          <w:color w:val="000000"/>
          <w:szCs w:val="20"/>
          <w:vertAlign w:val="superscript"/>
        </w:rPr>
        <w:t xml:space="preserve">1</w:t>
      </w:r>
      <w:r>
        <w:rPr>
          <w:rFonts w:asciiTheme="majorBidi" w:eastAsia="Palatino Linotype" w:hAnsiTheme="majorBidi" w:cstheme="majorBidi"/>
          <w:color w:val="000000"/>
          <w:szCs w:val="20"/>
        </w:rPr>
        <w:t xml:space="preserve">Vittoria Rosetti, MD; </w:t>
      </w:r>
      <w:r>
        <w:rPr>
          <w:rFonts w:asciiTheme="majorBidi" w:eastAsia="Palatino Linotype" w:hAnsiTheme="majorBidi" w:cstheme="majorBidi"/>
          <w:color w:val="000000"/>
          <w:szCs w:val="20"/>
          <w:vertAlign w:val="superscript"/>
        </w:rPr>
        <w:t xml:space="preserve">1</w:t>
      </w:r>
      <w:r>
        <w:rPr>
          <w:rFonts w:asciiTheme="majorBidi" w:eastAsia="Palatino Linotype" w:hAnsiTheme="majorBidi" w:cstheme="majorBidi"/>
          <w:color w:val="000000"/>
          <w:szCs w:val="20"/>
        </w:rPr>
        <w:t xml:space="preserve">Luca Zanuttini, MD; </w:t>
      </w:r>
      <w:r>
        <w:rPr>
          <w:rFonts w:asciiTheme="majorBidi" w:eastAsia="Palatino Linotype" w:hAnsiTheme="majorBidi" w:cstheme="majorBidi"/>
          <w:color w:val="000000"/>
          <w:szCs w:val="20"/>
          <w:vertAlign w:val="superscript"/>
        </w:rPr>
        <w:t xml:space="preserve">2</w:t>
      </w:r>
      <w:r>
        <w:rPr>
          <w:rFonts w:asciiTheme="majorBidi" w:eastAsia="Palatino Linotype" w:hAnsiTheme="majorBidi" w:cstheme="majorBidi"/>
          <w:color w:val="000000"/>
          <w:szCs w:val="20"/>
        </w:rPr>
        <w:t xml:space="preserve">Lorenzo Faccin, MD; </w:t>
      </w:r>
      <w:r>
        <w:rPr>
          <w:rFonts w:asciiTheme="majorBidi" w:eastAsia="Palatino Linotype" w:hAnsiTheme="majorBidi" w:cstheme="majorBidi"/>
          <w:color w:val="000000"/>
          <w:szCs w:val="20"/>
          <w:vertAlign w:val="superscript"/>
        </w:rPr>
        <w:t xml:space="preserve">3</w:t>
      </w:r>
      <w:r>
        <w:rPr>
          <w:rFonts w:asciiTheme="majorBidi" w:eastAsia="Palatino Linotype" w:hAnsiTheme="majorBidi" w:cstheme="majorBidi"/>
          <w:color w:val="000000"/>
          <w:szCs w:val="20"/>
        </w:rPr>
        <w:t xml:space="preserve">Francesco Travaglini, MD; </w:t>
      </w:r>
      <w:r>
        <w:rPr>
          <w:rFonts w:asciiTheme="majorBidi" w:eastAsia="Palatino Linotype" w:hAnsiTheme="majorBidi" w:cstheme="majorBidi"/>
          <w:color w:val="000000"/>
          <w:szCs w:val="20"/>
          <w:vertAlign w:val="superscript"/>
        </w:rPr>
        <w:t xml:space="preserve">3</w:t>
      </w:r>
      <w:r>
        <w:rPr>
          <w:rFonts w:asciiTheme="majorBidi" w:eastAsia="Palatino Linotype" w:hAnsiTheme="majorBidi" w:cstheme="majorBidi"/>
          <w:color w:val="000000"/>
          <w:szCs w:val="20"/>
        </w:rPr>
        <w:t xml:space="preserve">Luigino Tosatto, MD; </w:t>
      </w:r>
      <w:r>
        <w:rPr>
          <w:rFonts w:asciiTheme="majorBidi" w:eastAsia="Palatino Linotype" w:hAnsiTheme="majorBidi" w:cstheme="majorBidi"/>
          <w:color w:val="000000"/>
          <w:szCs w:val="20"/>
          <w:vertAlign w:val="superscript"/>
        </w:rPr>
        <w:t xml:space="preserve">4</w:t>
      </w:r>
      <w:r>
        <w:rPr>
          <w:rFonts w:asciiTheme="majorBidi" w:eastAsia="Palatino Linotype" w:hAnsiTheme="majorBidi" w:cstheme="majorBidi"/>
          <w:color w:val="000000"/>
          <w:szCs w:val="20"/>
        </w:rPr>
        <w:t xml:space="preserve">He-ming Wu, MD; </w:t>
      </w:r>
      <w:r>
        <w:rPr>
          <w:rFonts w:asciiTheme="majorBidi" w:eastAsia="Palatino Linotype" w:hAnsiTheme="majorBidi" w:cstheme="majorBidi"/>
          <w:color w:val="000000"/>
          <w:szCs w:val="20"/>
          <w:vertAlign w:val="superscript"/>
        </w:rPr>
        <w:t xml:space="preserve">5</w:t>
      </w:r>
      <w:r>
        <w:rPr>
          <w:rFonts w:asciiTheme="majorBidi" w:eastAsia="Palatino Linotype" w:hAnsiTheme="majorBidi" w:cstheme="majorBidi"/>
          <w:color w:val="000000"/>
          <w:szCs w:val="20"/>
        </w:rPr>
        <w:t xml:space="preserve">Catherine Elizabeth Gilkes, MD; </w:t>
      </w:r>
      <w:r>
        <w:rPr>
          <w:rFonts w:asciiTheme="majorBidi" w:eastAsia="Palatino Linotype" w:hAnsiTheme="majorBidi" w:cstheme="majorBidi"/>
          <w:color w:val="000000"/>
          <w:szCs w:val="20"/>
          <w:vertAlign w:val="superscript"/>
        </w:rPr>
        <w:t xml:space="preserve">5</w:t>
      </w:r>
      <w:r>
        <w:rPr>
          <w:rFonts w:asciiTheme="majorBidi" w:eastAsia="Palatino Linotype" w:hAnsiTheme="majorBidi" w:cstheme="majorBidi"/>
          <w:color w:val="000000"/>
          <w:szCs w:val="20"/>
        </w:rPr>
        <w:t xml:space="preserve">Cathal John Hannan, PhD; </w:t>
      </w:r>
      <w:r>
        <w:rPr>
          <w:rFonts w:asciiTheme="majorBidi" w:eastAsia="Palatino Linotype" w:hAnsiTheme="majorBidi" w:cstheme="majorBidi"/>
          <w:color w:val="000000"/>
          <w:szCs w:val="20"/>
          <w:vertAlign w:val="superscript"/>
        </w:rPr>
        <w:t xml:space="preserve">5,6</w:t>
      </w:r>
      <w:r>
        <w:rPr>
          <w:rFonts w:asciiTheme="majorBidi" w:eastAsia="Palatino Linotype" w:hAnsiTheme="majorBidi" w:cstheme="majorBidi"/>
          <w:color w:val="000000"/>
          <w:szCs w:val="20"/>
        </w:rPr>
        <w:t xml:space="preserve">Michael D. Jenkinson, MD, PhD; </w:t>
      </w:r>
      <w:r>
        <w:rPr>
          <w:rFonts w:asciiTheme="majorBidi" w:eastAsia="Palatino Linotype" w:hAnsiTheme="majorBidi" w:cstheme="majorBidi"/>
          <w:color w:val="000000"/>
          <w:szCs w:val="20"/>
          <w:vertAlign w:val="superscript"/>
        </w:rPr>
        <w:t xml:space="preserve">3</w:t>
      </w:r>
      <w:r>
        <w:rPr>
          <w:rFonts w:asciiTheme="majorBidi" w:eastAsia="Palatino Linotype" w:hAnsiTheme="majorBidi" w:cstheme="majorBidi"/>
          <w:color w:val="000000"/>
          <w:szCs w:val="20"/>
        </w:rPr>
        <w:t xml:space="preserve">Marcello D'Andrea, MD; </w:t>
      </w:r>
      <w:r>
        <w:rPr>
          <w:rFonts w:asciiTheme="majorBidi" w:eastAsia="Palatino Linotype" w:hAnsiTheme="majorBidi" w:cstheme="majorBidi"/>
          <w:color w:val="000000"/>
          <w:szCs w:val="20"/>
          <w:vertAlign w:val="superscript"/>
        </w:rPr>
        <w:t xml:space="preserve">1,2</w:t>
      </w:r>
      <w:r>
        <w:rPr>
          <w:rFonts w:asciiTheme="majorBidi" w:eastAsia="Palatino Linotype" w:hAnsiTheme="majorBidi" w:cstheme="majorBidi"/>
          <w:color w:val="000000"/>
          <w:szCs w:val="20"/>
        </w:rPr>
        <w:t xml:space="preserve">Alfredo Conti, MD, PhD.</w:t>
      </w:r>
    </w:p>
    <w:p w14:paraId="6F581D33" w14:textId="77777777" w:rsidR="003D5025" w:rsidRPr="00520EE2" w:rsidRDefault="003D5025" w:rsidP="00520EE2">
      <w:pPr>
        <w:pBdr>
          <w:top w:val="nil"/>
          <w:left w:val="nil"/>
          <w:bottom w:val="nil"/>
          <w:right w:val="nil"/>
          <w:between w:val="nil"/>
        </w:pBdr>
        <w:spacing w:after="0" w:line="240" w:lineRule="auto"/>
        <w:jc w:val="both"/>
        <w:rPr>
          <w:rFonts w:asciiTheme="majorBidi" w:eastAsia="Palatino Linotype" w:hAnsiTheme="majorBidi" w:cstheme="majorBidi"/>
          <w:color w:val="000000"/>
          <w:szCs w:val="20"/>
        </w:rPr>
      </w:pPr>
    </w:p>
    <w:p w14:paraId="22652C02" w14:textId="77777777" w:rsidR="003D5025" w:rsidRPr="00520EE2" w:rsidRDefault="003D5025" w:rsidP="00520EE2">
      <w:pPr>
        <w:pBdr>
          <w:top w:val="nil"/>
          <w:left w:val="nil"/>
          <w:bottom w:val="nil"/>
          <w:right w:val="nil"/>
          <w:between w:val="nil"/>
        </w:pBdr>
        <w:spacing w:after="0" w:line="240" w:lineRule="auto"/>
        <w:jc w:val="both"/>
        <w:rPr>
          <w:rFonts w:asciiTheme="majorBidi" w:eastAsia="Palatino Linotype" w:hAnsiTheme="majorBidi" w:cstheme="majorBidi"/>
          <w:color w:val="000000"/>
          <w:szCs w:val="20"/>
        </w:rPr>
      </w:pPr>
      <w:r>
        <w:rPr>
          <w:rFonts w:asciiTheme="majorBidi" w:eastAsia="Palatino Linotype" w:hAnsiTheme="majorBidi" w:cstheme="majorBidi"/>
          <w:color w:val="000000"/>
          <w:szCs w:val="20"/>
        </w:rPr>
        <w:t xml:space="preserve">1 Department of Neurosurgery; IRCCS Institute of Neurological Sciences of Bologna (ISNB), Bologna, Italy</w:t>
      </w:r>
    </w:p>
    <w:p w14:paraId="1E561395" w14:textId="77777777" w:rsidR="003D5025" w:rsidRPr="00520EE2" w:rsidRDefault="003D5025" w:rsidP="00520EE2">
      <w:pPr>
        <w:pBdr>
          <w:top w:val="nil"/>
          <w:left w:val="nil"/>
          <w:bottom w:val="nil"/>
          <w:right w:val="nil"/>
          <w:between w:val="nil"/>
        </w:pBdr>
        <w:spacing w:after="0" w:line="240" w:lineRule="auto"/>
        <w:jc w:val="both"/>
        <w:rPr>
          <w:rFonts w:asciiTheme="majorBidi" w:eastAsia="Palatino Linotype" w:hAnsiTheme="majorBidi" w:cstheme="majorBidi"/>
          <w:color w:val="000000"/>
          <w:szCs w:val="20"/>
        </w:rPr>
      </w:pPr>
      <w:r>
        <w:rPr>
          <w:rFonts w:asciiTheme="majorBidi" w:eastAsia="Palatino Linotype" w:hAnsiTheme="majorBidi" w:cstheme="majorBidi"/>
          <w:color w:val="000000"/>
          <w:szCs w:val="20"/>
        </w:rPr>
        <w:t xml:space="preserve">2 Department of Biomedical and Neuromotor Sciences (DIBINEM), Alma Mater Studiorum – University of Bologna, Bologna, Italy </w:t>
      </w:r>
    </w:p>
    <w:p w14:paraId="673A0036" w14:textId="77777777" w:rsidR="003D5025" w:rsidRPr="00520EE2" w:rsidRDefault="003D5025" w:rsidP="00520EE2">
      <w:pPr>
        <w:pBdr>
          <w:top w:val="nil"/>
          <w:left w:val="nil"/>
          <w:bottom w:val="nil"/>
          <w:right w:val="nil"/>
          <w:between w:val="nil"/>
        </w:pBdr>
        <w:spacing w:after="0" w:line="240" w:lineRule="auto"/>
        <w:jc w:val="both"/>
        <w:rPr>
          <w:rFonts w:asciiTheme="majorBidi" w:hAnsiTheme="majorBidi" w:cstheme="majorBidi"/>
          <w:szCs w:val="20"/>
        </w:rPr>
      </w:pPr>
      <w:r>
        <w:rPr>
          <w:rFonts w:asciiTheme="majorBidi" w:eastAsia="Palatino Linotype" w:hAnsiTheme="majorBidi" w:cstheme="majorBidi"/>
          <w:color w:val="000000"/>
          <w:szCs w:val="20"/>
        </w:rPr>
        <w:t xml:space="preserve">3 Department of Neurosurgery, Maurizio Bufalini Hospital, AUSL Romagna, Cesena, Italy</w:t>
      </w:r>
    </w:p>
    <w:p w14:paraId="37270397" w14:textId="77777777" w:rsidR="003D5025" w:rsidRPr="00520EE2" w:rsidRDefault="003D5025" w:rsidP="00520EE2">
      <w:pPr>
        <w:pBdr>
          <w:top w:val="nil"/>
          <w:left w:val="nil"/>
          <w:bottom w:val="nil"/>
          <w:right w:val="nil"/>
          <w:between w:val="nil"/>
        </w:pBdr>
        <w:spacing w:after="0" w:line="240" w:lineRule="auto"/>
        <w:jc w:val="both"/>
        <w:rPr>
          <w:rFonts w:asciiTheme="majorBidi" w:eastAsia="Palatino Linotype" w:hAnsiTheme="majorBidi" w:cstheme="majorBidi"/>
          <w:color w:val="000000"/>
          <w:szCs w:val="20"/>
        </w:rPr>
      </w:pPr>
      <w:r>
        <w:rPr>
          <w:rFonts w:asciiTheme="majorBidi" w:eastAsia="Palatino Linotype" w:hAnsiTheme="majorBidi" w:cstheme="majorBidi"/>
          <w:color w:val="000000"/>
          <w:szCs w:val="20"/>
        </w:rPr>
        <w:t xml:space="preserve">4 Department of Neurosurgery, Nanjing First Hospital, Nanjing Medical University, Nanjing, Jiangsu, China</w:t>
      </w:r>
    </w:p>
    <w:p w14:paraId="6EC187E0" w14:textId="77777777" w:rsidR="003D5025" w:rsidRPr="00520EE2" w:rsidRDefault="003D5025" w:rsidP="00520EE2">
      <w:pPr>
        <w:pBdr>
          <w:top w:val="nil"/>
          <w:left w:val="nil"/>
          <w:bottom w:val="nil"/>
          <w:right w:val="nil"/>
          <w:between w:val="nil"/>
        </w:pBdr>
        <w:spacing w:after="0" w:line="240" w:lineRule="auto"/>
        <w:jc w:val="both"/>
        <w:rPr>
          <w:rFonts w:asciiTheme="majorBidi" w:eastAsia="Palatino Linotype" w:hAnsiTheme="majorBidi" w:cstheme="majorBidi"/>
          <w:bCs/>
          <w:color w:val="000000"/>
          <w:szCs w:val="20"/>
        </w:rPr>
      </w:pPr>
      <w:r>
        <w:rPr>
          <w:rFonts w:asciiTheme="majorBidi" w:eastAsia="Palatino Linotype" w:hAnsiTheme="majorBidi" w:cstheme="majorBidi"/>
          <w:color w:val="000000"/>
          <w:szCs w:val="20"/>
        </w:rPr>
        <w:t xml:space="preserve">5 Department of Neurosurgery, The Walton Centre NHS Foundation Trust, Liverpool L9 7LJ, UK</w:t>
      </w:r>
    </w:p>
    <w:p w14:paraId="11869C48" w14:textId="77777777" w:rsidR="003D5025" w:rsidRPr="00520EE2" w:rsidRDefault="003D5025" w:rsidP="00520EE2">
      <w:pPr>
        <w:pBdr>
          <w:top w:val="nil"/>
          <w:left w:val="nil"/>
          <w:bottom w:val="nil"/>
          <w:right w:val="nil"/>
          <w:between w:val="nil"/>
        </w:pBdr>
        <w:spacing w:after="0" w:line="240" w:lineRule="auto"/>
        <w:jc w:val="both"/>
        <w:rPr>
          <w:rFonts w:asciiTheme="majorBidi" w:eastAsia="Palatino Linotype" w:hAnsiTheme="majorBidi" w:cstheme="majorBidi"/>
          <w:color w:val="000000"/>
          <w:szCs w:val="20"/>
        </w:rPr>
      </w:pPr>
      <w:r>
        <w:rPr>
          <w:rFonts w:asciiTheme="majorBidi" w:eastAsia="Palatino Linotype" w:hAnsiTheme="majorBidi" w:cstheme="majorBidi"/>
          <w:color w:val="000000"/>
          <w:szCs w:val="20"/>
        </w:rPr>
        <w:t xml:space="preserve">6 Institute of Systems, Molecular and Integrative Biology, University of Liverpool, Liverpool, UK</w:t>
      </w:r>
    </w:p>
    <w:p w14:paraId="74262C07" w14:textId="77777777" w:rsidR="003D5025" w:rsidRPr="00520EE2" w:rsidRDefault="003D5025" w:rsidP="00520EE2">
      <w:pPr>
        <w:pBdr>
          <w:top w:val="nil"/>
          <w:left w:val="nil"/>
          <w:bottom w:val="nil"/>
          <w:right w:val="nil"/>
          <w:between w:val="nil"/>
        </w:pBdr>
        <w:spacing w:after="0" w:line="240" w:lineRule="auto"/>
        <w:jc w:val="both"/>
        <w:rPr>
          <w:rFonts w:asciiTheme="majorBidi" w:eastAsia="Palatino Linotype" w:hAnsiTheme="majorBidi" w:cstheme="majorBidi"/>
          <w:bCs/>
          <w:color w:val="000000"/>
          <w:szCs w:val="20"/>
        </w:rPr>
      </w:pPr>
    </w:p>
    <w:p w14:paraId="7773F962" w14:textId="77777777" w:rsidR="003D5025" w:rsidRPr="00520EE2" w:rsidRDefault="003D5025" w:rsidP="00520EE2">
      <w:pPr>
        <w:pBdr>
          <w:top w:val="nil"/>
          <w:left w:val="nil"/>
          <w:bottom w:val="nil"/>
          <w:right w:val="nil"/>
          <w:between w:val="nil"/>
        </w:pBdr>
        <w:spacing w:after="0" w:line="240" w:lineRule="auto"/>
        <w:jc w:val="both"/>
        <w:rPr>
          <w:rFonts w:asciiTheme="majorBidi" w:eastAsia="Palatino Linotype" w:hAnsiTheme="majorBidi" w:cstheme="majorBidi"/>
          <w:bCs/>
          <w:color w:val="000000"/>
          <w:szCs w:val="20"/>
        </w:rPr>
      </w:pPr>
      <w:r>
        <w:rPr>
          <w:rFonts w:asciiTheme="majorBidi" w:eastAsia="Palatino Linotype" w:hAnsiTheme="majorBidi" w:cstheme="majorBidi"/>
          <w:b/>
          <w:color w:val="000000"/>
          <w:szCs w:val="20"/>
        </w:rPr>
        <w:t xml:space="preserve">Corresponding author</w:t>
      </w:r>
      <w:r>
        <w:rPr>
          <w:rFonts w:asciiTheme="majorBidi" w:eastAsia="Palatino Linotype" w:hAnsiTheme="majorBidi" w:cstheme="majorBidi"/>
          <w:bCs/>
          <w:color w:val="000000"/>
          <w:szCs w:val="20"/>
        </w:rPr>
        <w:t xml:space="preserve">:</w:t>
      </w:r>
    </w:p>
    <w:p w14:paraId="37331392" w14:textId="77777777" w:rsidR="003D5025" w:rsidRPr="00520EE2" w:rsidRDefault="003D5025" w:rsidP="00520EE2">
      <w:pPr>
        <w:pBdr>
          <w:top w:val="nil"/>
          <w:left w:val="nil"/>
          <w:bottom w:val="nil"/>
          <w:right w:val="nil"/>
          <w:between w:val="nil"/>
        </w:pBdr>
        <w:spacing w:after="0" w:line="240" w:lineRule="auto"/>
        <w:jc w:val="both"/>
        <w:rPr>
          <w:rFonts w:asciiTheme="majorBidi" w:eastAsia="Palatino Linotype" w:hAnsiTheme="majorBidi" w:cstheme="majorBidi"/>
          <w:color w:val="000000"/>
          <w:szCs w:val="20"/>
        </w:rPr>
      </w:pPr>
      <w:r>
        <w:rPr>
          <w:rFonts w:asciiTheme="majorBidi" w:eastAsia="Palatino Linotype" w:hAnsiTheme="majorBidi" w:cstheme="majorBidi"/>
          <w:color w:val="000000"/>
          <w:szCs w:val="20"/>
        </w:rPr>
        <w:t xml:space="preserve">Noa Ben Dor, MD</w:t>
      </w:r>
    </w:p>
    <w:p w14:paraId="3D82A254" w14:textId="77777777" w:rsidR="003D5025" w:rsidRPr="00520EE2" w:rsidRDefault="003D5025" w:rsidP="00520EE2">
      <w:pPr>
        <w:pBdr>
          <w:top w:val="nil"/>
          <w:left w:val="nil"/>
          <w:bottom w:val="nil"/>
          <w:right w:val="nil"/>
          <w:between w:val="nil"/>
        </w:pBdr>
        <w:spacing w:after="0" w:line="240" w:lineRule="auto"/>
        <w:jc w:val="both"/>
        <w:rPr>
          <w:rFonts w:asciiTheme="majorBidi" w:eastAsia="Palatino Linotype" w:hAnsiTheme="majorBidi" w:cstheme="majorBidi"/>
          <w:color w:val="000000"/>
          <w:szCs w:val="20"/>
        </w:rPr>
      </w:pPr>
      <w:r>
        <w:rPr>
          <w:rFonts w:asciiTheme="majorBidi" w:eastAsia="Palatino Linotype" w:hAnsiTheme="majorBidi" w:cstheme="majorBidi"/>
          <w:color w:val="000000"/>
          <w:szCs w:val="20"/>
        </w:rPr>
        <w:t xml:space="preserve">Department of Neurosurgery, IRCCS Institute of Neurological Sciences (ISNB), Bologna, Italy</w:t>
      </w:r>
    </w:p>
    <w:p w14:paraId="579A45A2" w14:textId="77777777" w:rsidR="003D5025" w:rsidRPr="00520EE2" w:rsidRDefault="003D5025" w:rsidP="00520EE2">
      <w:pPr>
        <w:pBdr>
          <w:top w:val="nil"/>
          <w:left w:val="nil"/>
          <w:bottom w:val="nil"/>
          <w:right w:val="nil"/>
          <w:between w:val="nil"/>
        </w:pBdr>
        <w:spacing w:after="0" w:line="240" w:lineRule="auto"/>
        <w:jc w:val="both"/>
        <w:rPr>
          <w:rFonts w:asciiTheme="majorBidi" w:eastAsia="Palatino Linotype" w:hAnsiTheme="majorBidi" w:cstheme="majorBidi"/>
          <w:b/>
          <w:color w:val="000000"/>
          <w:szCs w:val="20"/>
          <w:lang w:val="it-IT"/>
        </w:rPr>
      </w:pPr>
      <w:r>
        <w:rPr>
          <w:rFonts w:asciiTheme="majorBidi" w:eastAsia="Palatino Linotype" w:hAnsiTheme="majorBidi" w:cstheme="majorBidi"/>
          <w:color w:val="000000"/>
          <w:szCs w:val="20"/>
          <w:lang w:val="it-IT"/>
        </w:rPr>
        <w:t xml:space="preserve">Via Altura 3, 40139 Bologna, Italy</w:t>
      </w:r>
    </w:p>
    <w:p w14:paraId="546E3EE1" w14:textId="77777777" w:rsidR="003D5025" w:rsidRPr="00520EE2" w:rsidRDefault="003D5025" w:rsidP="00520EE2">
      <w:pPr>
        <w:pBdr>
          <w:top w:val="nil"/>
          <w:left w:val="nil"/>
          <w:bottom w:val="nil"/>
          <w:right w:val="nil"/>
          <w:between w:val="nil"/>
        </w:pBdr>
        <w:spacing w:after="0" w:line="240" w:lineRule="auto"/>
        <w:jc w:val="both"/>
        <w:rPr>
          <w:rFonts w:asciiTheme="majorBidi" w:hAnsiTheme="majorBidi" w:cstheme="majorBidi"/>
          <w:lang w:val="it-IT"/>
        </w:rPr>
      </w:pPr>
      <w:r>
        <w:rPr>
          <w:rFonts w:asciiTheme="majorBidi" w:eastAsia="Palatino Linotype" w:hAnsiTheme="majorBidi" w:cstheme="majorBidi"/>
          <w:color w:val="000000"/>
          <w:szCs w:val="20"/>
          <w:lang w:val="it-IT"/>
        </w:rPr>
        <w:t xml:space="preserve">E-mail: </w:t>
      </w:r>
      <w:hyperlink r:id="rId8" w:history="1">
        <w:r>
          <w:rPr>
            <w:rStyle w:val="Hyperlink"/>
            <w:rFonts w:asciiTheme="majorBidi" w:eastAsia="Palatino Linotype" w:hAnsiTheme="majorBidi" w:cstheme="majorBidi"/>
            <w:szCs w:val="20"/>
            <w:lang w:val="it-IT"/>
          </w:rPr>
          <w:t>noa.bendorziv@studio.unibo.it</w:t>
        </w:r>
      </w:hyperlink>
    </w:p>
    <w:p w14:paraId="246F0E37" w14:textId="77777777" w:rsidR="003D5025" w:rsidRPr="00520EE2" w:rsidRDefault="003D5025" w:rsidP="00520EE2">
      <w:pPr>
        <w:pBdr>
          <w:top w:val="nil"/>
          <w:left w:val="nil"/>
          <w:bottom w:val="nil"/>
          <w:right w:val="nil"/>
          <w:between w:val="nil"/>
        </w:pBdr>
        <w:spacing w:line="360" w:lineRule="auto"/>
        <w:jc w:val="both"/>
        <w:rPr>
          <w:rFonts w:asciiTheme="majorBidi" w:eastAsia="Palatino Linotype" w:hAnsiTheme="majorBidi" w:cstheme="majorBidi"/>
          <w:color w:val="000000"/>
          <w:szCs w:val="20"/>
        </w:rPr>
      </w:pPr>
      <w:r>
        <w:rPr>
          <w:rFonts w:asciiTheme="majorBidi" w:eastAsia="Palatino Linotype" w:hAnsiTheme="majorBidi" w:cstheme="majorBidi"/>
          <w:color w:val="000000"/>
          <w:szCs w:val="20"/>
        </w:rPr>
        <w:t xml:space="preserve">ORCID: 0009-0009-8608-6418</w:t>
      </w:r>
    </w:p>
    <w:p w14:paraId="53810A9A" w14:textId="1FA1A964" w:rsidR="00F1197D" w:rsidRPr="00520EE2" w:rsidRDefault="00000000" w:rsidP="00520EE2">
      <w:pPr>
        <w:spacing w:before="200"/>
        <w:jc w:val="both"/>
        <w:rPr>
          <w:rFonts w:asciiTheme="majorBidi" w:hAnsiTheme="majorBidi" w:cstheme="majorBidi"/>
        </w:rPr>
      </w:pPr>
      <w:r>
        <w:rPr>
          <w:rFonts w:asciiTheme="majorBidi" w:hAnsiTheme="majorBidi" w:cstheme="majorBidi"/>
          <w:b/>
          <w:sz w:val="22"/>
        </w:rPr>
        <w:t xml:space="preserve">Supplementary results: performance of all ridge-penalized and gradient-boosting models, internal–external cross-validation, thresholds, model equations, neurological endpoints, the cognitive-decline model and sensitivity analyses (Tables S9–S16, Figs. S2 and S3)</w:t>
      </w:r>
    </w:p>
    <w:p w14:paraId="18809FBF" w14:textId="77777777" w:rsidR="00F1197D" w:rsidRPr="00520EE2" w:rsidRDefault="00F1197D" w:rsidP="00520EE2">
      <w:pPr>
        <w:pBdr>
          <w:bottom w:val="single" w:sz="6" w:space="0" w:color="808080"/>
        </w:pBdr>
        <w:spacing w:after="120"/>
        <w:jc w:val="both"/>
        <w:rPr>
          <w:rFonts w:asciiTheme="majorBidi" w:hAnsiTheme="majorBidi" w:cstheme="majorBidi"/>
        </w:rPr>
      </w:pPr>
    </w:p>
    <w:p w14:paraId="197D2826" w14:textId="77777777" w:rsidR="00F1197D" w:rsidRPr="00520EE2" w:rsidRDefault="00000000" w:rsidP="00520EE2">
      <w:pPr>
        <w:spacing w:after="120"/>
        <w:jc w:val="both"/>
        <w:rPr>
          <w:rFonts w:asciiTheme="majorBidi" w:hAnsiTheme="majorBidi" w:cstheme="majorBidi"/>
        </w:rPr>
      </w:pPr>
      <w:r>
        <w:rPr>
          <w:rFonts w:asciiTheme="majorBidi" w:hAnsiTheme="majorBidi" w:cstheme="majorBidi"/>
        </w:rPr>
        <w:t xml:space="preserve">This document reports the results summarized in the main text: the performance of the ridge-penalized models for every endpoint, internal–external cross-validation, operating characteristics and net benefit, the model equations implemented in the online calculator, gradient boosting, the neurological endpoints, the cognitive-decline model and the pre-specified medical model including ASA physical status. Methods and the modelling population are described in Online Resource 1.</w:t>
      </w:r>
    </w:p>
    <w:p w14:paraId="7179F166" w14:textId="77777777" w:rsidR="00F1197D" w:rsidRPr="00520EE2" w:rsidRDefault="00000000" w:rsidP="00520EE2">
      <w:pPr>
        <w:keepNext/>
        <w:spacing w:before="280"/>
        <w:jc w:val="both"/>
        <w:rPr>
          <w:rFonts w:asciiTheme="majorBidi" w:hAnsiTheme="majorBidi" w:cstheme="majorBidi"/>
        </w:rPr>
      </w:pPr>
      <w:r>
        <w:rPr>
          <w:rFonts w:asciiTheme="majorBidi" w:hAnsiTheme="majorBidi" w:cstheme="majorBidi"/>
          <w:b/>
          <w:sz w:val="24"/>
        </w:rPr>
        <w:t xml:space="preserve">Endpoint definitions</w:t>
      </w:r>
    </w:p>
    <w:p w14:paraId="6E2ECDB6" w14:textId="77777777" w:rsidR="00F1197D" w:rsidRPr="00520EE2" w:rsidRDefault="00000000" w:rsidP="00520EE2">
      <w:pPr>
        <w:spacing w:after="120"/>
        <w:jc w:val="both"/>
        <w:rPr>
          <w:rFonts w:asciiTheme="majorBidi" w:hAnsiTheme="majorBidi" w:cstheme="majorBidi"/>
        </w:rPr>
      </w:pPr>
      <w:r>
        <w:rPr>
          <w:rFonts w:asciiTheme="majorBidi" w:hAnsiTheme="majorBidi" w:cstheme="majorBidi"/>
        </w:rPr>
        <w:t xml:space="preserve">Following the neurological, regional and systemic classification of craniotomy morbidity (Sawaya et al., 1998), the ten recorded non-neurological complication types were assigned as follows: medical (systemic) = systemic infection, deep vein thrombosis, acute respiratory insufficiency, heart failure; surgical (regional) = postoperative hematoma, seizure, wound infection, CSF leak, hydrocephalus; new ischemic stroke = neurological domain; death = severity grade. The non-neurological composite (any of the ten types) was analyzed as a sensitivity endpoint; it comprised 50 events (20.7% of 241; 21.6% of 231). All endpoints were derived from the per-type complication records.</w:t>
      </w:r>
    </w:p>
    <w:p w14:paraId="1496C278" w14:textId="77777777" w:rsidR="00F1197D" w:rsidRPr="00520EE2" w:rsidRDefault="00000000" w:rsidP="00520EE2">
      <w:pPr>
        <w:spacing w:after="120"/>
        <w:jc w:val="both"/>
        <w:rPr>
          <w:rFonts w:asciiTheme="majorBidi" w:hAnsiTheme="majorBidi" w:cstheme="majorBidi"/>
        </w:rPr>
      </w:pPr>
      <w:r>
        <w:rPr>
          <w:rFonts w:asciiTheme="majorBidi" w:hAnsiTheme="majorBidi" w:cstheme="majorBidi"/>
        </w:rPr>
        <w:t xml:space="preserve">Event counts (n = 241): medical 36 (systemic infection 21, deep vein thrombosis 17, acute respiratory insufficiency 4, heart failure 4); surgical 21 (hematoma 10, seizure 8, wound infection 4, CSF leak 3, hydrocephalus 2); new ischemic stroke 7; non-neurological composite 50; any new neurological deficit 68 (motor 30, cognitive 28, visual 19, psychiatric 3). Patients may have more than one complication.</w:t>
      </w:r>
    </w:p>
    <w:p w14:paraId="76AF391A" w14:textId="77777777" w:rsidR="00F1197D" w:rsidRPr="00520EE2" w:rsidRDefault="00000000" w:rsidP="00520EE2">
      <w:pPr>
        <w:keepNext/>
        <w:spacing w:before="280"/>
        <w:jc w:val="both"/>
        <w:rPr>
          <w:rFonts w:asciiTheme="majorBidi" w:hAnsiTheme="majorBidi" w:cstheme="majorBidi"/>
        </w:rPr>
      </w:pPr>
      <w:r>
        <w:rPr>
          <w:rFonts w:asciiTheme="majorBidi" w:hAnsiTheme="majorBidi" w:cstheme="majorBidi"/>
          <w:b/>
          <w:sz w:val="24"/>
        </w:rPr>
        <w:lastRenderedPageBreak/>
        <w:t>Ridge-penalized models: performance for all endpoints</w:t>
      </w:r>
    </w:p>
    <w:p w14:paraId="3B2E8D89" w14:textId="77777777" w:rsidR="00F1197D" w:rsidRPr="00520EE2" w:rsidRDefault="00000000" w:rsidP="00520EE2">
      <w:pPr>
        <w:spacing w:after="120"/>
        <w:jc w:val="both"/>
        <w:rPr>
          <w:rFonts w:asciiTheme="majorBidi" w:hAnsiTheme="majorBidi" w:cstheme="majorBidi"/>
        </w:rPr>
      </w:pPr>
      <w:r>
        <w:rPr>
          <w:rFonts w:asciiTheme="majorBidi" w:hAnsiTheme="majorBidi" w:cstheme="majorBidi"/>
        </w:rPr>
        <w:t xml:space="preserve">Every endpoint was modelled with the same pipeline: standardization of the predictors, L2-penalized logistic regression with the penalty selected within each training fold by five-fold cross-validated log-loss over a grid of eleven values (10⁻³ to 10²), nested 10-fold cross-validation repeated five times (the reported internal AUC is the mean over repeats, with a 95% percentile bootstrap interval from the out-of-fold predictions averaged over repeats), 200-replicate bootstrap optimism correction of the apparent AUC, internal–external cross-validation and the geographical split. The systemic predictor set (age, Charlson Comorbidity Index, cardiorespiratory comorbidity, preoperative KPS, maximum axial tumor diameter, vessel encasement grade, ACA/MCA/PCA involvement; ASA class, part of the pre-specified set, was removed as described below and in Table S16) was used for the non-neurological endpoints and the neurological set (age, Charlson index, KPS, preoperative motor symptoms, diameter, vessel encasement grade, ICA/carotid siphon involvement, cavernous sinus involvement) for the neurological endpoints.</w:t>
      </w:r>
    </w:p>
    <w:p w14:paraId="03F89A9D" w14:textId="77777777" w:rsidR="00F1197D" w:rsidRPr="00520EE2" w:rsidRDefault="00F1197D" w:rsidP="00520EE2">
      <w:pPr>
        <w:jc w:val="both"/>
        <w:rPr>
          <w:rFonts w:asciiTheme="majorBidi" w:hAnsiTheme="majorBidi" w:cstheme="majorBidi"/>
        </w:rPr>
        <w:sectPr w:rsidR="00F1197D" w:rsidRPr="00520EE2">
          <w:footerReference w:type="default" r:id="rId9"/>
          <w:pgSz w:w="12240" w:h="15840"/>
          <w:pgMar w:top="1134" w:right="1134" w:bottom="1134" w:left="1134" w:header="720" w:footer="720" w:gutter="0"/>
          <w:cols w:space="720"/>
          <w:docGrid w:linePitch="360"/>
        </w:sectPr>
      </w:pPr>
    </w:p>
    <w:p w14:paraId="73502457" w14:textId="77777777" w:rsidR="00F1197D" w:rsidRPr="00520EE2" w:rsidRDefault="00000000" w:rsidP="00520EE2">
      <w:pPr>
        <w:keepNext/>
        <w:spacing w:before="200"/>
        <w:jc w:val="both"/>
        <w:rPr>
          <w:rFonts w:asciiTheme="majorBidi" w:hAnsiTheme="majorBidi" w:cstheme="majorBidi"/>
        </w:rPr>
      </w:pPr>
      <w:r>
        <w:rPr>
          <w:rFonts w:asciiTheme="majorBidi" w:hAnsiTheme="majorBidi" w:cstheme="majorBidi"/>
          <w:b/>
        </w:rPr>
        <w:lastRenderedPageBreak/>
        <w:t>Table S9</w:t>
      </w:r>
      <w:r>
        <w:rPr>
          <w:rFonts w:asciiTheme="majorBidi" w:hAnsiTheme="majorBidi" w:cstheme="majorBidi"/>
        </w:rPr>
        <w:t xml:space="preserve"> Ridge-penalized model performance for all endpoints, modelling population (n = 231) and full cohort (n = 241)</w:t>
      </w:r>
    </w:p>
    <w:tbl>
      <w:tblPr>
        <w:tblW w:w="0" w:type="auto"/>
        <w:jc w:val="center"/>
        <w:tblBorders>
          <w:top w:val="single" w:sz="4" w:space="0" w:color="808080"/>
          <w:left w:val="nil"/>
          <w:bottom w:val="single" w:sz="4" w:space="0" w:color="808080"/>
          <w:right w:val="nil"/>
          <w:insideH w:val="single" w:sz="4" w:space="0" w:color="808080"/>
          <w:insideV w:val="nil"/>
        </w:tblBorders>
        <w:tblLayout w:type="fixed"/>
        <w:tblLook w:val="04A0" w:firstRow="1" w:lastRow="0" w:firstColumn="1" w:lastColumn="0" w:noHBand="0" w:noVBand="1"/>
      </w:tblPr>
      <w:tblGrid>
        <w:gridCol w:w="2494"/>
        <w:gridCol w:w="1020"/>
        <w:gridCol w:w="907"/>
        <w:gridCol w:w="1701"/>
        <w:gridCol w:w="1020"/>
        <w:gridCol w:w="1077"/>
        <w:gridCol w:w="1077"/>
        <w:gridCol w:w="1701"/>
        <w:gridCol w:w="1134"/>
        <w:gridCol w:w="1701"/>
      </w:tblGrid>
      <w:tr w:rsidR="00F1197D" w:rsidRPr="00520EE2" w14:paraId="5931B82D" w14:textId="77777777">
        <w:trPr>
          <w:cantSplit/>
          <w:tblHeader/>
          <w:jc w:val="center"/>
        </w:trPr>
        <w:tc>
          <w:tcPr>
            <w:tcW w:w="2494" w:type="dxa"/>
          </w:tcPr>
          <w:p w14:paraId="648F1D5B"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b/>
                <w:sz w:val="15"/>
              </w:rPr>
              <w:t xml:space="preserve">Endpoint</w:t>
            </w:r>
          </w:p>
        </w:tc>
        <w:tc>
          <w:tcPr>
            <w:tcW w:w="1020" w:type="dxa"/>
          </w:tcPr>
          <w:p w14:paraId="616620B8"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b/>
                <w:sz w:val="15"/>
              </w:rPr>
              <w:t xml:space="preserve">Population</w:t>
            </w:r>
          </w:p>
        </w:tc>
        <w:tc>
          <w:tcPr>
            <w:tcW w:w="907" w:type="dxa"/>
          </w:tcPr>
          <w:p w14:paraId="26022BEE"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b/>
                <w:sz w:val="15"/>
              </w:rPr>
              <w:t xml:space="preserve">Events (%)</w:t>
            </w:r>
          </w:p>
        </w:tc>
        <w:tc>
          <w:tcPr>
            <w:tcW w:w="1701" w:type="dxa"/>
          </w:tcPr>
          <w:p w14:paraId="3C5C1151"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b/>
                <w:sz w:val="15"/>
              </w:rPr>
              <w:t xml:space="preserve">Internal CV AUC (95% CI)</w:t>
            </w:r>
          </w:p>
        </w:tc>
        <w:tc>
          <w:tcPr>
            <w:tcW w:w="1020" w:type="dxa"/>
          </w:tcPr>
          <w:p w14:paraId="331131AF"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b/>
                <w:sz w:val="15"/>
              </w:rPr>
              <w:t xml:space="preserve">Optimism-corrected AUC</w:t>
            </w:r>
          </w:p>
        </w:tc>
        <w:tc>
          <w:tcPr>
            <w:tcW w:w="1077" w:type="dxa"/>
          </w:tcPr>
          <w:p w14:paraId="35ABD793"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b/>
                <w:sz w:val="15"/>
              </w:rPr>
              <w:t xml:space="preserve">Calibration slope</w:t>
            </w:r>
          </w:p>
        </w:tc>
        <w:tc>
          <w:tcPr>
            <w:tcW w:w="1077" w:type="dxa"/>
          </w:tcPr>
          <w:p w14:paraId="1C79E371"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b/>
                <w:sz w:val="15"/>
              </w:rPr>
              <w:t xml:space="preserve">Brier (null)</w:t>
            </w:r>
          </w:p>
        </w:tc>
        <w:tc>
          <w:tcPr>
            <w:tcW w:w="1701" w:type="dxa"/>
          </w:tcPr>
          <w:p w14:paraId="0B173301"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b/>
                <w:sz w:val="15"/>
              </w:rPr>
              <w:t xml:space="preserve">IECV pooled AUC (95% CI)</w:t>
            </w:r>
          </w:p>
        </w:tc>
        <w:tc>
          <w:tcPr>
            <w:tcW w:w="1134" w:type="dxa"/>
          </w:tcPr>
          <w:p w14:paraId="140C75BF"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b/>
                <w:sz w:val="15"/>
              </w:rPr>
              <w:t xml:space="preserve">Held-out range</w:t>
            </w:r>
          </w:p>
        </w:tc>
        <w:tc>
          <w:tcPr>
            <w:tcW w:w="1701" w:type="dxa"/>
          </w:tcPr>
          <w:p w14:paraId="3D0DE5B2"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b/>
                <w:sz w:val="15"/>
              </w:rPr>
              <w:t xml:space="preserve">External AUC (95% CI)</w:t>
            </w:r>
          </w:p>
        </w:tc>
      </w:tr>
      <w:tr w:rsidR="00F1197D" w:rsidRPr="00520EE2" w14:paraId="09541221" w14:textId="77777777">
        <w:trPr>
          <w:cantSplit/>
          <w:jc w:val="center"/>
        </w:trPr>
        <w:tc>
          <w:tcPr>
            <w:tcW w:w="2494" w:type="dxa"/>
          </w:tcPr>
          <w:p w14:paraId="6373805F"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Medical complication</w:t>
            </w:r>
          </w:p>
        </w:tc>
        <w:tc>
          <w:tcPr>
            <w:tcW w:w="1020" w:type="dxa"/>
          </w:tcPr>
          <w:p w14:paraId="6110972C"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n = 231</w:t>
            </w:r>
          </w:p>
        </w:tc>
        <w:tc>
          <w:tcPr>
            <w:tcW w:w="907" w:type="dxa"/>
          </w:tcPr>
          <w:p w14:paraId="54846AF2"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36 (15.6)</w:t>
            </w:r>
          </w:p>
        </w:tc>
        <w:tc>
          <w:tcPr>
            <w:tcW w:w="1701" w:type="dxa"/>
          </w:tcPr>
          <w:p w14:paraId="77079855"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0.755 (0.667–0.838)</w:t>
            </w:r>
          </w:p>
        </w:tc>
        <w:tc>
          <w:tcPr>
            <w:tcW w:w="1020" w:type="dxa"/>
          </w:tcPr>
          <w:p w14:paraId="796BED96"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0.772</w:t>
            </w:r>
          </w:p>
        </w:tc>
        <w:tc>
          <w:tcPr>
            <w:tcW w:w="1077" w:type="dxa"/>
          </w:tcPr>
          <w:p w14:paraId="3C86854F"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1.04</w:t>
            </w:r>
          </w:p>
        </w:tc>
        <w:tc>
          <w:tcPr>
            <w:tcW w:w="1077" w:type="dxa"/>
          </w:tcPr>
          <w:p w14:paraId="0FB4FE3F"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0.115 (0.132)</w:t>
            </w:r>
          </w:p>
        </w:tc>
        <w:tc>
          <w:tcPr>
            <w:tcW w:w="1701" w:type="dxa"/>
          </w:tcPr>
          <w:p w14:paraId="2D8A627F"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0.768 (0.665–0.846)</w:t>
            </w:r>
          </w:p>
        </w:tc>
        <w:tc>
          <w:tcPr>
            <w:tcW w:w="1134" w:type="dxa"/>
          </w:tcPr>
          <w:p w14:paraId="30F1710A"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0.728–0.847</w:t>
            </w:r>
          </w:p>
        </w:tc>
        <w:tc>
          <w:tcPr>
            <w:tcW w:w="1701" w:type="dxa"/>
          </w:tcPr>
          <w:p w14:paraId="398A4A60"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0.847 (0.641–0.972)</w:t>
            </w:r>
          </w:p>
        </w:tc>
      </w:tr>
      <w:tr w:rsidR="00F1197D" w:rsidRPr="00520EE2" w14:paraId="47F1B9CC" w14:textId="77777777">
        <w:trPr>
          <w:cantSplit/>
          <w:jc w:val="center"/>
        </w:trPr>
        <w:tc>
          <w:tcPr>
            <w:tcW w:w="2494" w:type="dxa"/>
          </w:tcPr>
          <w:p w14:paraId="794839E0"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Medical complication</w:t>
            </w:r>
          </w:p>
        </w:tc>
        <w:tc>
          <w:tcPr>
            <w:tcW w:w="1020" w:type="dxa"/>
          </w:tcPr>
          <w:p w14:paraId="62E147ED"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n = 241</w:t>
            </w:r>
          </w:p>
        </w:tc>
        <w:tc>
          <w:tcPr>
            <w:tcW w:w="907" w:type="dxa"/>
          </w:tcPr>
          <w:p w14:paraId="77912B2E"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36 (14.9)</w:t>
            </w:r>
          </w:p>
        </w:tc>
        <w:tc>
          <w:tcPr>
            <w:tcW w:w="1701" w:type="dxa"/>
          </w:tcPr>
          <w:p w14:paraId="17328CFB"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0.769 (0.682–0.849)</w:t>
            </w:r>
          </w:p>
        </w:tc>
        <w:tc>
          <w:tcPr>
            <w:tcW w:w="1020" w:type="dxa"/>
          </w:tcPr>
          <w:p w14:paraId="09574A09"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0.775</w:t>
            </w:r>
          </w:p>
        </w:tc>
        <w:tc>
          <w:tcPr>
            <w:tcW w:w="1077" w:type="dxa"/>
          </w:tcPr>
          <w:p w14:paraId="74BFEE5E"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1.08</w:t>
            </w:r>
          </w:p>
        </w:tc>
        <w:tc>
          <w:tcPr>
            <w:tcW w:w="1077" w:type="dxa"/>
          </w:tcPr>
          <w:p w14:paraId="022887B6"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0.110 (0.127)</w:t>
            </w:r>
          </w:p>
        </w:tc>
        <w:tc>
          <w:tcPr>
            <w:tcW w:w="1701" w:type="dxa"/>
          </w:tcPr>
          <w:p w14:paraId="67EAF275"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0.769 (0.667–0.847)</w:t>
            </w:r>
          </w:p>
        </w:tc>
        <w:tc>
          <w:tcPr>
            <w:tcW w:w="1134" w:type="dxa"/>
          </w:tcPr>
          <w:p w14:paraId="3B646C31"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0.731–0.861</w:t>
            </w:r>
          </w:p>
        </w:tc>
        <w:tc>
          <w:tcPr>
            <w:tcW w:w="1701" w:type="dxa"/>
          </w:tcPr>
          <w:p w14:paraId="16975DAF"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0.866 (0.699–0.982)</w:t>
            </w:r>
          </w:p>
        </w:tc>
      </w:tr>
      <w:tr w:rsidR="00F1197D" w:rsidRPr="00520EE2" w14:paraId="20DCAC18" w14:textId="77777777">
        <w:trPr>
          <w:cantSplit/>
          <w:jc w:val="center"/>
        </w:trPr>
        <w:tc>
          <w:tcPr>
            <w:tcW w:w="2494" w:type="dxa"/>
          </w:tcPr>
          <w:p w14:paraId="1F719BEE"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Surgical complication</w:t>
            </w:r>
          </w:p>
        </w:tc>
        <w:tc>
          <w:tcPr>
            <w:tcW w:w="1020" w:type="dxa"/>
          </w:tcPr>
          <w:p w14:paraId="6477C49D"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n = 231</w:t>
            </w:r>
          </w:p>
        </w:tc>
        <w:tc>
          <w:tcPr>
            <w:tcW w:w="907" w:type="dxa"/>
          </w:tcPr>
          <w:p w14:paraId="61BE9BFE"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21 (9.1)</w:t>
            </w:r>
          </w:p>
        </w:tc>
        <w:tc>
          <w:tcPr>
            <w:tcW w:w="1701" w:type="dxa"/>
          </w:tcPr>
          <w:p w14:paraId="68733AC2"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0.659 (0.526–0.783)</w:t>
            </w:r>
          </w:p>
        </w:tc>
        <w:tc>
          <w:tcPr>
            <w:tcW w:w="1020" w:type="dxa"/>
          </w:tcPr>
          <w:p w14:paraId="27A21C5D"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0.675</w:t>
            </w:r>
          </w:p>
        </w:tc>
        <w:tc>
          <w:tcPr>
            <w:tcW w:w="1077" w:type="dxa"/>
          </w:tcPr>
          <w:p w14:paraId="1126E73E"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1.04</w:t>
            </w:r>
          </w:p>
        </w:tc>
        <w:tc>
          <w:tcPr>
            <w:tcW w:w="1077" w:type="dxa"/>
          </w:tcPr>
          <w:p w14:paraId="1C81E5A1"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0.081 (0.083)</w:t>
            </w:r>
          </w:p>
        </w:tc>
        <w:tc>
          <w:tcPr>
            <w:tcW w:w="1701" w:type="dxa"/>
          </w:tcPr>
          <w:p w14:paraId="3E531C7E"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0.686 (0.518–0.816)</w:t>
            </w:r>
          </w:p>
        </w:tc>
        <w:tc>
          <w:tcPr>
            <w:tcW w:w="1134" w:type="dxa"/>
          </w:tcPr>
          <w:p w14:paraId="1578E0CC"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0.565–0.759</w:t>
            </w:r>
          </w:p>
        </w:tc>
        <w:tc>
          <w:tcPr>
            <w:tcW w:w="1701" w:type="dxa"/>
          </w:tcPr>
          <w:p w14:paraId="5954AF79"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0.710 (0.496–0.885)</w:t>
            </w:r>
          </w:p>
        </w:tc>
      </w:tr>
      <w:tr w:rsidR="00F1197D" w:rsidRPr="00520EE2" w14:paraId="08587AD0" w14:textId="77777777">
        <w:trPr>
          <w:cantSplit/>
          <w:jc w:val="center"/>
        </w:trPr>
        <w:tc>
          <w:tcPr>
            <w:tcW w:w="2494" w:type="dxa"/>
          </w:tcPr>
          <w:p w14:paraId="4CC2E737"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Surgical complication</w:t>
            </w:r>
          </w:p>
        </w:tc>
        <w:tc>
          <w:tcPr>
            <w:tcW w:w="1020" w:type="dxa"/>
          </w:tcPr>
          <w:p w14:paraId="6C2D024B"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n = 241</w:t>
            </w:r>
          </w:p>
        </w:tc>
        <w:tc>
          <w:tcPr>
            <w:tcW w:w="907" w:type="dxa"/>
          </w:tcPr>
          <w:p w14:paraId="15BDE4DE"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21 (8.7)</w:t>
            </w:r>
          </w:p>
        </w:tc>
        <w:tc>
          <w:tcPr>
            <w:tcW w:w="1701" w:type="dxa"/>
          </w:tcPr>
          <w:p w14:paraId="3101E899"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0.667 (0.531–0.780)</w:t>
            </w:r>
          </w:p>
        </w:tc>
        <w:tc>
          <w:tcPr>
            <w:tcW w:w="1020" w:type="dxa"/>
          </w:tcPr>
          <w:p w14:paraId="31450827"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0.684</w:t>
            </w:r>
          </w:p>
        </w:tc>
        <w:tc>
          <w:tcPr>
            <w:tcW w:w="1077" w:type="dxa"/>
          </w:tcPr>
          <w:p w14:paraId="4056A073"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0.94</w:t>
            </w:r>
          </w:p>
        </w:tc>
        <w:tc>
          <w:tcPr>
            <w:tcW w:w="1077" w:type="dxa"/>
          </w:tcPr>
          <w:p w14:paraId="56564546"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0.078 (0.080)</w:t>
            </w:r>
          </w:p>
        </w:tc>
        <w:tc>
          <w:tcPr>
            <w:tcW w:w="1701" w:type="dxa"/>
          </w:tcPr>
          <w:p w14:paraId="46AC850B"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0.694 (0.530–0.821)</w:t>
            </w:r>
          </w:p>
        </w:tc>
        <w:tc>
          <w:tcPr>
            <w:tcW w:w="1134" w:type="dxa"/>
          </w:tcPr>
          <w:p w14:paraId="6378BF13"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0.589–0.761</w:t>
            </w:r>
          </w:p>
        </w:tc>
        <w:tc>
          <w:tcPr>
            <w:tcW w:w="1701" w:type="dxa"/>
          </w:tcPr>
          <w:p w14:paraId="2A473211"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0.760 (0.588–0.920)</w:t>
            </w:r>
          </w:p>
        </w:tc>
      </w:tr>
      <w:tr w:rsidR="00F1197D" w:rsidRPr="00520EE2" w14:paraId="4FD00B24" w14:textId="77777777">
        <w:trPr>
          <w:cantSplit/>
          <w:jc w:val="center"/>
        </w:trPr>
        <w:tc>
          <w:tcPr>
            <w:tcW w:w="2494" w:type="dxa"/>
          </w:tcPr>
          <w:p w14:paraId="456C3FB9"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Non-neurological composite</w:t>
            </w:r>
          </w:p>
        </w:tc>
        <w:tc>
          <w:tcPr>
            <w:tcW w:w="1020" w:type="dxa"/>
          </w:tcPr>
          <w:p w14:paraId="64D584F4"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n = 231</w:t>
            </w:r>
          </w:p>
        </w:tc>
        <w:tc>
          <w:tcPr>
            <w:tcW w:w="907" w:type="dxa"/>
          </w:tcPr>
          <w:p w14:paraId="6E5A824B"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50 (21.6)</w:t>
            </w:r>
          </w:p>
        </w:tc>
        <w:tc>
          <w:tcPr>
            <w:tcW w:w="1701" w:type="dxa"/>
          </w:tcPr>
          <w:p w14:paraId="2145688A"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0.707 (0.624–0.784)</w:t>
            </w:r>
          </w:p>
        </w:tc>
        <w:tc>
          <w:tcPr>
            <w:tcW w:w="1020" w:type="dxa"/>
          </w:tcPr>
          <w:p w14:paraId="7EC8422E"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0.725</w:t>
            </w:r>
          </w:p>
        </w:tc>
        <w:tc>
          <w:tcPr>
            <w:tcW w:w="1077" w:type="dxa"/>
          </w:tcPr>
          <w:p w14:paraId="639FECEC"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1.01</w:t>
            </w:r>
          </w:p>
        </w:tc>
        <w:tc>
          <w:tcPr>
            <w:tcW w:w="1077" w:type="dxa"/>
          </w:tcPr>
          <w:p w14:paraId="09511080"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0.153 (0.170)</w:t>
            </w:r>
          </w:p>
        </w:tc>
        <w:tc>
          <w:tcPr>
            <w:tcW w:w="1701" w:type="dxa"/>
          </w:tcPr>
          <w:p w14:paraId="05F2AE29"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0.700 (0.608–0.778)</w:t>
            </w:r>
          </w:p>
        </w:tc>
        <w:tc>
          <w:tcPr>
            <w:tcW w:w="1134" w:type="dxa"/>
          </w:tcPr>
          <w:p w14:paraId="4A0FFC16"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0.644–0.767</w:t>
            </w:r>
          </w:p>
        </w:tc>
        <w:tc>
          <w:tcPr>
            <w:tcW w:w="1701" w:type="dxa"/>
          </w:tcPr>
          <w:p w14:paraId="6246C3BD"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0.767 (0.608–0.906)</w:t>
            </w:r>
          </w:p>
        </w:tc>
      </w:tr>
      <w:tr w:rsidR="00F1197D" w:rsidRPr="00520EE2" w14:paraId="003AA104" w14:textId="77777777">
        <w:trPr>
          <w:cantSplit/>
          <w:jc w:val="center"/>
        </w:trPr>
        <w:tc>
          <w:tcPr>
            <w:tcW w:w="2494" w:type="dxa"/>
          </w:tcPr>
          <w:p w14:paraId="7B4849FA"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Non-neurological composite</w:t>
            </w:r>
          </w:p>
        </w:tc>
        <w:tc>
          <w:tcPr>
            <w:tcW w:w="1020" w:type="dxa"/>
          </w:tcPr>
          <w:p w14:paraId="1F4AFD39"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n = 241</w:t>
            </w:r>
          </w:p>
        </w:tc>
        <w:tc>
          <w:tcPr>
            <w:tcW w:w="907" w:type="dxa"/>
          </w:tcPr>
          <w:p w14:paraId="1AE141DC"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50 (20.7)</w:t>
            </w:r>
          </w:p>
        </w:tc>
        <w:tc>
          <w:tcPr>
            <w:tcW w:w="1701" w:type="dxa"/>
          </w:tcPr>
          <w:p w14:paraId="4EA859B5"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0.720 (0.643–0.795)</w:t>
            </w:r>
          </w:p>
        </w:tc>
        <w:tc>
          <w:tcPr>
            <w:tcW w:w="1020" w:type="dxa"/>
          </w:tcPr>
          <w:p w14:paraId="2B8644DB"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0.727</w:t>
            </w:r>
          </w:p>
        </w:tc>
        <w:tc>
          <w:tcPr>
            <w:tcW w:w="1077" w:type="dxa"/>
          </w:tcPr>
          <w:p w14:paraId="590C3FB4"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1.09</w:t>
            </w:r>
          </w:p>
        </w:tc>
        <w:tc>
          <w:tcPr>
            <w:tcW w:w="1077" w:type="dxa"/>
          </w:tcPr>
          <w:p w14:paraId="45F4B46E"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0.148 (0.164)</w:t>
            </w:r>
          </w:p>
        </w:tc>
        <w:tc>
          <w:tcPr>
            <w:tcW w:w="1701" w:type="dxa"/>
          </w:tcPr>
          <w:p w14:paraId="57BACA35"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0.697 (0.604–0.776)</w:t>
            </w:r>
          </w:p>
        </w:tc>
        <w:tc>
          <w:tcPr>
            <w:tcW w:w="1134" w:type="dxa"/>
          </w:tcPr>
          <w:p w14:paraId="33EC42D3"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0.644–0.784</w:t>
            </w:r>
          </w:p>
        </w:tc>
        <w:tc>
          <w:tcPr>
            <w:tcW w:w="1701" w:type="dxa"/>
          </w:tcPr>
          <w:p w14:paraId="09CC5DE4"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0.799 (0.655–0.927)</w:t>
            </w:r>
          </w:p>
        </w:tc>
      </w:tr>
      <w:tr w:rsidR="00F1197D" w:rsidRPr="00520EE2" w14:paraId="5B68DFEB" w14:textId="77777777">
        <w:trPr>
          <w:cantSplit/>
          <w:jc w:val="center"/>
        </w:trPr>
        <w:tc>
          <w:tcPr>
            <w:tcW w:w="2494" w:type="dxa"/>
          </w:tcPr>
          <w:p w14:paraId="643FB7DF"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New or worsened motor deficit</w:t>
            </w:r>
          </w:p>
        </w:tc>
        <w:tc>
          <w:tcPr>
            <w:tcW w:w="1020" w:type="dxa"/>
          </w:tcPr>
          <w:p w14:paraId="7B7DC04C"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n = 231</w:t>
            </w:r>
          </w:p>
        </w:tc>
        <w:tc>
          <w:tcPr>
            <w:tcW w:w="907" w:type="dxa"/>
          </w:tcPr>
          <w:p w14:paraId="22472D7B"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30 (13.0)</w:t>
            </w:r>
          </w:p>
        </w:tc>
        <w:tc>
          <w:tcPr>
            <w:tcW w:w="1701" w:type="dxa"/>
          </w:tcPr>
          <w:p w14:paraId="1FA8838E"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0.729 (0.639–0.805)</w:t>
            </w:r>
          </w:p>
        </w:tc>
        <w:tc>
          <w:tcPr>
            <w:tcW w:w="1020" w:type="dxa"/>
          </w:tcPr>
          <w:p w14:paraId="1ECB9716"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0.740</w:t>
            </w:r>
          </w:p>
        </w:tc>
        <w:tc>
          <w:tcPr>
            <w:tcW w:w="1077" w:type="dxa"/>
          </w:tcPr>
          <w:p w14:paraId="036FD8D3"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1.07</w:t>
            </w:r>
          </w:p>
        </w:tc>
        <w:tc>
          <w:tcPr>
            <w:tcW w:w="1077" w:type="dxa"/>
          </w:tcPr>
          <w:p w14:paraId="74DDC21C"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0.107 (0.113)</w:t>
            </w:r>
          </w:p>
        </w:tc>
        <w:tc>
          <w:tcPr>
            <w:tcW w:w="1701" w:type="dxa"/>
          </w:tcPr>
          <w:p w14:paraId="7A6C937F"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0.711 (0.596–0.803)</w:t>
            </w:r>
          </w:p>
        </w:tc>
        <w:tc>
          <w:tcPr>
            <w:tcW w:w="1134" w:type="dxa"/>
          </w:tcPr>
          <w:p w14:paraId="32635B8F"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0.684–0.720</w:t>
            </w:r>
          </w:p>
        </w:tc>
        <w:tc>
          <w:tcPr>
            <w:tcW w:w="1701" w:type="dxa"/>
          </w:tcPr>
          <w:p w14:paraId="28BC507F"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0.684 (0.481–0.865)</w:t>
            </w:r>
          </w:p>
        </w:tc>
      </w:tr>
      <w:tr w:rsidR="00F1197D" w:rsidRPr="00520EE2" w14:paraId="63063D39" w14:textId="77777777">
        <w:trPr>
          <w:cantSplit/>
          <w:jc w:val="center"/>
        </w:trPr>
        <w:tc>
          <w:tcPr>
            <w:tcW w:w="2494" w:type="dxa"/>
          </w:tcPr>
          <w:p w14:paraId="616314A8"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New or worsened motor deficit</w:t>
            </w:r>
          </w:p>
        </w:tc>
        <w:tc>
          <w:tcPr>
            <w:tcW w:w="1020" w:type="dxa"/>
          </w:tcPr>
          <w:p w14:paraId="311C6C84"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n = 241</w:t>
            </w:r>
          </w:p>
        </w:tc>
        <w:tc>
          <w:tcPr>
            <w:tcW w:w="907" w:type="dxa"/>
          </w:tcPr>
          <w:p w14:paraId="2A7BC49E"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30 (12.4)</w:t>
            </w:r>
          </w:p>
        </w:tc>
        <w:tc>
          <w:tcPr>
            <w:tcW w:w="1701" w:type="dxa"/>
          </w:tcPr>
          <w:p w14:paraId="6932B1DF"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0.744 (0.661–0.828)</w:t>
            </w:r>
          </w:p>
        </w:tc>
        <w:tc>
          <w:tcPr>
            <w:tcW w:w="1020" w:type="dxa"/>
          </w:tcPr>
          <w:p w14:paraId="58DE94FF"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0.755</w:t>
            </w:r>
          </w:p>
        </w:tc>
        <w:tc>
          <w:tcPr>
            <w:tcW w:w="1077" w:type="dxa"/>
          </w:tcPr>
          <w:p w14:paraId="6E06E46F"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1.16</w:t>
            </w:r>
          </w:p>
        </w:tc>
        <w:tc>
          <w:tcPr>
            <w:tcW w:w="1077" w:type="dxa"/>
          </w:tcPr>
          <w:p w14:paraId="19766273"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0.102 (0.109)</w:t>
            </w:r>
          </w:p>
        </w:tc>
        <w:tc>
          <w:tcPr>
            <w:tcW w:w="1701" w:type="dxa"/>
          </w:tcPr>
          <w:p w14:paraId="6DAB8D72"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0.728 (0.616–0.816)</w:t>
            </w:r>
          </w:p>
        </w:tc>
        <w:tc>
          <w:tcPr>
            <w:tcW w:w="1134" w:type="dxa"/>
          </w:tcPr>
          <w:p w14:paraId="695E4D0A"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0.684–0.742</w:t>
            </w:r>
          </w:p>
        </w:tc>
        <w:tc>
          <w:tcPr>
            <w:tcW w:w="1701" w:type="dxa"/>
          </w:tcPr>
          <w:p w14:paraId="61BE77C9"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0.731 (0.549–0.889)</w:t>
            </w:r>
          </w:p>
        </w:tc>
      </w:tr>
      <w:tr w:rsidR="00F1197D" w:rsidRPr="00520EE2" w14:paraId="4D82340A" w14:textId="77777777">
        <w:trPr>
          <w:cantSplit/>
          <w:jc w:val="center"/>
        </w:trPr>
        <w:tc>
          <w:tcPr>
            <w:tcW w:w="2494" w:type="dxa"/>
          </w:tcPr>
          <w:p w14:paraId="0167A06F"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Any neurological deficit or ischemic stroke</w:t>
            </w:r>
          </w:p>
        </w:tc>
        <w:tc>
          <w:tcPr>
            <w:tcW w:w="1020" w:type="dxa"/>
          </w:tcPr>
          <w:p w14:paraId="7F8264F0"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n = 231</w:t>
            </w:r>
          </w:p>
        </w:tc>
        <w:tc>
          <w:tcPr>
            <w:tcW w:w="907" w:type="dxa"/>
          </w:tcPr>
          <w:p w14:paraId="4867483E"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71 (30.7)</w:t>
            </w:r>
          </w:p>
        </w:tc>
        <w:tc>
          <w:tcPr>
            <w:tcW w:w="1701" w:type="dxa"/>
          </w:tcPr>
          <w:p w14:paraId="3D4B5DE5"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0.712 (0.633–0.790)</w:t>
            </w:r>
          </w:p>
        </w:tc>
        <w:tc>
          <w:tcPr>
            <w:tcW w:w="1020" w:type="dxa"/>
          </w:tcPr>
          <w:p w14:paraId="0F5DFF33"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0.721</w:t>
            </w:r>
          </w:p>
        </w:tc>
        <w:tc>
          <w:tcPr>
            <w:tcW w:w="1077" w:type="dxa"/>
          </w:tcPr>
          <w:p w14:paraId="2413F550"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1.02</w:t>
            </w:r>
          </w:p>
        </w:tc>
        <w:tc>
          <w:tcPr>
            <w:tcW w:w="1077" w:type="dxa"/>
          </w:tcPr>
          <w:p w14:paraId="2CB6B0DE"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0.178 (0.213)</w:t>
            </w:r>
          </w:p>
        </w:tc>
        <w:tc>
          <w:tcPr>
            <w:tcW w:w="1701" w:type="dxa"/>
          </w:tcPr>
          <w:p w14:paraId="77ABEDF7"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0.694 (0.558–0.804)</w:t>
            </w:r>
          </w:p>
        </w:tc>
        <w:tc>
          <w:tcPr>
            <w:tcW w:w="1134" w:type="dxa"/>
          </w:tcPr>
          <w:p w14:paraId="19D51B36"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0.632–0.827</w:t>
            </w:r>
          </w:p>
        </w:tc>
        <w:tc>
          <w:tcPr>
            <w:tcW w:w="1701" w:type="dxa"/>
          </w:tcPr>
          <w:p w14:paraId="1F81B179"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0.827 (0.684–0.943)</w:t>
            </w:r>
          </w:p>
        </w:tc>
      </w:tr>
      <w:tr w:rsidR="00F1197D" w:rsidRPr="00520EE2" w14:paraId="24437FF4" w14:textId="77777777">
        <w:trPr>
          <w:cantSplit/>
          <w:jc w:val="center"/>
        </w:trPr>
        <w:tc>
          <w:tcPr>
            <w:tcW w:w="2494" w:type="dxa"/>
          </w:tcPr>
          <w:p w14:paraId="17134F9B"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Any neurological deficit or ischemic stroke</w:t>
            </w:r>
          </w:p>
        </w:tc>
        <w:tc>
          <w:tcPr>
            <w:tcW w:w="1020" w:type="dxa"/>
          </w:tcPr>
          <w:p w14:paraId="5AE1BD55"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n = 241</w:t>
            </w:r>
          </w:p>
        </w:tc>
        <w:tc>
          <w:tcPr>
            <w:tcW w:w="907" w:type="dxa"/>
          </w:tcPr>
          <w:p w14:paraId="21293F6C"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71 (29.5)</w:t>
            </w:r>
          </w:p>
        </w:tc>
        <w:tc>
          <w:tcPr>
            <w:tcW w:w="1701" w:type="dxa"/>
          </w:tcPr>
          <w:p w14:paraId="4672C808"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0.728 (0.652–0.806)</w:t>
            </w:r>
          </w:p>
        </w:tc>
        <w:tc>
          <w:tcPr>
            <w:tcW w:w="1020" w:type="dxa"/>
          </w:tcPr>
          <w:p w14:paraId="3C70C4C8"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0.732</w:t>
            </w:r>
          </w:p>
        </w:tc>
        <w:tc>
          <w:tcPr>
            <w:tcW w:w="1077" w:type="dxa"/>
          </w:tcPr>
          <w:p w14:paraId="4D39F962"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1.02</w:t>
            </w:r>
          </w:p>
        </w:tc>
        <w:tc>
          <w:tcPr>
            <w:tcW w:w="1077" w:type="dxa"/>
          </w:tcPr>
          <w:p w14:paraId="4420FE71"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0.170 (0.208)</w:t>
            </w:r>
          </w:p>
        </w:tc>
        <w:tc>
          <w:tcPr>
            <w:tcW w:w="1701" w:type="dxa"/>
          </w:tcPr>
          <w:p w14:paraId="40CE06B9"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0.699 (0.579–0.797)</w:t>
            </w:r>
          </w:p>
        </w:tc>
        <w:tc>
          <w:tcPr>
            <w:tcW w:w="1134" w:type="dxa"/>
          </w:tcPr>
          <w:p w14:paraId="3AE4C099"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0.647–0.820</w:t>
            </w:r>
          </w:p>
        </w:tc>
        <w:tc>
          <w:tcPr>
            <w:tcW w:w="1701" w:type="dxa"/>
          </w:tcPr>
          <w:p w14:paraId="74BD7BCE"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0.861 (0.738–0.959)</w:t>
            </w:r>
          </w:p>
        </w:tc>
      </w:tr>
      <w:tr w:rsidR="00F1197D" w:rsidRPr="00520EE2" w14:paraId="3B591A28" w14:textId="77777777">
        <w:trPr>
          <w:cantSplit/>
          <w:jc w:val="center"/>
        </w:trPr>
        <w:tc>
          <w:tcPr>
            <w:tcW w:w="2494" w:type="dxa"/>
          </w:tcPr>
          <w:p w14:paraId="4C907FB1"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Any new or worsened neurological deficit</w:t>
            </w:r>
          </w:p>
        </w:tc>
        <w:tc>
          <w:tcPr>
            <w:tcW w:w="1020" w:type="dxa"/>
          </w:tcPr>
          <w:p w14:paraId="5E7F9126"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n = 231</w:t>
            </w:r>
          </w:p>
        </w:tc>
        <w:tc>
          <w:tcPr>
            <w:tcW w:w="907" w:type="dxa"/>
          </w:tcPr>
          <w:p w14:paraId="5EF05591"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68 (29.4)</w:t>
            </w:r>
          </w:p>
        </w:tc>
        <w:tc>
          <w:tcPr>
            <w:tcW w:w="1701" w:type="dxa"/>
          </w:tcPr>
          <w:p w14:paraId="450F71B2"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0.696 (0.614–0.776)</w:t>
            </w:r>
          </w:p>
        </w:tc>
        <w:tc>
          <w:tcPr>
            <w:tcW w:w="1020" w:type="dxa"/>
          </w:tcPr>
          <w:p w14:paraId="7C898138"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0.707</w:t>
            </w:r>
          </w:p>
        </w:tc>
        <w:tc>
          <w:tcPr>
            <w:tcW w:w="1077" w:type="dxa"/>
          </w:tcPr>
          <w:p w14:paraId="422F2D17"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1.04</w:t>
            </w:r>
          </w:p>
        </w:tc>
        <w:tc>
          <w:tcPr>
            <w:tcW w:w="1077" w:type="dxa"/>
          </w:tcPr>
          <w:p w14:paraId="26E1ACD7"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0.178 (0.208)</w:t>
            </w:r>
          </w:p>
        </w:tc>
        <w:tc>
          <w:tcPr>
            <w:tcW w:w="1701" w:type="dxa"/>
          </w:tcPr>
          <w:p w14:paraId="3AB073A5"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0.682 (0.522–0.807)</w:t>
            </w:r>
          </w:p>
        </w:tc>
        <w:tc>
          <w:tcPr>
            <w:tcW w:w="1134" w:type="dxa"/>
          </w:tcPr>
          <w:p w14:paraId="1E515BFB"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0.596–0.834</w:t>
            </w:r>
          </w:p>
        </w:tc>
        <w:tc>
          <w:tcPr>
            <w:tcW w:w="1701" w:type="dxa"/>
          </w:tcPr>
          <w:p w14:paraId="32427A43"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0.834 (0.699–0.947)</w:t>
            </w:r>
          </w:p>
        </w:tc>
      </w:tr>
      <w:tr w:rsidR="00F1197D" w:rsidRPr="00520EE2" w14:paraId="559497AA" w14:textId="77777777">
        <w:trPr>
          <w:cantSplit/>
          <w:jc w:val="center"/>
        </w:trPr>
        <w:tc>
          <w:tcPr>
            <w:tcW w:w="2494" w:type="dxa"/>
          </w:tcPr>
          <w:p w14:paraId="644D44C0"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Visual deterioration</w:t>
            </w:r>
          </w:p>
        </w:tc>
        <w:tc>
          <w:tcPr>
            <w:tcW w:w="1020" w:type="dxa"/>
          </w:tcPr>
          <w:p w14:paraId="035359E3"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n = 231</w:t>
            </w:r>
          </w:p>
        </w:tc>
        <w:tc>
          <w:tcPr>
            <w:tcW w:w="907" w:type="dxa"/>
          </w:tcPr>
          <w:p w14:paraId="2FAC0EAA"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19 (8.2)</w:t>
            </w:r>
          </w:p>
        </w:tc>
        <w:tc>
          <w:tcPr>
            <w:tcW w:w="1701" w:type="dxa"/>
          </w:tcPr>
          <w:p w14:paraId="76BB683F"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0.420 (0.265–0.497)</w:t>
            </w:r>
          </w:p>
        </w:tc>
        <w:tc>
          <w:tcPr>
            <w:tcW w:w="1020" w:type="dxa"/>
          </w:tcPr>
          <w:p w14:paraId="0E9B3D97"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0.535</w:t>
            </w:r>
          </w:p>
        </w:tc>
        <w:tc>
          <w:tcPr>
            <w:tcW w:w="1077" w:type="dxa"/>
          </w:tcPr>
          <w:p w14:paraId="74967157"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−8.95</w:t>
            </w:r>
          </w:p>
        </w:tc>
        <w:tc>
          <w:tcPr>
            <w:tcW w:w="1077" w:type="dxa"/>
          </w:tcPr>
          <w:p w14:paraId="4A870C3E"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0.076 (0.075)</w:t>
            </w:r>
          </w:p>
        </w:tc>
        <w:tc>
          <w:tcPr>
            <w:tcW w:w="1701" w:type="dxa"/>
          </w:tcPr>
          <w:p w14:paraId="39ED871B"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0.478 (0.312–0.649)</w:t>
            </w:r>
          </w:p>
        </w:tc>
        <w:tc>
          <w:tcPr>
            <w:tcW w:w="1134" w:type="dxa"/>
          </w:tcPr>
          <w:p w14:paraId="6864F5D1"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0.454–0.581</w:t>
            </w:r>
          </w:p>
        </w:tc>
        <w:tc>
          <w:tcPr>
            <w:tcW w:w="1701" w:type="dxa"/>
          </w:tcPr>
          <w:p w14:paraId="0437390F"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0.581 (0.280–0.914)</w:t>
            </w:r>
          </w:p>
        </w:tc>
      </w:tr>
      <w:tr w:rsidR="00F1197D" w:rsidRPr="00520EE2" w14:paraId="14E8B1C3" w14:textId="77777777">
        <w:trPr>
          <w:cantSplit/>
          <w:jc w:val="center"/>
        </w:trPr>
        <w:tc>
          <w:tcPr>
            <w:tcW w:w="2494" w:type="dxa"/>
          </w:tcPr>
          <w:p w14:paraId="408B3CD5"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Motor deficit, motor-symptom predictor removed</w:t>
            </w:r>
          </w:p>
        </w:tc>
        <w:tc>
          <w:tcPr>
            <w:tcW w:w="1020" w:type="dxa"/>
          </w:tcPr>
          <w:p w14:paraId="38A99CAF"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n = 231</w:t>
            </w:r>
          </w:p>
        </w:tc>
        <w:tc>
          <w:tcPr>
            <w:tcW w:w="907" w:type="dxa"/>
          </w:tcPr>
          <w:p w14:paraId="5DECAF3A"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30 (13.0)</w:t>
            </w:r>
          </w:p>
        </w:tc>
        <w:tc>
          <w:tcPr>
            <w:tcW w:w="1701" w:type="dxa"/>
          </w:tcPr>
          <w:p w14:paraId="5C0B331D"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0.709 (0.620–0.793)</w:t>
            </w:r>
          </w:p>
        </w:tc>
        <w:tc>
          <w:tcPr>
            <w:tcW w:w="1020" w:type="dxa"/>
          </w:tcPr>
          <w:p w14:paraId="34B4C0B8"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0.731</w:t>
            </w:r>
          </w:p>
        </w:tc>
        <w:tc>
          <w:tcPr>
            <w:tcW w:w="1077" w:type="dxa"/>
          </w:tcPr>
          <w:p w14:paraId="15521CE0"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1.02</w:t>
            </w:r>
          </w:p>
        </w:tc>
        <w:tc>
          <w:tcPr>
            <w:tcW w:w="1077" w:type="dxa"/>
          </w:tcPr>
          <w:p w14:paraId="0A2A828A"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0.107 (0.113)</w:t>
            </w:r>
          </w:p>
        </w:tc>
        <w:tc>
          <w:tcPr>
            <w:tcW w:w="1701" w:type="dxa"/>
          </w:tcPr>
          <w:p w14:paraId="1BDE8E59"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0.710 (0.601–0.799)</w:t>
            </w:r>
          </w:p>
        </w:tc>
        <w:tc>
          <w:tcPr>
            <w:tcW w:w="1134" w:type="dxa"/>
          </w:tcPr>
          <w:p w14:paraId="4407B83C"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0.708–0.711</w:t>
            </w:r>
          </w:p>
        </w:tc>
        <w:tc>
          <w:tcPr>
            <w:tcW w:w="1701" w:type="dxa"/>
          </w:tcPr>
          <w:p w14:paraId="7733AFB5"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0.708 (0.512–0.882)</w:t>
            </w:r>
          </w:p>
        </w:tc>
      </w:tr>
      <w:tr w:rsidR="00F1197D" w:rsidRPr="00520EE2" w14:paraId="350B546B" w14:textId="77777777">
        <w:trPr>
          <w:cantSplit/>
          <w:jc w:val="center"/>
        </w:trPr>
        <w:tc>
          <w:tcPr>
            <w:tcW w:w="2494" w:type="dxa"/>
          </w:tcPr>
          <w:p w14:paraId="3DF834D2"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Medical complication, pre-specified set with ASA</w:t>
            </w:r>
          </w:p>
        </w:tc>
        <w:tc>
          <w:tcPr>
            <w:tcW w:w="1020" w:type="dxa"/>
          </w:tcPr>
          <w:p w14:paraId="760F31DB"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n = 231</w:t>
            </w:r>
          </w:p>
        </w:tc>
        <w:tc>
          <w:tcPr>
            <w:tcW w:w="907" w:type="dxa"/>
          </w:tcPr>
          <w:p w14:paraId="3FF88908"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36 (15.6)</w:t>
            </w:r>
          </w:p>
        </w:tc>
        <w:tc>
          <w:tcPr>
            <w:tcW w:w="1701" w:type="dxa"/>
          </w:tcPr>
          <w:p w14:paraId="3CADD617"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0.773 (0.685–0.856)</w:t>
            </w:r>
          </w:p>
        </w:tc>
        <w:tc>
          <w:tcPr>
            <w:tcW w:w="1020" w:type="dxa"/>
          </w:tcPr>
          <w:p w14:paraId="73FB168E"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0.788</w:t>
            </w:r>
          </w:p>
        </w:tc>
        <w:tc>
          <w:tcPr>
            <w:tcW w:w="1077" w:type="dxa"/>
          </w:tcPr>
          <w:p w14:paraId="029D3C80"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1.03</w:t>
            </w:r>
          </w:p>
        </w:tc>
        <w:tc>
          <w:tcPr>
            <w:tcW w:w="1077" w:type="dxa"/>
          </w:tcPr>
          <w:p w14:paraId="6526B82A"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0.114 (0.132)</w:t>
            </w:r>
          </w:p>
        </w:tc>
        <w:tc>
          <w:tcPr>
            <w:tcW w:w="1701" w:type="dxa"/>
          </w:tcPr>
          <w:p w14:paraId="19740FE9"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0.749 (0.646–0.831)</w:t>
            </w:r>
          </w:p>
        </w:tc>
        <w:tc>
          <w:tcPr>
            <w:tcW w:w="1134" w:type="dxa"/>
          </w:tcPr>
          <w:p w14:paraId="1493104D"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0.739–0.822</w:t>
            </w:r>
          </w:p>
        </w:tc>
        <w:tc>
          <w:tcPr>
            <w:tcW w:w="1701" w:type="dxa"/>
          </w:tcPr>
          <w:p w14:paraId="68E5055B"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0.822 (0.607–0.969)</w:t>
            </w:r>
          </w:p>
        </w:tc>
      </w:tr>
    </w:tbl>
    <w:p w14:paraId="0EB256FA" w14:textId="77777777" w:rsidR="00F1197D" w:rsidRPr="00520EE2" w:rsidRDefault="00000000" w:rsidP="00520EE2">
      <w:pPr>
        <w:jc w:val="both"/>
        <w:rPr>
          <w:rFonts w:asciiTheme="majorBidi" w:hAnsiTheme="majorBidi" w:cstheme="majorBidi"/>
        </w:rPr>
      </w:pPr>
      <w:r>
        <w:rPr>
          <w:rFonts w:asciiTheme="majorBidi" w:hAnsiTheme="majorBidi" w:cstheme="majorBidi"/>
          <w:sz w:val="17"/>
        </w:rPr>
        <w:t xml:space="preserve">CV, cross-validation (nested 10-fold, five repeats; AUC = mean over repeats); IECV, internal–external cross-validation (each center held out in turn; DerSimonian–Laird random-effects pooling of per-center AUCs on the logit scale); held-out range = lowest to highest per-center AUC among centers with at least five events and five non-events; external = development in Bologna + Cesena (n = 183; with the ten excluded patients added to the development cohort for the n = 241 rows), validation in Liverpool (n = 48). In the full cohort the excluded center (no events) cannot contribute a held-out AUC. The row ‘any neurological deficit or ischemic stroke’ (71 events) is shown for completeness; the neurological components are detailed in Table S14 and cognitive decline, which was not recorded in Cesena, in Table S15. Calibration slope and Brier score refer to the internal out-of-fold predictions. The last row is the pre-specified medical model with ASA class (Table S16).</w:t>
      </w:r>
    </w:p>
    <w:p w14:paraId="6ABF80F2" w14:textId="77777777" w:rsidR="00F1197D" w:rsidRPr="00520EE2" w:rsidRDefault="00F1197D" w:rsidP="00520EE2">
      <w:pPr>
        <w:jc w:val="both"/>
        <w:rPr>
          <w:rFonts w:asciiTheme="majorBidi" w:hAnsiTheme="majorBidi" w:cstheme="majorBidi"/>
        </w:rPr>
        <w:sectPr w:rsidR="00F1197D" w:rsidRPr="00520EE2">
          <w:footerReference w:type="default" r:id="rId10"/>
          <w:pgSz w:w="15840" w:h="12240" w:orient="landscape"/>
          <w:pgMar w:top="1134" w:right="1134" w:bottom="1134" w:left="1134" w:header="720" w:footer="720" w:gutter="0"/>
          <w:cols w:space="720"/>
          <w:docGrid w:linePitch="360"/>
        </w:sectPr>
      </w:pPr>
    </w:p>
    <w:p w14:paraId="4FC2B2BB" w14:textId="77777777" w:rsidR="00F1197D" w:rsidRPr="00520EE2" w:rsidRDefault="00000000" w:rsidP="00520EE2">
      <w:pPr>
        <w:keepNext/>
        <w:spacing w:before="280"/>
        <w:jc w:val="both"/>
        <w:rPr>
          <w:rFonts w:asciiTheme="majorBidi" w:hAnsiTheme="majorBidi" w:cstheme="majorBidi"/>
        </w:rPr>
      </w:pPr>
      <w:r>
        <w:rPr>
          <w:rFonts w:asciiTheme="majorBidi" w:hAnsiTheme="majorBidi" w:cstheme="majorBidi"/>
          <w:b/>
          <w:sz w:val="24"/>
        </w:rPr>
        <w:lastRenderedPageBreak/>
        <w:t>Internal–external cross-validation</w:t>
      </w:r>
    </w:p>
    <w:p w14:paraId="7B4FA292" w14:textId="77777777" w:rsidR="00F1197D" w:rsidRPr="00520EE2" w:rsidRDefault="00000000" w:rsidP="00520EE2">
      <w:pPr>
        <w:spacing w:after="120"/>
        <w:jc w:val="both"/>
        <w:rPr>
          <w:rFonts w:asciiTheme="majorBidi" w:hAnsiTheme="majorBidi" w:cstheme="majorBidi"/>
        </w:rPr>
      </w:pPr>
      <w:r>
        <w:rPr>
          <w:rFonts w:asciiTheme="majorBidi" w:hAnsiTheme="majorBidi" w:cstheme="majorBidi"/>
        </w:rPr>
        <w:t xml:space="preserve">Each center was held out in turn, the model was refitted on the remaining centers with the penalty re-selected, and discrimination and calibration were assessed in the held-out center. Per-center AUCs were pooled on the logit scale by DerSimonian–Laird random-effects meta-analysis, with standard errors derived from 1000-replicate percentile bootstrap intervals; a held-out estimate required at least five events and five non-events. Because only three centers contribute, the between-center variance τ² is estimated with little precision and τ² = 0 should not be read as evidence of homogeneity. Calibration was summarized by the calibration slope (logistic recalibration of the held-out linear predictor) and by calibration-in-the-large (intercept with the slope fixed at 1; negative values indicate over-prediction). The AUC of the held-out predictions pooled across centers, which is additionally sensitive to between-center differences in baseline risk, was 0.741 for the medical endpoint, 0.696 for the composite, 0.596 for the surgical endpoint and 0.707 for motor deficit (Table S10; Fig. S2a). The held-out Liverpool estimate of the internal–external cross-validation is, by construction, the same model as the geographical external validation reported in the main text.</w:t>
      </w:r>
    </w:p>
    <w:p w14:paraId="391CB7CC" w14:textId="77777777" w:rsidR="00F1197D" w:rsidRPr="00520EE2" w:rsidRDefault="00000000" w:rsidP="00520EE2">
      <w:pPr>
        <w:keepNext/>
        <w:spacing w:before="200"/>
        <w:jc w:val="both"/>
        <w:rPr>
          <w:rFonts w:asciiTheme="majorBidi" w:hAnsiTheme="majorBidi" w:cstheme="majorBidi"/>
        </w:rPr>
      </w:pPr>
      <w:r>
        <w:rPr>
          <w:rFonts w:asciiTheme="majorBidi" w:hAnsiTheme="majorBidi" w:cstheme="majorBidi"/>
          <w:b/>
        </w:rPr>
        <w:t xml:space="preserve">Table S10</w:t>
      </w:r>
      <w:r>
        <w:rPr>
          <w:rFonts w:asciiTheme="majorBidi" w:hAnsiTheme="majorBidi" w:cstheme="majorBidi"/>
        </w:rPr>
        <w:t xml:space="preserve"> Internal–external cross-validation by held-out center, ridge-penalized models (modelling population)</w:t>
      </w:r>
    </w:p>
    <w:tbl>
      <w:tblPr>
        <w:tblW w:w="0" w:type="auto"/>
        <w:jc w:val="center"/>
        <w:tblBorders>
          <w:top w:val="single" w:sz="4" w:space="0" w:color="808080"/>
          <w:left w:val="nil"/>
          <w:bottom w:val="single" w:sz="4" w:space="0" w:color="808080"/>
          <w:right w:val="nil"/>
          <w:insideH w:val="single" w:sz="4" w:space="0" w:color="808080"/>
          <w:insideV w:val="nil"/>
        </w:tblBorders>
        <w:tblLayout w:type="fixed"/>
        <w:tblLook w:val="04A0" w:firstRow="1" w:lastRow="0" w:firstColumn="1" w:lastColumn="0" w:noHBand="0" w:noVBand="1"/>
      </w:tblPr>
      <w:tblGrid>
        <w:gridCol w:w="1928"/>
        <w:gridCol w:w="1304"/>
        <w:gridCol w:w="454"/>
        <w:gridCol w:w="737"/>
        <w:gridCol w:w="1701"/>
        <w:gridCol w:w="1134"/>
        <w:gridCol w:w="1191"/>
        <w:gridCol w:w="1191"/>
      </w:tblGrid>
      <w:tr w:rsidR="00F1197D" w:rsidRPr="00520EE2" w14:paraId="61AE245B" w14:textId="77777777">
        <w:trPr>
          <w:cantSplit/>
          <w:tblHeader/>
          <w:jc w:val="center"/>
        </w:trPr>
        <w:tc>
          <w:tcPr>
            <w:tcW w:w="1928" w:type="dxa"/>
          </w:tcPr>
          <w:p w14:paraId="1DC3D139"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b/>
                <w:sz w:val="15"/>
              </w:rPr>
              <w:t xml:space="preserve">Endpoint</w:t>
            </w:r>
          </w:p>
        </w:tc>
        <w:tc>
          <w:tcPr>
            <w:tcW w:w="1304" w:type="dxa"/>
          </w:tcPr>
          <w:p w14:paraId="7C3E2F73"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b/>
                <w:sz w:val="15"/>
              </w:rPr>
              <w:t xml:space="preserve">Held-out center</w:t>
            </w:r>
          </w:p>
        </w:tc>
        <w:tc>
          <w:tcPr>
            <w:tcW w:w="454" w:type="dxa"/>
          </w:tcPr>
          <w:p w14:paraId="78AF545F"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b/>
                <w:sz w:val="15"/>
              </w:rPr>
              <w:t xml:space="preserve">n</w:t>
            </w:r>
          </w:p>
        </w:tc>
        <w:tc>
          <w:tcPr>
            <w:tcW w:w="737" w:type="dxa"/>
          </w:tcPr>
          <w:p w14:paraId="7944BB9E"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b/>
                <w:sz w:val="15"/>
              </w:rPr>
              <w:t xml:space="preserve">Events</w:t>
            </w:r>
          </w:p>
        </w:tc>
        <w:tc>
          <w:tcPr>
            <w:tcW w:w="1701" w:type="dxa"/>
          </w:tcPr>
          <w:p w14:paraId="5CDE8705"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b/>
                <w:sz w:val="15"/>
              </w:rPr>
              <w:t xml:space="preserve">AUC (95% CI)</w:t>
            </w:r>
          </w:p>
        </w:tc>
        <w:tc>
          <w:tcPr>
            <w:tcW w:w="1134" w:type="dxa"/>
          </w:tcPr>
          <w:p w14:paraId="5FEEB6F0"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b/>
                <w:sz w:val="15"/>
              </w:rPr>
              <w:t xml:space="preserve">Calibration slope</w:t>
            </w:r>
          </w:p>
        </w:tc>
        <w:tc>
          <w:tcPr>
            <w:tcW w:w="1191" w:type="dxa"/>
          </w:tcPr>
          <w:p w14:paraId="63ECF325"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b/>
                <w:sz w:val="15"/>
              </w:rPr>
              <w:t xml:space="preserve">Calibration-in-the-large</w:t>
            </w:r>
          </w:p>
        </w:tc>
        <w:tc>
          <w:tcPr>
            <w:tcW w:w="1191" w:type="dxa"/>
          </w:tcPr>
          <w:p w14:paraId="1438CA1B"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b/>
                <w:sz w:val="15"/>
              </w:rPr>
              <w:t xml:space="preserve">Mean predicted / observed (%)</w:t>
            </w:r>
          </w:p>
        </w:tc>
      </w:tr>
      <w:tr w:rsidR="00F1197D" w:rsidRPr="00520EE2" w14:paraId="09275CFD" w14:textId="77777777">
        <w:trPr>
          <w:cantSplit/>
          <w:jc w:val="center"/>
        </w:trPr>
        <w:tc>
          <w:tcPr>
            <w:tcW w:w="1928" w:type="dxa"/>
          </w:tcPr>
          <w:p w14:paraId="70B599E3"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Medical complication</w:t>
            </w:r>
          </w:p>
        </w:tc>
        <w:tc>
          <w:tcPr>
            <w:tcW w:w="1304" w:type="dxa"/>
          </w:tcPr>
          <w:p w14:paraId="01DD89B6"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Bologna</w:t>
            </w:r>
          </w:p>
        </w:tc>
        <w:tc>
          <w:tcPr>
            <w:tcW w:w="454" w:type="dxa"/>
          </w:tcPr>
          <w:p w14:paraId="2AF8C257"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115</w:t>
            </w:r>
          </w:p>
        </w:tc>
        <w:tc>
          <w:tcPr>
            <w:tcW w:w="737" w:type="dxa"/>
          </w:tcPr>
          <w:p w14:paraId="2444586E"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22</w:t>
            </w:r>
          </w:p>
        </w:tc>
        <w:tc>
          <w:tcPr>
            <w:tcW w:w="1701" w:type="dxa"/>
          </w:tcPr>
          <w:p w14:paraId="6D012FC0"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0.760 (0.653–0.853)</w:t>
            </w:r>
          </w:p>
        </w:tc>
        <w:tc>
          <w:tcPr>
            <w:tcW w:w="1134" w:type="dxa"/>
          </w:tcPr>
          <w:p w14:paraId="6191D701"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1.42</w:t>
            </w:r>
          </w:p>
        </w:tc>
        <w:tc>
          <w:tcPr>
            <w:tcW w:w="1191" w:type="dxa"/>
          </w:tcPr>
          <w:p w14:paraId="32F21DC0"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0.59</w:t>
            </w:r>
          </w:p>
        </w:tc>
        <w:tc>
          <w:tcPr>
            <w:tcW w:w="1191" w:type="dxa"/>
          </w:tcPr>
          <w:p w14:paraId="0D6C272B"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12.0 / 19.1</w:t>
            </w:r>
          </w:p>
        </w:tc>
      </w:tr>
      <w:tr w:rsidR="00F1197D" w:rsidRPr="00520EE2" w14:paraId="2A5FAAA8" w14:textId="77777777">
        <w:trPr>
          <w:cantSplit/>
          <w:jc w:val="center"/>
        </w:trPr>
        <w:tc>
          <w:tcPr>
            <w:tcW w:w="1928" w:type="dxa"/>
          </w:tcPr>
          <w:p w14:paraId="46270A83"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Medical complication</w:t>
            </w:r>
          </w:p>
        </w:tc>
        <w:tc>
          <w:tcPr>
            <w:tcW w:w="1304" w:type="dxa"/>
          </w:tcPr>
          <w:p w14:paraId="62CB0AB2"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Cesena</w:t>
            </w:r>
          </w:p>
        </w:tc>
        <w:tc>
          <w:tcPr>
            <w:tcW w:w="454" w:type="dxa"/>
          </w:tcPr>
          <w:p w14:paraId="226636F7"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68</w:t>
            </w:r>
          </w:p>
        </w:tc>
        <w:tc>
          <w:tcPr>
            <w:tcW w:w="737" w:type="dxa"/>
          </w:tcPr>
          <w:p w14:paraId="46577593"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7</w:t>
            </w:r>
          </w:p>
        </w:tc>
        <w:tc>
          <w:tcPr>
            <w:tcW w:w="1701" w:type="dxa"/>
          </w:tcPr>
          <w:p w14:paraId="24466C0F"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0.728 (0.441–0.968)</w:t>
            </w:r>
          </w:p>
        </w:tc>
        <w:tc>
          <w:tcPr>
            <w:tcW w:w="1134" w:type="dxa"/>
          </w:tcPr>
          <w:p w14:paraId="3CAC4541"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1.09</w:t>
            </w:r>
          </w:p>
        </w:tc>
        <w:tc>
          <w:tcPr>
            <w:tcW w:w="1191" w:type="dxa"/>
          </w:tcPr>
          <w:p w14:paraId="37E9A53B"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−0.46</w:t>
            </w:r>
          </w:p>
        </w:tc>
        <w:tc>
          <w:tcPr>
            <w:tcW w:w="1191" w:type="dxa"/>
          </w:tcPr>
          <w:p w14:paraId="1974A160"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14.9 / 10.3</w:t>
            </w:r>
          </w:p>
        </w:tc>
      </w:tr>
      <w:tr w:rsidR="00F1197D" w:rsidRPr="00520EE2" w14:paraId="052E4DBA" w14:textId="77777777">
        <w:trPr>
          <w:cantSplit/>
          <w:jc w:val="center"/>
        </w:trPr>
        <w:tc>
          <w:tcPr>
            <w:tcW w:w="1928" w:type="dxa"/>
          </w:tcPr>
          <w:p w14:paraId="3322AD26"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Medical complication</w:t>
            </w:r>
          </w:p>
        </w:tc>
        <w:tc>
          <w:tcPr>
            <w:tcW w:w="1304" w:type="dxa"/>
          </w:tcPr>
          <w:p w14:paraId="54595489"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Liverpool</w:t>
            </w:r>
          </w:p>
        </w:tc>
        <w:tc>
          <w:tcPr>
            <w:tcW w:w="454" w:type="dxa"/>
          </w:tcPr>
          <w:p w14:paraId="020CDB6C"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48</w:t>
            </w:r>
          </w:p>
        </w:tc>
        <w:tc>
          <w:tcPr>
            <w:tcW w:w="737" w:type="dxa"/>
          </w:tcPr>
          <w:p w14:paraId="424A74EF"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7</w:t>
            </w:r>
          </w:p>
        </w:tc>
        <w:tc>
          <w:tcPr>
            <w:tcW w:w="1701" w:type="dxa"/>
          </w:tcPr>
          <w:p w14:paraId="3D74BF3B"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0.847 (0.637–0.977)</w:t>
            </w:r>
          </w:p>
        </w:tc>
        <w:tc>
          <w:tcPr>
            <w:tcW w:w="1134" w:type="dxa"/>
          </w:tcPr>
          <w:p w14:paraId="42D91313"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1.25</w:t>
            </w:r>
          </w:p>
        </w:tc>
        <w:tc>
          <w:tcPr>
            <w:tcW w:w="1191" w:type="dxa"/>
          </w:tcPr>
          <w:p w14:paraId="1CBD952C"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−0.74</w:t>
            </w:r>
          </w:p>
        </w:tc>
        <w:tc>
          <w:tcPr>
            <w:tcW w:w="1191" w:type="dxa"/>
          </w:tcPr>
          <w:p w14:paraId="30108796"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23.7 / 14.6</w:t>
            </w:r>
          </w:p>
        </w:tc>
      </w:tr>
      <w:tr w:rsidR="00F1197D" w:rsidRPr="00520EE2" w14:paraId="5C4BF5BC" w14:textId="77777777">
        <w:trPr>
          <w:cantSplit/>
          <w:jc w:val="center"/>
        </w:trPr>
        <w:tc>
          <w:tcPr>
            <w:tcW w:w="1928" w:type="dxa"/>
          </w:tcPr>
          <w:p w14:paraId="5C688FF1"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Medical complication</w:t>
            </w:r>
          </w:p>
        </w:tc>
        <w:tc>
          <w:tcPr>
            <w:tcW w:w="1304" w:type="dxa"/>
          </w:tcPr>
          <w:p w14:paraId="3266F34F"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Pooled (random effects)</w:t>
            </w:r>
          </w:p>
        </w:tc>
        <w:tc>
          <w:tcPr>
            <w:tcW w:w="454" w:type="dxa"/>
          </w:tcPr>
          <w:p w14:paraId="3290E09D"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231</w:t>
            </w:r>
          </w:p>
        </w:tc>
        <w:tc>
          <w:tcPr>
            <w:tcW w:w="737" w:type="dxa"/>
          </w:tcPr>
          <w:p w14:paraId="7B05A260"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36</w:t>
            </w:r>
          </w:p>
        </w:tc>
        <w:tc>
          <w:tcPr>
            <w:tcW w:w="1701" w:type="dxa"/>
          </w:tcPr>
          <w:p w14:paraId="223337AF"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0.768 (0.665–0.846); τ² = 0.000</w:t>
            </w:r>
          </w:p>
        </w:tc>
        <w:tc>
          <w:tcPr>
            <w:tcW w:w="1134" w:type="dxa"/>
          </w:tcPr>
          <w:p w14:paraId="21EC0353"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0.91</w:t>
            </w:r>
          </w:p>
        </w:tc>
        <w:tc>
          <w:tcPr>
            <w:tcW w:w="1191" w:type="dxa"/>
          </w:tcPr>
          <w:p w14:paraId="76485D51"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0.03</w:t>
            </w:r>
          </w:p>
        </w:tc>
        <w:tc>
          <w:tcPr>
            <w:tcW w:w="1191" w:type="dxa"/>
          </w:tcPr>
          <w:p w14:paraId="5130E848"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pooled-prediction AUC 0.741</w:t>
            </w:r>
          </w:p>
        </w:tc>
      </w:tr>
      <w:tr w:rsidR="00F1197D" w:rsidRPr="00520EE2" w14:paraId="616937E1" w14:textId="77777777">
        <w:trPr>
          <w:cantSplit/>
          <w:jc w:val="center"/>
        </w:trPr>
        <w:tc>
          <w:tcPr>
            <w:tcW w:w="1928" w:type="dxa"/>
          </w:tcPr>
          <w:p w14:paraId="691F167E"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Surgical complication</w:t>
            </w:r>
          </w:p>
        </w:tc>
        <w:tc>
          <w:tcPr>
            <w:tcW w:w="1304" w:type="dxa"/>
          </w:tcPr>
          <w:p w14:paraId="68AEE0DF"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Bologna</w:t>
            </w:r>
          </w:p>
        </w:tc>
        <w:tc>
          <w:tcPr>
            <w:tcW w:w="454" w:type="dxa"/>
          </w:tcPr>
          <w:p w14:paraId="17F5C9F1"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115</w:t>
            </w:r>
          </w:p>
        </w:tc>
        <w:tc>
          <w:tcPr>
            <w:tcW w:w="737" w:type="dxa"/>
          </w:tcPr>
          <w:p w14:paraId="4B50F0DA"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7</w:t>
            </w:r>
          </w:p>
        </w:tc>
        <w:tc>
          <w:tcPr>
            <w:tcW w:w="1701" w:type="dxa"/>
          </w:tcPr>
          <w:p w14:paraId="7B34ADEA"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0.565 (0.289–0.853)</w:t>
            </w:r>
          </w:p>
        </w:tc>
        <w:tc>
          <w:tcPr>
            <w:tcW w:w="1134" w:type="dxa"/>
          </w:tcPr>
          <w:p w14:paraId="2F00D83B"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1.30</w:t>
            </w:r>
          </w:p>
        </w:tc>
        <w:tc>
          <w:tcPr>
            <w:tcW w:w="1191" w:type="dxa"/>
          </w:tcPr>
          <w:p w14:paraId="4E740A67"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−0.80</w:t>
            </w:r>
          </w:p>
        </w:tc>
        <w:tc>
          <w:tcPr>
            <w:tcW w:w="1191" w:type="dxa"/>
          </w:tcPr>
          <w:p w14:paraId="54BFE962"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12.5 / 6.1</w:t>
            </w:r>
          </w:p>
        </w:tc>
      </w:tr>
      <w:tr w:rsidR="00F1197D" w:rsidRPr="00520EE2" w14:paraId="54D6BDC1" w14:textId="77777777">
        <w:trPr>
          <w:cantSplit/>
          <w:jc w:val="center"/>
        </w:trPr>
        <w:tc>
          <w:tcPr>
            <w:tcW w:w="1928" w:type="dxa"/>
          </w:tcPr>
          <w:p w14:paraId="1C91A66E"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Surgical complication</w:t>
            </w:r>
          </w:p>
        </w:tc>
        <w:tc>
          <w:tcPr>
            <w:tcW w:w="1304" w:type="dxa"/>
          </w:tcPr>
          <w:p w14:paraId="1AAA8ED3"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Cesena</w:t>
            </w:r>
          </w:p>
        </w:tc>
        <w:tc>
          <w:tcPr>
            <w:tcW w:w="454" w:type="dxa"/>
          </w:tcPr>
          <w:p w14:paraId="1C35E55C"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68</w:t>
            </w:r>
          </w:p>
        </w:tc>
        <w:tc>
          <w:tcPr>
            <w:tcW w:w="737" w:type="dxa"/>
          </w:tcPr>
          <w:p w14:paraId="5AACB072"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8</w:t>
            </w:r>
          </w:p>
        </w:tc>
        <w:tc>
          <w:tcPr>
            <w:tcW w:w="1701" w:type="dxa"/>
          </w:tcPr>
          <w:p w14:paraId="2DF9DDD5"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0.759 (0.540–0.949)</w:t>
            </w:r>
          </w:p>
        </w:tc>
        <w:tc>
          <w:tcPr>
            <w:tcW w:w="1134" w:type="dxa"/>
          </w:tcPr>
          <w:p w14:paraId="65BFF4BE"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3.73</w:t>
            </w:r>
          </w:p>
        </w:tc>
        <w:tc>
          <w:tcPr>
            <w:tcW w:w="1191" w:type="dxa"/>
          </w:tcPr>
          <w:p w14:paraId="101CF7FD"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0.52</w:t>
            </w:r>
          </w:p>
        </w:tc>
        <w:tc>
          <w:tcPr>
            <w:tcW w:w="1191" w:type="dxa"/>
          </w:tcPr>
          <w:p w14:paraId="42626C04"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7.4 / 11.8</w:t>
            </w:r>
          </w:p>
        </w:tc>
      </w:tr>
      <w:tr w:rsidR="00F1197D" w:rsidRPr="00520EE2" w14:paraId="4F349C0D" w14:textId="77777777">
        <w:trPr>
          <w:cantSplit/>
          <w:jc w:val="center"/>
        </w:trPr>
        <w:tc>
          <w:tcPr>
            <w:tcW w:w="1928" w:type="dxa"/>
          </w:tcPr>
          <w:p w14:paraId="4D3A68F5"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Surgical complication</w:t>
            </w:r>
          </w:p>
        </w:tc>
        <w:tc>
          <w:tcPr>
            <w:tcW w:w="1304" w:type="dxa"/>
          </w:tcPr>
          <w:p w14:paraId="54D962A8"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Liverpool</w:t>
            </w:r>
          </w:p>
        </w:tc>
        <w:tc>
          <w:tcPr>
            <w:tcW w:w="454" w:type="dxa"/>
          </w:tcPr>
          <w:p w14:paraId="32AAB733"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48</w:t>
            </w:r>
          </w:p>
        </w:tc>
        <w:tc>
          <w:tcPr>
            <w:tcW w:w="737" w:type="dxa"/>
          </w:tcPr>
          <w:p w14:paraId="5A42F625"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6</w:t>
            </w:r>
          </w:p>
        </w:tc>
        <w:tc>
          <w:tcPr>
            <w:tcW w:w="1701" w:type="dxa"/>
          </w:tcPr>
          <w:p w14:paraId="55E9C261"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0.710 (0.497–0.891)</w:t>
            </w:r>
          </w:p>
        </w:tc>
        <w:tc>
          <w:tcPr>
            <w:tcW w:w="1134" w:type="dxa"/>
          </w:tcPr>
          <w:p w14:paraId="03D2F462"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1.97</w:t>
            </w:r>
          </w:p>
        </w:tc>
        <w:tc>
          <w:tcPr>
            <w:tcW w:w="1191" w:type="dxa"/>
          </w:tcPr>
          <w:p w14:paraId="4EF611B7"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0.27</w:t>
            </w:r>
          </w:p>
        </w:tc>
        <w:tc>
          <w:tcPr>
            <w:tcW w:w="1191" w:type="dxa"/>
          </w:tcPr>
          <w:p w14:paraId="51128993"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9.9 / 12.5</w:t>
            </w:r>
          </w:p>
        </w:tc>
      </w:tr>
      <w:tr w:rsidR="00F1197D" w:rsidRPr="00520EE2" w14:paraId="31EDB04B" w14:textId="77777777">
        <w:trPr>
          <w:cantSplit/>
          <w:jc w:val="center"/>
        </w:trPr>
        <w:tc>
          <w:tcPr>
            <w:tcW w:w="1928" w:type="dxa"/>
          </w:tcPr>
          <w:p w14:paraId="30537BC9"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Surgical complication</w:t>
            </w:r>
          </w:p>
        </w:tc>
        <w:tc>
          <w:tcPr>
            <w:tcW w:w="1304" w:type="dxa"/>
          </w:tcPr>
          <w:p w14:paraId="0DC0986D"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Pooled (random effects)</w:t>
            </w:r>
          </w:p>
        </w:tc>
        <w:tc>
          <w:tcPr>
            <w:tcW w:w="454" w:type="dxa"/>
          </w:tcPr>
          <w:p w14:paraId="30A44F3C"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231</w:t>
            </w:r>
          </w:p>
        </w:tc>
        <w:tc>
          <w:tcPr>
            <w:tcW w:w="737" w:type="dxa"/>
          </w:tcPr>
          <w:p w14:paraId="2A808F22"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21</w:t>
            </w:r>
          </w:p>
        </w:tc>
        <w:tc>
          <w:tcPr>
            <w:tcW w:w="1701" w:type="dxa"/>
          </w:tcPr>
          <w:p w14:paraId="20FFD921"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0.686 (0.518–0.816); τ² = 0.000</w:t>
            </w:r>
          </w:p>
        </w:tc>
        <w:tc>
          <w:tcPr>
            <w:tcW w:w="1134" w:type="dxa"/>
          </w:tcPr>
          <w:p w14:paraId="12398F4C"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0.93</w:t>
            </w:r>
          </w:p>
        </w:tc>
        <w:tc>
          <w:tcPr>
            <w:tcW w:w="1191" w:type="dxa"/>
          </w:tcPr>
          <w:p w14:paraId="453B14F3"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−0.16</w:t>
            </w:r>
          </w:p>
        </w:tc>
        <w:tc>
          <w:tcPr>
            <w:tcW w:w="1191" w:type="dxa"/>
          </w:tcPr>
          <w:p w14:paraId="069F8CEA"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pooled-prediction AUC 0.596</w:t>
            </w:r>
          </w:p>
        </w:tc>
      </w:tr>
      <w:tr w:rsidR="00F1197D" w:rsidRPr="00520EE2" w14:paraId="12ECD98A" w14:textId="77777777">
        <w:trPr>
          <w:cantSplit/>
          <w:jc w:val="center"/>
        </w:trPr>
        <w:tc>
          <w:tcPr>
            <w:tcW w:w="1928" w:type="dxa"/>
          </w:tcPr>
          <w:p w14:paraId="06910B6F"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Non-neurological composite</w:t>
            </w:r>
          </w:p>
        </w:tc>
        <w:tc>
          <w:tcPr>
            <w:tcW w:w="1304" w:type="dxa"/>
          </w:tcPr>
          <w:p w14:paraId="0570612B"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Bologna</w:t>
            </w:r>
          </w:p>
        </w:tc>
        <w:tc>
          <w:tcPr>
            <w:tcW w:w="454" w:type="dxa"/>
          </w:tcPr>
          <w:p w14:paraId="434C58CE"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115</w:t>
            </w:r>
          </w:p>
        </w:tc>
        <w:tc>
          <w:tcPr>
            <w:tcW w:w="737" w:type="dxa"/>
          </w:tcPr>
          <w:p w14:paraId="62F7BACA"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26</w:t>
            </w:r>
          </w:p>
        </w:tc>
        <w:tc>
          <w:tcPr>
            <w:tcW w:w="1701" w:type="dxa"/>
          </w:tcPr>
          <w:p w14:paraId="54C5BD0F"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0.699 (0.578–0.805)</w:t>
            </w:r>
          </w:p>
        </w:tc>
        <w:tc>
          <w:tcPr>
            <w:tcW w:w="1134" w:type="dxa"/>
          </w:tcPr>
          <w:p w14:paraId="40F2D4F2"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1.16</w:t>
            </w:r>
          </w:p>
        </w:tc>
        <w:tc>
          <w:tcPr>
            <w:tcW w:w="1191" w:type="dxa"/>
          </w:tcPr>
          <w:p w14:paraId="3EE0225A"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0.20</w:t>
            </w:r>
          </w:p>
        </w:tc>
        <w:tc>
          <w:tcPr>
            <w:tcW w:w="1191" w:type="dxa"/>
          </w:tcPr>
          <w:p w14:paraId="3792B9C0"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19.5 / 22.6</w:t>
            </w:r>
          </w:p>
        </w:tc>
      </w:tr>
      <w:tr w:rsidR="00F1197D" w:rsidRPr="00520EE2" w14:paraId="7B6381C8" w14:textId="77777777">
        <w:trPr>
          <w:cantSplit/>
          <w:jc w:val="center"/>
        </w:trPr>
        <w:tc>
          <w:tcPr>
            <w:tcW w:w="1928" w:type="dxa"/>
          </w:tcPr>
          <w:p w14:paraId="23622DFE"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Non-neurological composite</w:t>
            </w:r>
          </w:p>
        </w:tc>
        <w:tc>
          <w:tcPr>
            <w:tcW w:w="1304" w:type="dxa"/>
          </w:tcPr>
          <w:p w14:paraId="088B3F38"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Cesena</w:t>
            </w:r>
          </w:p>
        </w:tc>
        <w:tc>
          <w:tcPr>
            <w:tcW w:w="454" w:type="dxa"/>
          </w:tcPr>
          <w:p w14:paraId="610507EE"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68</w:t>
            </w:r>
          </w:p>
        </w:tc>
        <w:tc>
          <w:tcPr>
            <w:tcW w:w="737" w:type="dxa"/>
          </w:tcPr>
          <w:p w14:paraId="190E2555"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13</w:t>
            </w:r>
          </w:p>
        </w:tc>
        <w:tc>
          <w:tcPr>
            <w:tcW w:w="1701" w:type="dxa"/>
          </w:tcPr>
          <w:p w14:paraId="4EBAE89F"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0.644 (0.462–0.811)</w:t>
            </w:r>
          </w:p>
        </w:tc>
        <w:tc>
          <w:tcPr>
            <w:tcW w:w="1134" w:type="dxa"/>
          </w:tcPr>
          <w:p w14:paraId="737B052F"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0.69</w:t>
            </w:r>
          </w:p>
        </w:tc>
        <w:tc>
          <w:tcPr>
            <w:tcW w:w="1191" w:type="dxa"/>
          </w:tcPr>
          <w:p w14:paraId="5182CBB7"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−0.01</w:t>
            </w:r>
          </w:p>
        </w:tc>
        <w:tc>
          <w:tcPr>
            <w:tcW w:w="1191" w:type="dxa"/>
          </w:tcPr>
          <w:p w14:paraId="21CE1E0C"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19.3 / 19.1</w:t>
            </w:r>
          </w:p>
        </w:tc>
      </w:tr>
      <w:tr w:rsidR="00F1197D" w:rsidRPr="00520EE2" w14:paraId="6320B87E" w14:textId="77777777">
        <w:trPr>
          <w:cantSplit/>
          <w:jc w:val="center"/>
        </w:trPr>
        <w:tc>
          <w:tcPr>
            <w:tcW w:w="1928" w:type="dxa"/>
          </w:tcPr>
          <w:p w14:paraId="3376C42D"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Non-neurological composite</w:t>
            </w:r>
          </w:p>
        </w:tc>
        <w:tc>
          <w:tcPr>
            <w:tcW w:w="1304" w:type="dxa"/>
          </w:tcPr>
          <w:p w14:paraId="6E50C930"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Liverpool</w:t>
            </w:r>
          </w:p>
        </w:tc>
        <w:tc>
          <w:tcPr>
            <w:tcW w:w="454" w:type="dxa"/>
          </w:tcPr>
          <w:p w14:paraId="2C432449"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48</w:t>
            </w:r>
          </w:p>
        </w:tc>
        <w:tc>
          <w:tcPr>
            <w:tcW w:w="737" w:type="dxa"/>
          </w:tcPr>
          <w:p w14:paraId="26D3C2F0"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11</w:t>
            </w:r>
          </w:p>
        </w:tc>
        <w:tc>
          <w:tcPr>
            <w:tcW w:w="1701" w:type="dxa"/>
          </w:tcPr>
          <w:p w14:paraId="24EA306E"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0.767 (0.604–0.906)</w:t>
            </w:r>
          </w:p>
        </w:tc>
        <w:tc>
          <w:tcPr>
            <w:tcW w:w="1134" w:type="dxa"/>
          </w:tcPr>
          <w:p w14:paraId="4750AB20"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0.98</w:t>
            </w:r>
          </w:p>
        </w:tc>
        <w:tc>
          <w:tcPr>
            <w:tcW w:w="1191" w:type="dxa"/>
          </w:tcPr>
          <w:p w14:paraId="7CC1C92E"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−0.47</w:t>
            </w:r>
          </w:p>
        </w:tc>
        <w:tc>
          <w:tcPr>
            <w:tcW w:w="1191" w:type="dxa"/>
          </w:tcPr>
          <w:p w14:paraId="314FF2C2"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30.4 / 22.9</w:t>
            </w:r>
          </w:p>
        </w:tc>
      </w:tr>
      <w:tr w:rsidR="00F1197D" w:rsidRPr="00520EE2" w14:paraId="7B7A7958" w14:textId="77777777">
        <w:trPr>
          <w:cantSplit/>
          <w:jc w:val="center"/>
        </w:trPr>
        <w:tc>
          <w:tcPr>
            <w:tcW w:w="1928" w:type="dxa"/>
          </w:tcPr>
          <w:p w14:paraId="7952A691"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Non-neurological composite</w:t>
            </w:r>
          </w:p>
        </w:tc>
        <w:tc>
          <w:tcPr>
            <w:tcW w:w="1304" w:type="dxa"/>
          </w:tcPr>
          <w:p w14:paraId="72CCFEFC"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Pooled (random effects)</w:t>
            </w:r>
          </w:p>
        </w:tc>
        <w:tc>
          <w:tcPr>
            <w:tcW w:w="454" w:type="dxa"/>
          </w:tcPr>
          <w:p w14:paraId="3D5F028E"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231</w:t>
            </w:r>
          </w:p>
        </w:tc>
        <w:tc>
          <w:tcPr>
            <w:tcW w:w="737" w:type="dxa"/>
          </w:tcPr>
          <w:p w14:paraId="00F1E8EB"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50</w:t>
            </w:r>
          </w:p>
        </w:tc>
        <w:tc>
          <w:tcPr>
            <w:tcW w:w="1701" w:type="dxa"/>
          </w:tcPr>
          <w:p w14:paraId="5B811EFD"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0.700 (0.608–0.778); τ² = 0.000</w:t>
            </w:r>
          </w:p>
        </w:tc>
        <w:tc>
          <w:tcPr>
            <w:tcW w:w="1134" w:type="dxa"/>
          </w:tcPr>
          <w:p w14:paraId="038EC2C8"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0.85</w:t>
            </w:r>
          </w:p>
        </w:tc>
        <w:tc>
          <w:tcPr>
            <w:tcW w:w="1191" w:type="dxa"/>
          </w:tcPr>
          <w:p w14:paraId="16D31CB2"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−0.01</w:t>
            </w:r>
          </w:p>
        </w:tc>
        <w:tc>
          <w:tcPr>
            <w:tcW w:w="1191" w:type="dxa"/>
          </w:tcPr>
          <w:p w14:paraId="3C008852"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pooled-prediction AUC 0.696</w:t>
            </w:r>
          </w:p>
        </w:tc>
      </w:tr>
      <w:tr w:rsidR="00F1197D" w:rsidRPr="00520EE2" w14:paraId="26A90DA9" w14:textId="77777777">
        <w:trPr>
          <w:cantSplit/>
          <w:jc w:val="center"/>
        </w:trPr>
        <w:tc>
          <w:tcPr>
            <w:tcW w:w="1928" w:type="dxa"/>
          </w:tcPr>
          <w:p w14:paraId="248E10B8"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New or worsened motor deficit</w:t>
            </w:r>
          </w:p>
        </w:tc>
        <w:tc>
          <w:tcPr>
            <w:tcW w:w="1304" w:type="dxa"/>
          </w:tcPr>
          <w:p w14:paraId="79241DF6"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Bologna</w:t>
            </w:r>
          </w:p>
        </w:tc>
        <w:tc>
          <w:tcPr>
            <w:tcW w:w="454" w:type="dxa"/>
          </w:tcPr>
          <w:p w14:paraId="799E4C44"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115</w:t>
            </w:r>
          </w:p>
        </w:tc>
        <w:tc>
          <w:tcPr>
            <w:tcW w:w="737" w:type="dxa"/>
          </w:tcPr>
          <w:p w14:paraId="48E0CE1B"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17</w:t>
            </w:r>
          </w:p>
        </w:tc>
        <w:tc>
          <w:tcPr>
            <w:tcW w:w="1701" w:type="dxa"/>
          </w:tcPr>
          <w:p w14:paraId="734FAFF5"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0.720 (0.600–0.832)</w:t>
            </w:r>
          </w:p>
        </w:tc>
        <w:tc>
          <w:tcPr>
            <w:tcW w:w="1134" w:type="dxa"/>
          </w:tcPr>
          <w:p w14:paraId="531E3527"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1.34</w:t>
            </w:r>
          </w:p>
        </w:tc>
        <w:tc>
          <w:tcPr>
            <w:tcW w:w="1191" w:type="dxa"/>
          </w:tcPr>
          <w:p w14:paraId="48E9E944"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0.37</w:t>
            </w:r>
          </w:p>
        </w:tc>
        <w:tc>
          <w:tcPr>
            <w:tcW w:w="1191" w:type="dxa"/>
          </w:tcPr>
          <w:p w14:paraId="50A6B636"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10.8 / 14.8</w:t>
            </w:r>
          </w:p>
        </w:tc>
      </w:tr>
      <w:tr w:rsidR="00F1197D" w:rsidRPr="00520EE2" w14:paraId="62042D65" w14:textId="77777777">
        <w:trPr>
          <w:cantSplit/>
          <w:jc w:val="center"/>
        </w:trPr>
        <w:tc>
          <w:tcPr>
            <w:tcW w:w="1928" w:type="dxa"/>
          </w:tcPr>
          <w:p w14:paraId="3E7DD048"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New or worsened motor deficit</w:t>
            </w:r>
          </w:p>
        </w:tc>
        <w:tc>
          <w:tcPr>
            <w:tcW w:w="1304" w:type="dxa"/>
          </w:tcPr>
          <w:p w14:paraId="7BAC235C"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Cesena</w:t>
            </w:r>
          </w:p>
        </w:tc>
        <w:tc>
          <w:tcPr>
            <w:tcW w:w="454" w:type="dxa"/>
          </w:tcPr>
          <w:p w14:paraId="15D56C06"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68</w:t>
            </w:r>
          </w:p>
        </w:tc>
        <w:tc>
          <w:tcPr>
            <w:tcW w:w="737" w:type="dxa"/>
          </w:tcPr>
          <w:p w14:paraId="379DCF5D"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3</w:t>
            </w:r>
          </w:p>
        </w:tc>
        <w:tc>
          <w:tcPr>
            <w:tcW w:w="1701" w:type="dxa"/>
          </w:tcPr>
          <w:p w14:paraId="3C28EA91"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not reported (&lt;5 events)</w:t>
            </w:r>
          </w:p>
        </w:tc>
        <w:tc>
          <w:tcPr>
            <w:tcW w:w="1134" w:type="dxa"/>
          </w:tcPr>
          <w:p w14:paraId="08BB96F8" w14:textId="77777777" w:rsidR="00F1197D" w:rsidRPr="00520EE2" w:rsidRDefault="00F1197D" w:rsidP="00520EE2">
            <w:pPr>
              <w:spacing w:before="20" w:after="0"/>
              <w:jc w:val="both"/>
              <w:rPr>
                <w:rFonts w:asciiTheme="majorBidi" w:hAnsiTheme="majorBidi" w:cstheme="majorBidi"/>
              </w:rPr>
            </w:pPr>
          </w:p>
        </w:tc>
        <w:tc>
          <w:tcPr>
            <w:tcW w:w="1191" w:type="dxa"/>
          </w:tcPr>
          <w:p w14:paraId="1F9B56DA" w14:textId="77777777" w:rsidR="00F1197D" w:rsidRPr="00520EE2" w:rsidRDefault="00F1197D" w:rsidP="00520EE2">
            <w:pPr>
              <w:spacing w:before="20" w:after="0"/>
              <w:jc w:val="both"/>
              <w:rPr>
                <w:rFonts w:asciiTheme="majorBidi" w:hAnsiTheme="majorBidi" w:cstheme="majorBidi"/>
              </w:rPr>
            </w:pPr>
          </w:p>
        </w:tc>
        <w:tc>
          <w:tcPr>
            <w:tcW w:w="1191" w:type="dxa"/>
          </w:tcPr>
          <w:p w14:paraId="255FA9DC" w14:textId="77777777" w:rsidR="00F1197D" w:rsidRPr="00520EE2" w:rsidRDefault="00F1197D" w:rsidP="00520EE2">
            <w:pPr>
              <w:spacing w:before="20" w:after="0"/>
              <w:jc w:val="both"/>
              <w:rPr>
                <w:rFonts w:asciiTheme="majorBidi" w:hAnsiTheme="majorBidi" w:cstheme="majorBidi"/>
              </w:rPr>
            </w:pPr>
          </w:p>
        </w:tc>
      </w:tr>
      <w:tr w:rsidR="00F1197D" w:rsidRPr="00520EE2" w14:paraId="5FFF0276" w14:textId="77777777">
        <w:trPr>
          <w:cantSplit/>
          <w:jc w:val="center"/>
        </w:trPr>
        <w:tc>
          <w:tcPr>
            <w:tcW w:w="1928" w:type="dxa"/>
          </w:tcPr>
          <w:p w14:paraId="554E58AD"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New or worsened motor deficit</w:t>
            </w:r>
          </w:p>
        </w:tc>
        <w:tc>
          <w:tcPr>
            <w:tcW w:w="1304" w:type="dxa"/>
          </w:tcPr>
          <w:p w14:paraId="39ACCEA6"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Liverpool</w:t>
            </w:r>
          </w:p>
        </w:tc>
        <w:tc>
          <w:tcPr>
            <w:tcW w:w="454" w:type="dxa"/>
          </w:tcPr>
          <w:p w14:paraId="35807C10"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48</w:t>
            </w:r>
          </w:p>
        </w:tc>
        <w:tc>
          <w:tcPr>
            <w:tcW w:w="737" w:type="dxa"/>
          </w:tcPr>
          <w:p w14:paraId="1D244FC6"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10</w:t>
            </w:r>
          </w:p>
        </w:tc>
        <w:tc>
          <w:tcPr>
            <w:tcW w:w="1701" w:type="dxa"/>
          </w:tcPr>
          <w:p w14:paraId="1515303B"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0.684 (0.481–0.867)</w:t>
            </w:r>
          </w:p>
        </w:tc>
        <w:tc>
          <w:tcPr>
            <w:tcW w:w="1134" w:type="dxa"/>
          </w:tcPr>
          <w:p w14:paraId="68E7FDFB"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0.85</w:t>
            </w:r>
          </w:p>
        </w:tc>
        <w:tc>
          <w:tcPr>
            <w:tcW w:w="1191" w:type="dxa"/>
          </w:tcPr>
          <w:p w14:paraId="27076904"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0.52</w:t>
            </w:r>
          </w:p>
        </w:tc>
        <w:tc>
          <w:tcPr>
            <w:tcW w:w="1191" w:type="dxa"/>
          </w:tcPr>
          <w:p w14:paraId="62548855"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14.0 / 20.8</w:t>
            </w:r>
          </w:p>
        </w:tc>
      </w:tr>
      <w:tr w:rsidR="00F1197D" w:rsidRPr="00520EE2" w14:paraId="57FA4E2E" w14:textId="77777777">
        <w:trPr>
          <w:cantSplit/>
          <w:jc w:val="center"/>
        </w:trPr>
        <w:tc>
          <w:tcPr>
            <w:tcW w:w="1928" w:type="dxa"/>
          </w:tcPr>
          <w:p w14:paraId="550E640C"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New or worsened motor deficit</w:t>
            </w:r>
          </w:p>
        </w:tc>
        <w:tc>
          <w:tcPr>
            <w:tcW w:w="1304" w:type="dxa"/>
          </w:tcPr>
          <w:p w14:paraId="242111E1"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Pooled (random effects)</w:t>
            </w:r>
          </w:p>
        </w:tc>
        <w:tc>
          <w:tcPr>
            <w:tcW w:w="454" w:type="dxa"/>
          </w:tcPr>
          <w:p w14:paraId="23B79F56"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231</w:t>
            </w:r>
          </w:p>
        </w:tc>
        <w:tc>
          <w:tcPr>
            <w:tcW w:w="737" w:type="dxa"/>
          </w:tcPr>
          <w:p w14:paraId="56685B5E"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30</w:t>
            </w:r>
          </w:p>
        </w:tc>
        <w:tc>
          <w:tcPr>
            <w:tcW w:w="1701" w:type="dxa"/>
          </w:tcPr>
          <w:p w14:paraId="7C85F6AB"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0.711 (0.596–0.803); τ² = 0.000</w:t>
            </w:r>
          </w:p>
        </w:tc>
        <w:tc>
          <w:tcPr>
            <w:tcW w:w="1134" w:type="dxa"/>
          </w:tcPr>
          <w:p w14:paraId="3A54EFF0"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1.21</w:t>
            </w:r>
          </w:p>
        </w:tc>
        <w:tc>
          <w:tcPr>
            <w:tcW w:w="1191" w:type="dxa"/>
          </w:tcPr>
          <w:p w14:paraId="6785A0BA"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0.07</w:t>
            </w:r>
          </w:p>
        </w:tc>
        <w:tc>
          <w:tcPr>
            <w:tcW w:w="1191" w:type="dxa"/>
          </w:tcPr>
          <w:p w14:paraId="0C73F7E9"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pooled-prediction AUC 0.707</w:t>
            </w:r>
          </w:p>
        </w:tc>
      </w:tr>
      <w:tr w:rsidR="00F1197D" w:rsidRPr="00520EE2" w14:paraId="4F98CC8B" w14:textId="77777777">
        <w:trPr>
          <w:cantSplit/>
          <w:jc w:val="center"/>
        </w:trPr>
        <w:tc>
          <w:tcPr>
            <w:tcW w:w="1928" w:type="dxa"/>
          </w:tcPr>
          <w:p w14:paraId="38961ED1"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Any new or worsened neurological deficit</w:t>
            </w:r>
          </w:p>
        </w:tc>
        <w:tc>
          <w:tcPr>
            <w:tcW w:w="1304" w:type="dxa"/>
          </w:tcPr>
          <w:p w14:paraId="7229052D"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Bologna</w:t>
            </w:r>
          </w:p>
        </w:tc>
        <w:tc>
          <w:tcPr>
            <w:tcW w:w="454" w:type="dxa"/>
          </w:tcPr>
          <w:p w14:paraId="2AB8739A"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115</w:t>
            </w:r>
          </w:p>
        </w:tc>
        <w:tc>
          <w:tcPr>
            <w:tcW w:w="737" w:type="dxa"/>
          </w:tcPr>
          <w:p w14:paraId="0137B623"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37</w:t>
            </w:r>
          </w:p>
        </w:tc>
        <w:tc>
          <w:tcPr>
            <w:tcW w:w="1701" w:type="dxa"/>
          </w:tcPr>
          <w:p w14:paraId="5153125D"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0.623 (0.504–0.741)</w:t>
            </w:r>
          </w:p>
        </w:tc>
        <w:tc>
          <w:tcPr>
            <w:tcW w:w="1134" w:type="dxa"/>
          </w:tcPr>
          <w:p w14:paraId="7AF455B8"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0.53</w:t>
            </w:r>
          </w:p>
        </w:tc>
        <w:tc>
          <w:tcPr>
            <w:tcW w:w="1191" w:type="dxa"/>
          </w:tcPr>
          <w:p w14:paraId="0A897AA5"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0.10</w:t>
            </w:r>
          </w:p>
        </w:tc>
        <w:tc>
          <w:tcPr>
            <w:tcW w:w="1191" w:type="dxa"/>
          </w:tcPr>
          <w:p w14:paraId="5732B6B9"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30.2 / 32.2</w:t>
            </w:r>
          </w:p>
        </w:tc>
      </w:tr>
      <w:tr w:rsidR="00F1197D" w:rsidRPr="00520EE2" w14:paraId="75D04CEA" w14:textId="77777777">
        <w:trPr>
          <w:cantSplit/>
          <w:jc w:val="center"/>
        </w:trPr>
        <w:tc>
          <w:tcPr>
            <w:tcW w:w="1928" w:type="dxa"/>
          </w:tcPr>
          <w:p w14:paraId="33EBDB92"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Any new or worsened neurological deficit</w:t>
            </w:r>
          </w:p>
        </w:tc>
        <w:tc>
          <w:tcPr>
            <w:tcW w:w="1304" w:type="dxa"/>
          </w:tcPr>
          <w:p w14:paraId="7A53392A"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Cesena</w:t>
            </w:r>
          </w:p>
        </w:tc>
        <w:tc>
          <w:tcPr>
            <w:tcW w:w="454" w:type="dxa"/>
          </w:tcPr>
          <w:p w14:paraId="65C50B3F"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68</w:t>
            </w:r>
          </w:p>
        </w:tc>
        <w:tc>
          <w:tcPr>
            <w:tcW w:w="737" w:type="dxa"/>
          </w:tcPr>
          <w:p w14:paraId="534D6DFD"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11</w:t>
            </w:r>
          </w:p>
        </w:tc>
        <w:tc>
          <w:tcPr>
            <w:tcW w:w="1701" w:type="dxa"/>
          </w:tcPr>
          <w:p w14:paraId="5C8177A6"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0.596 (0.360–0.817)</w:t>
            </w:r>
          </w:p>
        </w:tc>
        <w:tc>
          <w:tcPr>
            <w:tcW w:w="1134" w:type="dxa"/>
          </w:tcPr>
          <w:p w14:paraId="6DD7F4FE"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0.71</w:t>
            </w:r>
          </w:p>
        </w:tc>
        <w:tc>
          <w:tcPr>
            <w:tcW w:w="1191" w:type="dxa"/>
          </w:tcPr>
          <w:p w14:paraId="10DE9E60"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−0.92</w:t>
            </w:r>
          </w:p>
        </w:tc>
        <w:tc>
          <w:tcPr>
            <w:tcW w:w="1191" w:type="dxa"/>
          </w:tcPr>
          <w:p w14:paraId="476E8425"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30.2 / 16.2</w:t>
            </w:r>
          </w:p>
        </w:tc>
      </w:tr>
      <w:tr w:rsidR="00F1197D" w:rsidRPr="00520EE2" w14:paraId="6C598F4F" w14:textId="77777777">
        <w:trPr>
          <w:cantSplit/>
          <w:jc w:val="center"/>
        </w:trPr>
        <w:tc>
          <w:tcPr>
            <w:tcW w:w="1928" w:type="dxa"/>
          </w:tcPr>
          <w:p w14:paraId="5323A62B"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Any new or worsened neurological deficit</w:t>
            </w:r>
          </w:p>
        </w:tc>
        <w:tc>
          <w:tcPr>
            <w:tcW w:w="1304" w:type="dxa"/>
          </w:tcPr>
          <w:p w14:paraId="19AA8E86"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Liverpool</w:t>
            </w:r>
          </w:p>
        </w:tc>
        <w:tc>
          <w:tcPr>
            <w:tcW w:w="454" w:type="dxa"/>
          </w:tcPr>
          <w:p w14:paraId="3F2A686C"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48</w:t>
            </w:r>
          </w:p>
        </w:tc>
        <w:tc>
          <w:tcPr>
            <w:tcW w:w="737" w:type="dxa"/>
          </w:tcPr>
          <w:p w14:paraId="58F4C47C"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20</w:t>
            </w:r>
          </w:p>
        </w:tc>
        <w:tc>
          <w:tcPr>
            <w:tcW w:w="1701" w:type="dxa"/>
          </w:tcPr>
          <w:p w14:paraId="4122AD4D"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0.834 (0.693–0.947)</w:t>
            </w:r>
          </w:p>
        </w:tc>
        <w:tc>
          <w:tcPr>
            <w:tcW w:w="1134" w:type="dxa"/>
          </w:tcPr>
          <w:p w14:paraId="6A5F3E28"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2.39</w:t>
            </w:r>
          </w:p>
        </w:tc>
        <w:tc>
          <w:tcPr>
            <w:tcW w:w="1191" w:type="dxa"/>
          </w:tcPr>
          <w:p w14:paraId="62E086E8"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0.53</w:t>
            </w:r>
          </w:p>
        </w:tc>
        <w:tc>
          <w:tcPr>
            <w:tcW w:w="1191" w:type="dxa"/>
          </w:tcPr>
          <w:p w14:paraId="5AA44E38"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30.6 / 41.7</w:t>
            </w:r>
          </w:p>
        </w:tc>
      </w:tr>
      <w:tr w:rsidR="00F1197D" w:rsidRPr="00520EE2" w14:paraId="74FE3103" w14:textId="77777777">
        <w:trPr>
          <w:cantSplit/>
          <w:jc w:val="center"/>
        </w:trPr>
        <w:tc>
          <w:tcPr>
            <w:tcW w:w="1928" w:type="dxa"/>
          </w:tcPr>
          <w:p w14:paraId="42DBC927"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Any new or worsened neurological deficit</w:t>
            </w:r>
          </w:p>
        </w:tc>
        <w:tc>
          <w:tcPr>
            <w:tcW w:w="1304" w:type="dxa"/>
          </w:tcPr>
          <w:p w14:paraId="04C0B5F6"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Pooled (random effects)</w:t>
            </w:r>
          </w:p>
        </w:tc>
        <w:tc>
          <w:tcPr>
            <w:tcW w:w="454" w:type="dxa"/>
          </w:tcPr>
          <w:p w14:paraId="70115B35"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231</w:t>
            </w:r>
          </w:p>
        </w:tc>
        <w:tc>
          <w:tcPr>
            <w:tcW w:w="737" w:type="dxa"/>
          </w:tcPr>
          <w:p w14:paraId="64E4ECF9"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68</w:t>
            </w:r>
          </w:p>
        </w:tc>
        <w:tc>
          <w:tcPr>
            <w:tcW w:w="1701" w:type="dxa"/>
          </w:tcPr>
          <w:p w14:paraId="3D63FBE0"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0.682 (0.522–0.807); τ² = 0.174</w:t>
            </w:r>
          </w:p>
        </w:tc>
        <w:tc>
          <w:tcPr>
            <w:tcW w:w="1134" w:type="dxa"/>
          </w:tcPr>
          <w:p w14:paraId="3FC29E09"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0.79</w:t>
            </w:r>
          </w:p>
        </w:tc>
        <w:tc>
          <w:tcPr>
            <w:tcW w:w="1191" w:type="dxa"/>
          </w:tcPr>
          <w:p w14:paraId="28359B0F"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−0.05</w:t>
            </w:r>
          </w:p>
        </w:tc>
        <w:tc>
          <w:tcPr>
            <w:tcW w:w="1191" w:type="dxa"/>
          </w:tcPr>
          <w:p w14:paraId="2B8A557C"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pooled-prediction AUC 0.666</w:t>
            </w:r>
          </w:p>
        </w:tc>
      </w:tr>
      <w:tr w:rsidR="00F1197D" w:rsidRPr="00520EE2" w14:paraId="56F59A33" w14:textId="77777777">
        <w:trPr>
          <w:cantSplit/>
          <w:jc w:val="center"/>
        </w:trPr>
        <w:tc>
          <w:tcPr>
            <w:tcW w:w="1928" w:type="dxa"/>
          </w:tcPr>
          <w:p w14:paraId="56AB3E6B"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Visual deterioration</w:t>
            </w:r>
          </w:p>
        </w:tc>
        <w:tc>
          <w:tcPr>
            <w:tcW w:w="1304" w:type="dxa"/>
          </w:tcPr>
          <w:p w14:paraId="02867228"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Bologna</w:t>
            </w:r>
          </w:p>
        </w:tc>
        <w:tc>
          <w:tcPr>
            <w:tcW w:w="454" w:type="dxa"/>
          </w:tcPr>
          <w:p w14:paraId="7AD60F7E"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115</w:t>
            </w:r>
          </w:p>
        </w:tc>
        <w:tc>
          <w:tcPr>
            <w:tcW w:w="737" w:type="dxa"/>
          </w:tcPr>
          <w:p w14:paraId="011D4001"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8</w:t>
            </w:r>
          </w:p>
        </w:tc>
        <w:tc>
          <w:tcPr>
            <w:tcW w:w="1701" w:type="dxa"/>
          </w:tcPr>
          <w:p w14:paraId="5A2D07B5"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0.454 (0.196–0.722)</w:t>
            </w:r>
          </w:p>
        </w:tc>
        <w:tc>
          <w:tcPr>
            <w:tcW w:w="1134" w:type="dxa"/>
          </w:tcPr>
          <w:p w14:paraId="0C8D7E14"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0.96</w:t>
            </w:r>
          </w:p>
        </w:tc>
        <w:tc>
          <w:tcPr>
            <w:tcW w:w="1191" w:type="dxa"/>
          </w:tcPr>
          <w:p w14:paraId="2B2A839C"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−0.34</w:t>
            </w:r>
          </w:p>
        </w:tc>
        <w:tc>
          <w:tcPr>
            <w:tcW w:w="1191" w:type="dxa"/>
          </w:tcPr>
          <w:p w14:paraId="1907AFF2"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9.5 / 7.0</w:t>
            </w:r>
          </w:p>
        </w:tc>
      </w:tr>
      <w:tr w:rsidR="00F1197D" w:rsidRPr="00520EE2" w14:paraId="460A12B9" w14:textId="77777777">
        <w:trPr>
          <w:cantSplit/>
          <w:jc w:val="center"/>
        </w:trPr>
        <w:tc>
          <w:tcPr>
            <w:tcW w:w="1928" w:type="dxa"/>
          </w:tcPr>
          <w:p w14:paraId="272974B7"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lastRenderedPageBreak/>
              <w:t>Visual deterioration</w:t>
            </w:r>
          </w:p>
        </w:tc>
        <w:tc>
          <w:tcPr>
            <w:tcW w:w="1304" w:type="dxa"/>
          </w:tcPr>
          <w:p w14:paraId="7C6F5051"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Cesena</w:t>
            </w:r>
          </w:p>
        </w:tc>
        <w:tc>
          <w:tcPr>
            <w:tcW w:w="454" w:type="dxa"/>
          </w:tcPr>
          <w:p w14:paraId="55692A56"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68</w:t>
            </w:r>
          </w:p>
        </w:tc>
        <w:tc>
          <w:tcPr>
            <w:tcW w:w="737" w:type="dxa"/>
          </w:tcPr>
          <w:p w14:paraId="3E8A0946"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6</w:t>
            </w:r>
          </w:p>
        </w:tc>
        <w:tc>
          <w:tcPr>
            <w:tcW w:w="1701" w:type="dxa"/>
          </w:tcPr>
          <w:p w14:paraId="509288B6"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0.462 (0.242–0.704)</w:t>
            </w:r>
          </w:p>
        </w:tc>
        <w:tc>
          <w:tcPr>
            <w:tcW w:w="1134" w:type="dxa"/>
          </w:tcPr>
          <w:p w14:paraId="2093967F"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0.82</w:t>
            </w:r>
          </w:p>
        </w:tc>
        <w:tc>
          <w:tcPr>
            <w:tcW w:w="1191" w:type="dxa"/>
          </w:tcPr>
          <w:p w14:paraId="59013A96"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0.12</w:t>
            </w:r>
          </w:p>
        </w:tc>
        <w:tc>
          <w:tcPr>
            <w:tcW w:w="1191" w:type="dxa"/>
          </w:tcPr>
          <w:p w14:paraId="1F316C07"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7.9 / 8.8</w:t>
            </w:r>
          </w:p>
        </w:tc>
      </w:tr>
      <w:tr w:rsidR="00F1197D" w:rsidRPr="00520EE2" w14:paraId="34BF5F2B" w14:textId="77777777">
        <w:trPr>
          <w:cantSplit/>
          <w:jc w:val="center"/>
        </w:trPr>
        <w:tc>
          <w:tcPr>
            <w:tcW w:w="1928" w:type="dxa"/>
          </w:tcPr>
          <w:p w14:paraId="0B7D164E"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Visual deterioration</w:t>
            </w:r>
          </w:p>
        </w:tc>
        <w:tc>
          <w:tcPr>
            <w:tcW w:w="1304" w:type="dxa"/>
          </w:tcPr>
          <w:p w14:paraId="58CD72AB"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Liverpool</w:t>
            </w:r>
          </w:p>
        </w:tc>
        <w:tc>
          <w:tcPr>
            <w:tcW w:w="454" w:type="dxa"/>
          </w:tcPr>
          <w:p w14:paraId="5CB4FD22"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48</w:t>
            </w:r>
          </w:p>
        </w:tc>
        <w:tc>
          <w:tcPr>
            <w:tcW w:w="737" w:type="dxa"/>
          </w:tcPr>
          <w:p w14:paraId="265FFA96"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5</w:t>
            </w:r>
          </w:p>
        </w:tc>
        <w:tc>
          <w:tcPr>
            <w:tcW w:w="1701" w:type="dxa"/>
          </w:tcPr>
          <w:p w14:paraId="4B1D2249"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0.581 (0.284–0.932)</w:t>
            </w:r>
          </w:p>
        </w:tc>
        <w:tc>
          <w:tcPr>
            <w:tcW w:w="1134" w:type="dxa"/>
          </w:tcPr>
          <w:p w14:paraId="37B92389"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0.74</w:t>
            </w:r>
          </w:p>
        </w:tc>
        <w:tc>
          <w:tcPr>
            <w:tcW w:w="1191" w:type="dxa"/>
          </w:tcPr>
          <w:p w14:paraId="54951084"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0.34</w:t>
            </w:r>
          </w:p>
        </w:tc>
        <w:tc>
          <w:tcPr>
            <w:tcW w:w="1191" w:type="dxa"/>
          </w:tcPr>
          <w:p w14:paraId="75A7784F"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7.7 / 10.4</w:t>
            </w:r>
          </w:p>
        </w:tc>
      </w:tr>
      <w:tr w:rsidR="00F1197D" w:rsidRPr="00520EE2" w14:paraId="27ACCD6F" w14:textId="77777777">
        <w:trPr>
          <w:cantSplit/>
          <w:jc w:val="center"/>
        </w:trPr>
        <w:tc>
          <w:tcPr>
            <w:tcW w:w="1928" w:type="dxa"/>
          </w:tcPr>
          <w:p w14:paraId="2CB2C0D3"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Visual deterioration</w:t>
            </w:r>
          </w:p>
        </w:tc>
        <w:tc>
          <w:tcPr>
            <w:tcW w:w="1304" w:type="dxa"/>
          </w:tcPr>
          <w:p w14:paraId="609C2E13"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Pooled (random effects)</w:t>
            </w:r>
          </w:p>
        </w:tc>
        <w:tc>
          <w:tcPr>
            <w:tcW w:w="454" w:type="dxa"/>
          </w:tcPr>
          <w:p w14:paraId="62A07D6B"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231</w:t>
            </w:r>
          </w:p>
        </w:tc>
        <w:tc>
          <w:tcPr>
            <w:tcW w:w="737" w:type="dxa"/>
          </w:tcPr>
          <w:p w14:paraId="41F86F00"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19</w:t>
            </w:r>
          </w:p>
        </w:tc>
        <w:tc>
          <w:tcPr>
            <w:tcW w:w="1701" w:type="dxa"/>
          </w:tcPr>
          <w:p w14:paraId="72C739E0"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0.478 (0.312–0.649); τ² = 0.000</w:t>
            </w:r>
          </w:p>
        </w:tc>
        <w:tc>
          <w:tcPr>
            <w:tcW w:w="1134" w:type="dxa"/>
          </w:tcPr>
          <w:p w14:paraId="60042F46"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−1.64</w:t>
            </w:r>
          </w:p>
        </w:tc>
        <w:tc>
          <w:tcPr>
            <w:tcW w:w="1191" w:type="dxa"/>
          </w:tcPr>
          <w:p w14:paraId="1B9675A9"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−0.06</w:t>
            </w:r>
          </w:p>
        </w:tc>
        <w:tc>
          <w:tcPr>
            <w:tcW w:w="1191" w:type="dxa"/>
          </w:tcPr>
          <w:p w14:paraId="762C9714"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5"/>
              </w:rPr>
              <w:t xml:space="preserve">pooled-prediction AUC 0.443</w:t>
            </w:r>
          </w:p>
        </w:tc>
      </w:tr>
    </w:tbl>
    <w:p w14:paraId="2B51D5D8" w14:textId="77777777" w:rsidR="00F1197D" w:rsidRPr="00520EE2" w:rsidRDefault="00000000" w:rsidP="00520EE2">
      <w:pPr>
        <w:jc w:val="both"/>
        <w:rPr>
          <w:rFonts w:asciiTheme="majorBidi" w:hAnsiTheme="majorBidi" w:cstheme="majorBidi"/>
        </w:rPr>
      </w:pPr>
      <w:r>
        <w:rPr>
          <w:rFonts w:asciiTheme="majorBidi" w:hAnsiTheme="majorBidi" w:cstheme="majorBidi"/>
          <w:sz w:val="17"/>
        </w:rPr>
        <w:t xml:space="preserve">Calibration slope and calibration-in-the-large are computed in the held-out center (pooled row: on all held-out predictions). Motor deficit had three events in Cesena; that center contributes held-out predictions to the pooled-prediction AUC but no per-center estimate. Cognitive decline, which was not recorded in Cesena, is reported in Table S15.</w:t>
      </w:r>
    </w:p>
    <w:p w14:paraId="7D8593FC" w14:textId="77777777" w:rsidR="00034373" w:rsidRDefault="00000000">
      <w:pPr>
        <w:keepNext/>
        <w:jc w:val="both"/>
        <w:rPr>
          <w:rFonts w:asciiTheme="majorBidi" w:hAnsiTheme="majorBidi" w:cstheme="majorBidi"/>
        </w:rPr>
      </w:pPr>
      <w:r>
        <w:br w:type="page"/>
      </w:r>
      <w:r>
        <w:rPr>
          <w:noProof/>
        </w:rPr>
        <w:drawing>
          <wp:inline distT="0" distB="0" distL="0" distR="0" wp14:anchorId="43A821F5" wp14:editId="242B812F">
            <wp:extent cx="5760000" cy="6516788"/>
            <wp:effectExtent l="0" t="0" r="0" b="0"/>
            <wp:docPr id="902" name="Picture 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S2_300.png"/>
                    <pic:cNvPicPr/>
                  </pic:nvPicPr>
                  <pic:blipFill>
                    <a:blip r:embed="rId17"/>
                    <a:stretch>
                      <a:fillRect/>
                    </a:stretch>
                  </pic:blipFill>
                  <pic:spPr>
                    <a:xfrm>
                      <a:off x="0" y="0"/>
                      <a:ext cx="5760000" cy="6516788"/>
                    </a:xfrm>
                    <a:prstGeom prst="rect">
                      <a:avLst/>
                    </a:prstGeom>
                  </pic:spPr>
                </pic:pic>
              </a:graphicData>
            </a:graphic>
          </wp:inline>
        </w:drawing>
      </w:r>
    </w:p>
    <w:p w14:paraId="088B268F" w14:textId="77777777" w:rsidR="00034373" w:rsidRDefault="00000000">
      <w:pPr>
        <w:spacing w:before="200"/>
        <w:jc w:val="both"/>
        <w:rPr>
          <w:rFonts w:asciiTheme="majorBidi" w:hAnsiTheme="majorBidi" w:cstheme="majorBidi"/>
        </w:rPr>
      </w:pPr>
      <w:r>
        <w:rPr>
          <w:rFonts w:asciiTheme="majorBidi" w:hAnsiTheme="majorBidi" w:cstheme="majorBidi"/>
          <w:b/>
        </w:rPr>
        <w:t xml:space="preserve">Fig. S2</w:t>
      </w:r>
      <w:r>
        <w:rPr>
          <w:rFonts w:asciiTheme="majorBidi" w:hAnsiTheme="majorBidi" w:cstheme="majorBidi"/>
          <w:sz w:val="18"/>
        </w:rPr>
        <w:t xml:space="preserve"> Internal–external cross-validation by center and endpoint decomposition. a, Held-out areas under the curve from internal–external cross-validation: each center was withheld in turn, and the model was refitted on the remaining centers, with per-center estimates and DerSimonian–Laird random-effects pooled estimates (diamonds) for each candidate endpoint; horizontal bars are 95% percentile bootstrap confidence intervals (1,000 replicates; the Liverpool intervals in Figs. 2 and 3 and in the main text use 2,000, hence differences in the third decimal) and the dashed line marks chance. The Cesena cohort contributed three motor events and was not evaluable for that endpoint. b, Ridge-penalized standardized odds ratios per 1-SD increase for the medical and surgical endpoints on a logarithmic scale; the dashed line marks unity. Estimates are penalized and therefore shrunk toward 1; confidence intervals are not shown because penalized coefficients have no valid closed-form standard errors. AUC, area under the receiver operating characteristic curve; KPS, Karnofsky Performance Status.</w:t>
      </w:r>
    </w:p>
    <w:p w14:paraId="5D52E0BD" w14:textId="77777777" w:rsidR="00F1197D" w:rsidRPr="00520EE2" w:rsidRDefault="00000000" w:rsidP="00520EE2">
      <w:pPr>
        <w:keepNext/>
        <w:spacing w:before="280"/>
        <w:jc w:val="both"/>
        <w:rPr>
          <w:rFonts w:asciiTheme="majorBidi" w:hAnsiTheme="majorBidi" w:cstheme="majorBidi"/>
        </w:rPr>
      </w:pPr>
      <w:r>
        <w:rPr>
          <w:rFonts w:asciiTheme="majorBidi" w:hAnsiTheme="majorBidi" w:cstheme="majorBidi"/>
          <w:b/>
          <w:sz w:val="24"/>
        </w:rPr>
        <w:lastRenderedPageBreak/>
        <w:t>Threshold and decision-curve analysis</w:t>
      </w:r>
    </w:p>
    <w:p w14:paraId="4F84939E" w14:textId="77777777" w:rsidR="00F1197D" w:rsidRPr="00520EE2" w:rsidRDefault="00000000" w:rsidP="00520EE2">
      <w:pPr>
        <w:spacing w:after="120"/>
        <w:jc w:val="both"/>
        <w:rPr>
          <w:rFonts w:asciiTheme="majorBidi" w:hAnsiTheme="majorBidi" w:cstheme="majorBidi"/>
        </w:rPr>
      </w:pPr>
      <w:r>
        <w:rPr>
          <w:rFonts w:asciiTheme="majorBidi" w:hAnsiTheme="majorBidi" w:cstheme="majorBidi"/>
        </w:rPr>
        <w:t xml:space="preserve">Operating characteristics were computed from the held-out predictions of the internal–external cross-validation (every patient predicted by a model that had not seen his or her center), which use all 231 patients and 36 medical (30 motor) events and are therefore more stable than the 48-patient geographical split. Net benefit is (true positives − false positives × threshold/(1 − threshold))/n; the model is useful at a given threshold when its net benefit exceeds both the treat-all and the treat-none (0) strategies.</w:t>
      </w:r>
    </w:p>
    <w:p w14:paraId="2C1FEFE3" w14:textId="77777777" w:rsidR="00F1197D" w:rsidRPr="00520EE2" w:rsidRDefault="00000000" w:rsidP="00520EE2">
      <w:pPr>
        <w:keepNext/>
        <w:spacing w:before="200"/>
        <w:jc w:val="both"/>
        <w:rPr>
          <w:rFonts w:asciiTheme="majorBidi" w:hAnsiTheme="majorBidi" w:cstheme="majorBidi"/>
        </w:rPr>
      </w:pPr>
      <w:r>
        <w:rPr>
          <w:rFonts w:asciiTheme="majorBidi" w:hAnsiTheme="majorBidi" w:cstheme="majorBidi"/>
          <w:b/>
        </w:rPr>
        <w:t xml:space="preserve">Table S11</w:t>
      </w:r>
      <w:r>
        <w:rPr>
          <w:rFonts w:asciiTheme="majorBidi" w:hAnsiTheme="majorBidi" w:cstheme="majorBidi"/>
        </w:rPr>
        <w:t xml:space="preserve"> Operating characteristics and net benefit of the held-out predictions across probability thresholds</w:t>
      </w:r>
    </w:p>
    <w:tbl>
      <w:tblPr>
        <w:tblW w:w="0" w:type="auto"/>
        <w:jc w:val="center"/>
        <w:tblBorders>
          <w:top w:val="single" w:sz="4" w:space="0" w:color="808080"/>
          <w:left w:val="nil"/>
          <w:bottom w:val="single" w:sz="4" w:space="0" w:color="808080"/>
          <w:right w:val="nil"/>
          <w:insideH w:val="single" w:sz="4" w:space="0" w:color="808080"/>
          <w:insideV w:val="nil"/>
        </w:tblBorders>
        <w:tblLayout w:type="fixed"/>
        <w:tblLook w:val="04A0" w:firstRow="1" w:lastRow="0" w:firstColumn="1" w:lastColumn="0" w:noHBand="0" w:noVBand="1"/>
      </w:tblPr>
      <w:tblGrid>
        <w:gridCol w:w="1531"/>
        <w:gridCol w:w="1077"/>
        <w:gridCol w:w="1191"/>
        <w:gridCol w:w="1191"/>
        <w:gridCol w:w="850"/>
        <w:gridCol w:w="850"/>
        <w:gridCol w:w="907"/>
        <w:gridCol w:w="1020"/>
        <w:gridCol w:w="1020"/>
      </w:tblGrid>
      <w:tr w:rsidR="00F1197D" w:rsidRPr="00520EE2" w14:paraId="32818EFE" w14:textId="77777777">
        <w:trPr>
          <w:cantSplit/>
          <w:tblHeader/>
          <w:jc w:val="center"/>
        </w:trPr>
        <w:tc>
          <w:tcPr>
            <w:tcW w:w="1531" w:type="dxa"/>
          </w:tcPr>
          <w:p w14:paraId="6042A8FC"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b/>
                <w:sz w:val="16"/>
              </w:rPr>
              <w:t xml:space="preserve">Model</w:t>
            </w:r>
          </w:p>
        </w:tc>
        <w:tc>
          <w:tcPr>
            <w:tcW w:w="1077" w:type="dxa"/>
          </w:tcPr>
          <w:p w14:paraId="7859BD5C"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b/>
                <w:sz w:val="16"/>
              </w:rPr>
              <w:t xml:space="preserve">Threshold (%)</w:t>
            </w:r>
          </w:p>
        </w:tc>
        <w:tc>
          <w:tcPr>
            <w:tcW w:w="1191" w:type="dxa"/>
          </w:tcPr>
          <w:p w14:paraId="25C26F41"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b/>
                <w:sz w:val="16"/>
              </w:rPr>
              <w:t xml:space="preserve">Sensitivity (%)</w:t>
            </w:r>
          </w:p>
        </w:tc>
        <w:tc>
          <w:tcPr>
            <w:tcW w:w="1191" w:type="dxa"/>
          </w:tcPr>
          <w:p w14:paraId="2F32DB9E"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b/>
                <w:sz w:val="16"/>
              </w:rPr>
              <w:t xml:space="preserve">Specificity (%)</w:t>
            </w:r>
          </w:p>
        </w:tc>
        <w:tc>
          <w:tcPr>
            <w:tcW w:w="850" w:type="dxa"/>
          </w:tcPr>
          <w:p w14:paraId="4D200F6B"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b/>
                <w:sz w:val="16"/>
              </w:rPr>
              <w:t xml:space="preserve">PPV (%)</w:t>
            </w:r>
          </w:p>
        </w:tc>
        <w:tc>
          <w:tcPr>
            <w:tcW w:w="850" w:type="dxa"/>
          </w:tcPr>
          <w:p w14:paraId="61FC5F99"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b/>
                <w:sz w:val="16"/>
              </w:rPr>
              <w:t xml:space="preserve">NPV (%)</w:t>
            </w:r>
          </w:p>
        </w:tc>
        <w:tc>
          <w:tcPr>
            <w:tcW w:w="907" w:type="dxa"/>
          </w:tcPr>
          <w:p w14:paraId="29EC67B8"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b/>
                <w:sz w:val="16"/>
              </w:rPr>
              <w:t xml:space="preserve">Flagged (%)</w:t>
            </w:r>
          </w:p>
        </w:tc>
        <w:tc>
          <w:tcPr>
            <w:tcW w:w="1020" w:type="dxa"/>
          </w:tcPr>
          <w:p w14:paraId="6D53D056"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b/>
                <w:sz w:val="16"/>
              </w:rPr>
              <w:t xml:space="preserve">Net benefit, model</w:t>
            </w:r>
          </w:p>
        </w:tc>
        <w:tc>
          <w:tcPr>
            <w:tcW w:w="1020" w:type="dxa"/>
          </w:tcPr>
          <w:p w14:paraId="436C72EC"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b/>
                <w:sz w:val="16"/>
              </w:rPr>
              <w:t xml:space="preserve">Net benefit, treat all</w:t>
            </w:r>
          </w:p>
        </w:tc>
      </w:tr>
      <w:tr w:rsidR="00F1197D" w:rsidRPr="00520EE2" w14:paraId="731D2296" w14:textId="77777777">
        <w:trPr>
          <w:cantSplit/>
          <w:jc w:val="center"/>
        </w:trPr>
        <w:tc>
          <w:tcPr>
            <w:tcW w:w="1531" w:type="dxa"/>
          </w:tcPr>
          <w:p w14:paraId="2F577626"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Medical complication</w:t>
            </w:r>
          </w:p>
        </w:tc>
        <w:tc>
          <w:tcPr>
            <w:tcW w:w="1077" w:type="dxa"/>
          </w:tcPr>
          <w:p w14:paraId="495C5B68"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5</w:t>
            </w:r>
          </w:p>
        </w:tc>
        <w:tc>
          <w:tcPr>
            <w:tcW w:w="1191" w:type="dxa"/>
          </w:tcPr>
          <w:p w14:paraId="772B892F"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97.2</w:t>
            </w:r>
          </w:p>
        </w:tc>
        <w:tc>
          <w:tcPr>
            <w:tcW w:w="1191" w:type="dxa"/>
          </w:tcPr>
          <w:p w14:paraId="5C3AB932"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19.5</w:t>
            </w:r>
          </w:p>
        </w:tc>
        <w:tc>
          <w:tcPr>
            <w:tcW w:w="850" w:type="dxa"/>
          </w:tcPr>
          <w:p w14:paraId="53DFAD5F"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18.2</w:t>
            </w:r>
          </w:p>
        </w:tc>
        <w:tc>
          <w:tcPr>
            <w:tcW w:w="850" w:type="dxa"/>
          </w:tcPr>
          <w:p w14:paraId="470AF92B"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97.4</w:t>
            </w:r>
          </w:p>
        </w:tc>
        <w:tc>
          <w:tcPr>
            <w:tcW w:w="907" w:type="dxa"/>
          </w:tcPr>
          <w:p w14:paraId="0B05B06E"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83.1</w:t>
            </w:r>
          </w:p>
        </w:tc>
        <w:tc>
          <w:tcPr>
            <w:tcW w:w="1020" w:type="dxa"/>
          </w:tcPr>
          <w:p w14:paraId="744E1C36"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0.116</w:t>
            </w:r>
          </w:p>
        </w:tc>
        <w:tc>
          <w:tcPr>
            <w:tcW w:w="1020" w:type="dxa"/>
          </w:tcPr>
          <w:p w14:paraId="739D42EB"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0.111</w:t>
            </w:r>
          </w:p>
        </w:tc>
      </w:tr>
      <w:tr w:rsidR="00F1197D" w:rsidRPr="00520EE2" w14:paraId="32749515" w14:textId="77777777">
        <w:trPr>
          <w:cantSplit/>
          <w:jc w:val="center"/>
        </w:trPr>
        <w:tc>
          <w:tcPr>
            <w:tcW w:w="1531" w:type="dxa"/>
          </w:tcPr>
          <w:p w14:paraId="3FC4C004"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Medical complication</w:t>
            </w:r>
          </w:p>
        </w:tc>
        <w:tc>
          <w:tcPr>
            <w:tcW w:w="1077" w:type="dxa"/>
          </w:tcPr>
          <w:p w14:paraId="7A07261A"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10</w:t>
            </w:r>
          </w:p>
        </w:tc>
        <w:tc>
          <w:tcPr>
            <w:tcW w:w="1191" w:type="dxa"/>
          </w:tcPr>
          <w:p w14:paraId="7F4DACAD"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77.8</w:t>
            </w:r>
          </w:p>
        </w:tc>
        <w:tc>
          <w:tcPr>
            <w:tcW w:w="1191" w:type="dxa"/>
          </w:tcPr>
          <w:p w14:paraId="61E66501"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50.3</w:t>
            </w:r>
          </w:p>
        </w:tc>
        <w:tc>
          <w:tcPr>
            <w:tcW w:w="850" w:type="dxa"/>
          </w:tcPr>
          <w:p w14:paraId="5EBDB074"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22.4</w:t>
            </w:r>
          </w:p>
        </w:tc>
        <w:tc>
          <w:tcPr>
            <w:tcW w:w="850" w:type="dxa"/>
          </w:tcPr>
          <w:p w14:paraId="2E272ADB"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92.5</w:t>
            </w:r>
          </w:p>
        </w:tc>
        <w:tc>
          <w:tcPr>
            <w:tcW w:w="907" w:type="dxa"/>
          </w:tcPr>
          <w:p w14:paraId="2FA3EFCC"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54.1</w:t>
            </w:r>
          </w:p>
        </w:tc>
        <w:tc>
          <w:tcPr>
            <w:tcW w:w="1020" w:type="dxa"/>
          </w:tcPr>
          <w:p w14:paraId="3F332F97"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0.075</w:t>
            </w:r>
          </w:p>
        </w:tc>
        <w:tc>
          <w:tcPr>
            <w:tcW w:w="1020" w:type="dxa"/>
          </w:tcPr>
          <w:p w14:paraId="29B57C76"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0.062</w:t>
            </w:r>
          </w:p>
        </w:tc>
      </w:tr>
      <w:tr w:rsidR="00F1197D" w:rsidRPr="00520EE2" w14:paraId="2A14D51B" w14:textId="77777777">
        <w:trPr>
          <w:cantSplit/>
          <w:jc w:val="center"/>
        </w:trPr>
        <w:tc>
          <w:tcPr>
            <w:tcW w:w="1531" w:type="dxa"/>
          </w:tcPr>
          <w:p w14:paraId="3D8814C8"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Medical complication</w:t>
            </w:r>
          </w:p>
        </w:tc>
        <w:tc>
          <w:tcPr>
            <w:tcW w:w="1077" w:type="dxa"/>
          </w:tcPr>
          <w:p w14:paraId="28920171"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15</w:t>
            </w:r>
          </w:p>
        </w:tc>
        <w:tc>
          <w:tcPr>
            <w:tcW w:w="1191" w:type="dxa"/>
          </w:tcPr>
          <w:p w14:paraId="044E1C27"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66.7</w:t>
            </w:r>
          </w:p>
        </w:tc>
        <w:tc>
          <w:tcPr>
            <w:tcW w:w="1191" w:type="dxa"/>
          </w:tcPr>
          <w:p w14:paraId="439ABE50"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69.2</w:t>
            </w:r>
          </w:p>
        </w:tc>
        <w:tc>
          <w:tcPr>
            <w:tcW w:w="850" w:type="dxa"/>
          </w:tcPr>
          <w:p w14:paraId="2283DB1B"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28.6</w:t>
            </w:r>
          </w:p>
        </w:tc>
        <w:tc>
          <w:tcPr>
            <w:tcW w:w="850" w:type="dxa"/>
          </w:tcPr>
          <w:p w14:paraId="37795EB2"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91.8</w:t>
            </w:r>
          </w:p>
        </w:tc>
        <w:tc>
          <w:tcPr>
            <w:tcW w:w="907" w:type="dxa"/>
          </w:tcPr>
          <w:p w14:paraId="46329BDE"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36.4</w:t>
            </w:r>
          </w:p>
        </w:tc>
        <w:tc>
          <w:tcPr>
            <w:tcW w:w="1020" w:type="dxa"/>
          </w:tcPr>
          <w:p w14:paraId="1E927F3F"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0.058</w:t>
            </w:r>
          </w:p>
        </w:tc>
        <w:tc>
          <w:tcPr>
            <w:tcW w:w="1020" w:type="dxa"/>
          </w:tcPr>
          <w:p w14:paraId="7528676E"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0.007</w:t>
            </w:r>
          </w:p>
        </w:tc>
      </w:tr>
      <w:tr w:rsidR="00F1197D" w:rsidRPr="00520EE2" w14:paraId="44829879" w14:textId="77777777">
        <w:trPr>
          <w:cantSplit/>
          <w:jc w:val="center"/>
        </w:trPr>
        <w:tc>
          <w:tcPr>
            <w:tcW w:w="1531" w:type="dxa"/>
          </w:tcPr>
          <w:p w14:paraId="7C404718"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Medical complication</w:t>
            </w:r>
          </w:p>
        </w:tc>
        <w:tc>
          <w:tcPr>
            <w:tcW w:w="1077" w:type="dxa"/>
          </w:tcPr>
          <w:p w14:paraId="48F45F33"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20</w:t>
            </w:r>
          </w:p>
        </w:tc>
        <w:tc>
          <w:tcPr>
            <w:tcW w:w="1191" w:type="dxa"/>
          </w:tcPr>
          <w:p w14:paraId="61F50E8D"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47.2</w:t>
            </w:r>
          </w:p>
        </w:tc>
        <w:tc>
          <w:tcPr>
            <w:tcW w:w="1191" w:type="dxa"/>
          </w:tcPr>
          <w:p w14:paraId="113C2E10"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83.1</w:t>
            </w:r>
          </w:p>
        </w:tc>
        <w:tc>
          <w:tcPr>
            <w:tcW w:w="850" w:type="dxa"/>
          </w:tcPr>
          <w:p w14:paraId="4CBFD26F"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34.0</w:t>
            </w:r>
          </w:p>
        </w:tc>
        <w:tc>
          <w:tcPr>
            <w:tcW w:w="850" w:type="dxa"/>
          </w:tcPr>
          <w:p w14:paraId="75F8D61F"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89.5</w:t>
            </w:r>
          </w:p>
        </w:tc>
        <w:tc>
          <w:tcPr>
            <w:tcW w:w="907" w:type="dxa"/>
          </w:tcPr>
          <w:p w14:paraId="663B4F62"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21.6</w:t>
            </w:r>
          </w:p>
        </w:tc>
        <w:tc>
          <w:tcPr>
            <w:tcW w:w="1020" w:type="dxa"/>
          </w:tcPr>
          <w:p w14:paraId="0C6140A4"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0.038</w:t>
            </w:r>
          </w:p>
        </w:tc>
        <w:tc>
          <w:tcPr>
            <w:tcW w:w="1020" w:type="dxa"/>
          </w:tcPr>
          <w:p w14:paraId="09F9857C"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−0.055</w:t>
            </w:r>
          </w:p>
        </w:tc>
      </w:tr>
      <w:tr w:rsidR="00F1197D" w:rsidRPr="00520EE2" w14:paraId="3AAF96B6" w14:textId="77777777">
        <w:trPr>
          <w:cantSplit/>
          <w:jc w:val="center"/>
        </w:trPr>
        <w:tc>
          <w:tcPr>
            <w:tcW w:w="1531" w:type="dxa"/>
          </w:tcPr>
          <w:p w14:paraId="61203D29"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Medical complication</w:t>
            </w:r>
          </w:p>
        </w:tc>
        <w:tc>
          <w:tcPr>
            <w:tcW w:w="1077" w:type="dxa"/>
          </w:tcPr>
          <w:p w14:paraId="2CD73A9E"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30</w:t>
            </w:r>
          </w:p>
        </w:tc>
        <w:tc>
          <w:tcPr>
            <w:tcW w:w="1191" w:type="dxa"/>
          </w:tcPr>
          <w:p w14:paraId="57F08861"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30.6</w:t>
            </w:r>
          </w:p>
        </w:tc>
        <w:tc>
          <w:tcPr>
            <w:tcW w:w="1191" w:type="dxa"/>
          </w:tcPr>
          <w:p w14:paraId="41ACC7EE"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91.3</w:t>
            </w:r>
          </w:p>
        </w:tc>
        <w:tc>
          <w:tcPr>
            <w:tcW w:w="850" w:type="dxa"/>
          </w:tcPr>
          <w:p w14:paraId="1C7ED55F"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39.3</w:t>
            </w:r>
          </w:p>
        </w:tc>
        <w:tc>
          <w:tcPr>
            <w:tcW w:w="850" w:type="dxa"/>
          </w:tcPr>
          <w:p w14:paraId="48CC642B"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87.7</w:t>
            </w:r>
          </w:p>
        </w:tc>
        <w:tc>
          <w:tcPr>
            <w:tcW w:w="907" w:type="dxa"/>
          </w:tcPr>
          <w:p w14:paraId="642BAA79"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12.1</w:t>
            </w:r>
          </w:p>
        </w:tc>
        <w:tc>
          <w:tcPr>
            <w:tcW w:w="1020" w:type="dxa"/>
          </w:tcPr>
          <w:p w14:paraId="7A37D086"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0.016</w:t>
            </w:r>
          </w:p>
        </w:tc>
        <w:tc>
          <w:tcPr>
            <w:tcW w:w="1020" w:type="dxa"/>
          </w:tcPr>
          <w:p w14:paraId="4A47AC73"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−0.206</w:t>
            </w:r>
          </w:p>
        </w:tc>
      </w:tr>
      <w:tr w:rsidR="00F1197D" w:rsidRPr="00520EE2" w14:paraId="3262500F" w14:textId="77777777">
        <w:trPr>
          <w:cantSplit/>
          <w:jc w:val="center"/>
        </w:trPr>
        <w:tc>
          <w:tcPr>
            <w:tcW w:w="1531" w:type="dxa"/>
          </w:tcPr>
          <w:p w14:paraId="7D35A346"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Medical complication</w:t>
            </w:r>
          </w:p>
        </w:tc>
        <w:tc>
          <w:tcPr>
            <w:tcW w:w="1077" w:type="dxa"/>
          </w:tcPr>
          <w:p w14:paraId="0DC5A87F"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40</w:t>
            </w:r>
          </w:p>
        </w:tc>
        <w:tc>
          <w:tcPr>
            <w:tcW w:w="1191" w:type="dxa"/>
          </w:tcPr>
          <w:p w14:paraId="72DDD18C"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22.2</w:t>
            </w:r>
          </w:p>
        </w:tc>
        <w:tc>
          <w:tcPr>
            <w:tcW w:w="1191" w:type="dxa"/>
          </w:tcPr>
          <w:p w14:paraId="42BCD7A7"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96.4</w:t>
            </w:r>
          </w:p>
        </w:tc>
        <w:tc>
          <w:tcPr>
            <w:tcW w:w="850" w:type="dxa"/>
          </w:tcPr>
          <w:p w14:paraId="61A9FBCE"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53.3</w:t>
            </w:r>
          </w:p>
        </w:tc>
        <w:tc>
          <w:tcPr>
            <w:tcW w:w="850" w:type="dxa"/>
          </w:tcPr>
          <w:p w14:paraId="512DFB61"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87.0</w:t>
            </w:r>
          </w:p>
        </w:tc>
        <w:tc>
          <w:tcPr>
            <w:tcW w:w="907" w:type="dxa"/>
          </w:tcPr>
          <w:p w14:paraId="6C11A781"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6.5</w:t>
            </w:r>
          </w:p>
        </w:tc>
        <w:tc>
          <w:tcPr>
            <w:tcW w:w="1020" w:type="dxa"/>
          </w:tcPr>
          <w:p w14:paraId="7C53F5F2"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0.014</w:t>
            </w:r>
          </w:p>
        </w:tc>
        <w:tc>
          <w:tcPr>
            <w:tcW w:w="1020" w:type="dxa"/>
          </w:tcPr>
          <w:p w14:paraId="3C0F4F4F"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−0.407</w:t>
            </w:r>
          </w:p>
        </w:tc>
      </w:tr>
      <w:tr w:rsidR="00F1197D" w:rsidRPr="00520EE2" w14:paraId="690B9ED4" w14:textId="77777777">
        <w:trPr>
          <w:cantSplit/>
          <w:jc w:val="center"/>
        </w:trPr>
        <w:tc>
          <w:tcPr>
            <w:tcW w:w="1531" w:type="dxa"/>
          </w:tcPr>
          <w:p w14:paraId="00A6186F"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New or worsened motor deficit</w:t>
            </w:r>
          </w:p>
        </w:tc>
        <w:tc>
          <w:tcPr>
            <w:tcW w:w="1077" w:type="dxa"/>
          </w:tcPr>
          <w:p w14:paraId="7F040AA6"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5</w:t>
            </w:r>
          </w:p>
        </w:tc>
        <w:tc>
          <w:tcPr>
            <w:tcW w:w="1191" w:type="dxa"/>
          </w:tcPr>
          <w:p w14:paraId="59198893"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96.7</w:t>
            </w:r>
          </w:p>
        </w:tc>
        <w:tc>
          <w:tcPr>
            <w:tcW w:w="1191" w:type="dxa"/>
          </w:tcPr>
          <w:p w14:paraId="439967F6"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13.9</w:t>
            </w:r>
          </w:p>
        </w:tc>
        <w:tc>
          <w:tcPr>
            <w:tcW w:w="850" w:type="dxa"/>
          </w:tcPr>
          <w:p w14:paraId="6F362C2B"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14.4</w:t>
            </w:r>
          </w:p>
        </w:tc>
        <w:tc>
          <w:tcPr>
            <w:tcW w:w="850" w:type="dxa"/>
          </w:tcPr>
          <w:p w14:paraId="0C496BBB"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96.6</w:t>
            </w:r>
          </w:p>
        </w:tc>
        <w:tc>
          <w:tcPr>
            <w:tcW w:w="907" w:type="dxa"/>
          </w:tcPr>
          <w:p w14:paraId="77B68D04"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87.4</w:t>
            </w:r>
          </w:p>
        </w:tc>
        <w:tc>
          <w:tcPr>
            <w:tcW w:w="1020" w:type="dxa"/>
          </w:tcPr>
          <w:p w14:paraId="314CD97A"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0.086</w:t>
            </w:r>
          </w:p>
        </w:tc>
        <w:tc>
          <w:tcPr>
            <w:tcW w:w="1020" w:type="dxa"/>
          </w:tcPr>
          <w:p w14:paraId="6C3FDCEF"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0.084</w:t>
            </w:r>
          </w:p>
        </w:tc>
      </w:tr>
      <w:tr w:rsidR="00F1197D" w:rsidRPr="00520EE2" w14:paraId="24D5319B" w14:textId="77777777">
        <w:trPr>
          <w:cantSplit/>
          <w:jc w:val="center"/>
        </w:trPr>
        <w:tc>
          <w:tcPr>
            <w:tcW w:w="1531" w:type="dxa"/>
          </w:tcPr>
          <w:p w14:paraId="7DD91B54"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New or worsened motor deficit</w:t>
            </w:r>
          </w:p>
        </w:tc>
        <w:tc>
          <w:tcPr>
            <w:tcW w:w="1077" w:type="dxa"/>
          </w:tcPr>
          <w:p w14:paraId="0CFA7070"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10</w:t>
            </w:r>
          </w:p>
        </w:tc>
        <w:tc>
          <w:tcPr>
            <w:tcW w:w="1191" w:type="dxa"/>
          </w:tcPr>
          <w:p w14:paraId="7EB82305"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83.3</w:t>
            </w:r>
          </w:p>
        </w:tc>
        <w:tc>
          <w:tcPr>
            <w:tcW w:w="1191" w:type="dxa"/>
          </w:tcPr>
          <w:p w14:paraId="792468B4"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49.3</w:t>
            </w:r>
          </w:p>
        </w:tc>
        <w:tc>
          <w:tcPr>
            <w:tcW w:w="850" w:type="dxa"/>
          </w:tcPr>
          <w:p w14:paraId="04D1C532"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19.7</w:t>
            </w:r>
          </w:p>
        </w:tc>
        <w:tc>
          <w:tcPr>
            <w:tcW w:w="850" w:type="dxa"/>
          </w:tcPr>
          <w:p w14:paraId="7E86AFC1"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95.2</w:t>
            </w:r>
          </w:p>
        </w:tc>
        <w:tc>
          <w:tcPr>
            <w:tcW w:w="907" w:type="dxa"/>
          </w:tcPr>
          <w:p w14:paraId="10117FD8"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55.0</w:t>
            </w:r>
          </w:p>
        </w:tc>
        <w:tc>
          <w:tcPr>
            <w:tcW w:w="1020" w:type="dxa"/>
          </w:tcPr>
          <w:p w14:paraId="0A623732"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0.059</w:t>
            </w:r>
          </w:p>
        </w:tc>
        <w:tc>
          <w:tcPr>
            <w:tcW w:w="1020" w:type="dxa"/>
          </w:tcPr>
          <w:p w14:paraId="74EC35B4"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0.033</w:t>
            </w:r>
          </w:p>
        </w:tc>
      </w:tr>
      <w:tr w:rsidR="00F1197D" w:rsidRPr="00520EE2" w14:paraId="14C0AEEC" w14:textId="77777777">
        <w:trPr>
          <w:cantSplit/>
          <w:jc w:val="center"/>
        </w:trPr>
        <w:tc>
          <w:tcPr>
            <w:tcW w:w="1531" w:type="dxa"/>
          </w:tcPr>
          <w:p w14:paraId="21DCBA7D"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New or worsened motor deficit</w:t>
            </w:r>
          </w:p>
        </w:tc>
        <w:tc>
          <w:tcPr>
            <w:tcW w:w="1077" w:type="dxa"/>
          </w:tcPr>
          <w:p w14:paraId="2BEB0336"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15</w:t>
            </w:r>
          </w:p>
        </w:tc>
        <w:tc>
          <w:tcPr>
            <w:tcW w:w="1191" w:type="dxa"/>
          </w:tcPr>
          <w:p w14:paraId="71E6F220"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56.7</w:t>
            </w:r>
          </w:p>
        </w:tc>
        <w:tc>
          <w:tcPr>
            <w:tcW w:w="1191" w:type="dxa"/>
          </w:tcPr>
          <w:p w14:paraId="43E3A8B7"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76.1</w:t>
            </w:r>
          </w:p>
        </w:tc>
        <w:tc>
          <w:tcPr>
            <w:tcW w:w="850" w:type="dxa"/>
          </w:tcPr>
          <w:p w14:paraId="0FCC4E53"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26.2</w:t>
            </w:r>
          </w:p>
        </w:tc>
        <w:tc>
          <w:tcPr>
            <w:tcW w:w="850" w:type="dxa"/>
          </w:tcPr>
          <w:p w14:paraId="2BE57176"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92.2</w:t>
            </w:r>
          </w:p>
        </w:tc>
        <w:tc>
          <w:tcPr>
            <w:tcW w:w="907" w:type="dxa"/>
          </w:tcPr>
          <w:p w14:paraId="1C3E9542"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28.1</w:t>
            </w:r>
          </w:p>
        </w:tc>
        <w:tc>
          <w:tcPr>
            <w:tcW w:w="1020" w:type="dxa"/>
          </w:tcPr>
          <w:p w14:paraId="27F0D334"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0.037</w:t>
            </w:r>
          </w:p>
        </w:tc>
        <w:tc>
          <w:tcPr>
            <w:tcW w:w="1020" w:type="dxa"/>
          </w:tcPr>
          <w:p w14:paraId="5CE33DA4"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−0.024</w:t>
            </w:r>
          </w:p>
        </w:tc>
      </w:tr>
      <w:tr w:rsidR="00F1197D" w:rsidRPr="00520EE2" w14:paraId="089BFEE4" w14:textId="77777777">
        <w:trPr>
          <w:cantSplit/>
          <w:jc w:val="center"/>
        </w:trPr>
        <w:tc>
          <w:tcPr>
            <w:tcW w:w="1531" w:type="dxa"/>
          </w:tcPr>
          <w:p w14:paraId="3F034E41"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New or worsened motor deficit</w:t>
            </w:r>
          </w:p>
        </w:tc>
        <w:tc>
          <w:tcPr>
            <w:tcW w:w="1077" w:type="dxa"/>
          </w:tcPr>
          <w:p w14:paraId="7CDDE821"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20</w:t>
            </w:r>
          </w:p>
        </w:tc>
        <w:tc>
          <w:tcPr>
            <w:tcW w:w="1191" w:type="dxa"/>
          </w:tcPr>
          <w:p w14:paraId="681F35FE"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33.3</w:t>
            </w:r>
          </w:p>
        </w:tc>
        <w:tc>
          <w:tcPr>
            <w:tcW w:w="1191" w:type="dxa"/>
          </w:tcPr>
          <w:p w14:paraId="106742CB"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89.6</w:t>
            </w:r>
          </w:p>
        </w:tc>
        <w:tc>
          <w:tcPr>
            <w:tcW w:w="850" w:type="dxa"/>
          </w:tcPr>
          <w:p w14:paraId="647A2057"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32.3</w:t>
            </w:r>
          </w:p>
        </w:tc>
        <w:tc>
          <w:tcPr>
            <w:tcW w:w="850" w:type="dxa"/>
          </w:tcPr>
          <w:p w14:paraId="3C378518"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90.0</w:t>
            </w:r>
          </w:p>
        </w:tc>
        <w:tc>
          <w:tcPr>
            <w:tcW w:w="907" w:type="dxa"/>
          </w:tcPr>
          <w:p w14:paraId="38F9BB3E"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13.4</w:t>
            </w:r>
          </w:p>
        </w:tc>
        <w:tc>
          <w:tcPr>
            <w:tcW w:w="1020" w:type="dxa"/>
          </w:tcPr>
          <w:p w14:paraId="5F9104FA"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0.021</w:t>
            </w:r>
          </w:p>
        </w:tc>
        <w:tc>
          <w:tcPr>
            <w:tcW w:w="1020" w:type="dxa"/>
          </w:tcPr>
          <w:p w14:paraId="5978C149"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−0.088</w:t>
            </w:r>
          </w:p>
        </w:tc>
      </w:tr>
      <w:tr w:rsidR="00F1197D" w:rsidRPr="00520EE2" w14:paraId="18CCAF81" w14:textId="77777777">
        <w:trPr>
          <w:cantSplit/>
          <w:jc w:val="center"/>
        </w:trPr>
        <w:tc>
          <w:tcPr>
            <w:tcW w:w="1531" w:type="dxa"/>
          </w:tcPr>
          <w:p w14:paraId="638E1D7C"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New or worsened motor deficit</w:t>
            </w:r>
          </w:p>
        </w:tc>
        <w:tc>
          <w:tcPr>
            <w:tcW w:w="1077" w:type="dxa"/>
          </w:tcPr>
          <w:p w14:paraId="5E0E01C6"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30</w:t>
            </w:r>
          </w:p>
        </w:tc>
        <w:tc>
          <w:tcPr>
            <w:tcW w:w="1191" w:type="dxa"/>
          </w:tcPr>
          <w:p w14:paraId="5A670010"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3.3</w:t>
            </w:r>
          </w:p>
        </w:tc>
        <w:tc>
          <w:tcPr>
            <w:tcW w:w="1191" w:type="dxa"/>
          </w:tcPr>
          <w:p w14:paraId="3C7A5EAC"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98.0</w:t>
            </w:r>
          </w:p>
        </w:tc>
        <w:tc>
          <w:tcPr>
            <w:tcW w:w="850" w:type="dxa"/>
          </w:tcPr>
          <w:p w14:paraId="3D8EC5CD"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20.0</w:t>
            </w:r>
          </w:p>
        </w:tc>
        <w:tc>
          <w:tcPr>
            <w:tcW w:w="850" w:type="dxa"/>
          </w:tcPr>
          <w:p w14:paraId="294710BB"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87.2</w:t>
            </w:r>
          </w:p>
        </w:tc>
        <w:tc>
          <w:tcPr>
            <w:tcW w:w="907" w:type="dxa"/>
          </w:tcPr>
          <w:p w14:paraId="2659A5CF"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2.2</w:t>
            </w:r>
          </w:p>
        </w:tc>
        <w:tc>
          <w:tcPr>
            <w:tcW w:w="1020" w:type="dxa"/>
          </w:tcPr>
          <w:p w14:paraId="583AC1CD"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−0.003</w:t>
            </w:r>
          </w:p>
        </w:tc>
        <w:tc>
          <w:tcPr>
            <w:tcW w:w="1020" w:type="dxa"/>
          </w:tcPr>
          <w:p w14:paraId="6129B9E0"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−0.243</w:t>
            </w:r>
          </w:p>
        </w:tc>
      </w:tr>
    </w:tbl>
    <w:p w14:paraId="7F759544" w14:textId="77777777" w:rsidR="00F1197D" w:rsidRPr="00520EE2" w:rsidRDefault="00000000" w:rsidP="00520EE2">
      <w:pPr>
        <w:jc w:val="both"/>
        <w:rPr>
          <w:rFonts w:asciiTheme="majorBidi" w:hAnsiTheme="majorBidi" w:cstheme="majorBidi"/>
        </w:rPr>
      </w:pPr>
      <w:r>
        <w:rPr>
          <w:rFonts w:asciiTheme="majorBidi" w:hAnsiTheme="majorBidi" w:cstheme="majorBidi"/>
          <w:sz w:val="17"/>
        </w:rPr>
        <w:t xml:space="preserve">Base rates: medical 15.6% (NPV of a null model 84.4%), motor 13.0% (87.0%). Observed event rates across tertiles of held-out predicted risk: medical 3/77 (3.9%), 10/77 (13.0%) and 23/77 (29.9%); motor 4/77 (5.2%), 9/77 (11.7%) and 17/77 (22.1%); non-neurological composite 5/77 (6.5%), 20/77 (26.0%) and 25/77 (32.5%). NPV, negative predictive value; PPV, positive predictive value.</w:t>
      </w:r>
    </w:p>
    <w:p w14:paraId="5CEC54C0" w14:textId="77777777" w:rsidR="00F1197D" w:rsidRPr="00520EE2" w:rsidRDefault="00000000" w:rsidP="00520EE2">
      <w:pPr>
        <w:keepNext/>
        <w:spacing w:before="280"/>
        <w:jc w:val="both"/>
        <w:rPr>
          <w:rFonts w:asciiTheme="majorBidi" w:hAnsiTheme="majorBidi" w:cstheme="majorBidi"/>
        </w:rPr>
      </w:pPr>
      <w:r>
        <w:rPr>
          <w:rFonts w:asciiTheme="majorBidi" w:hAnsiTheme="majorBidi" w:cstheme="majorBidi"/>
          <w:b/>
          <w:sz w:val="24"/>
        </w:rPr>
        <w:t xml:space="preserve">Model coefficients and equations</w:t>
      </w:r>
    </w:p>
    <w:p w14:paraId="717C3E1C" w14:textId="571AB22E" w:rsidR="00F1197D" w:rsidRPr="00520EE2" w:rsidRDefault="00000000" w:rsidP="00520EE2">
      <w:pPr>
        <w:spacing w:after="120"/>
        <w:jc w:val="both"/>
        <w:rPr>
          <w:rFonts w:asciiTheme="majorBidi" w:hAnsiTheme="majorBidi" w:cstheme="majorBidi"/>
        </w:rPr>
      </w:pPr>
      <w:r>
        <w:rPr>
          <w:rFonts w:asciiTheme="majorBidi" w:hAnsiTheme="majorBidi" w:cstheme="majorBidi"/>
        </w:rPr>
        <w:t xml:space="preserve">The retained models were fitted on all 231 patients with the penalty selected by five-fold cross-validated log-loss (medical model C = 0.1; motor model C = 0.032, scikit-learn parameterization). Coefficients are given on the standardized scale (per 1 SD, as plotted in Figs. 2 and 3 of the main text) and on the raw scale, so that the predicted probability can be computed directly: logit(p) = intercept + Σ (raw coefficient × predictor value); p = 1/(1 + exp(−logit)). Vessel encasement is coded 0–4 (0 none, 1 &lt;90°, 2 90–&lt;180°, 3 180–270°, 4 &gt;270°), binary predictors 0/1, KPS 0–100, diameter in mm, age in years. The online calculator implements these equations.</w:t>
      </w:r>
    </w:p>
    <w:p w14:paraId="4667BBBF" w14:textId="77777777" w:rsidR="00F1197D" w:rsidRPr="00520EE2" w:rsidRDefault="00000000" w:rsidP="00520EE2">
      <w:pPr>
        <w:keepNext/>
        <w:spacing w:before="200"/>
        <w:jc w:val="both"/>
        <w:rPr>
          <w:rFonts w:asciiTheme="majorBidi" w:hAnsiTheme="majorBidi" w:cstheme="majorBidi"/>
        </w:rPr>
      </w:pPr>
      <w:r>
        <w:rPr>
          <w:rFonts w:asciiTheme="majorBidi" w:hAnsiTheme="majorBidi" w:cstheme="majorBidi"/>
          <w:b/>
        </w:rPr>
        <w:t xml:space="preserve">Table S12</w:t>
      </w:r>
      <w:r>
        <w:rPr>
          <w:rFonts w:asciiTheme="majorBidi" w:hAnsiTheme="majorBidi" w:cstheme="majorBidi"/>
        </w:rPr>
        <w:t xml:space="preserve"> Coefficients of the retained ridge-penalized models (n = 231)</w:t>
      </w:r>
    </w:p>
    <w:tbl>
      <w:tblPr>
        <w:tblW w:w="0" w:type="auto"/>
        <w:jc w:val="center"/>
        <w:tblBorders>
          <w:top w:val="single" w:sz="4" w:space="0" w:color="808080"/>
          <w:left w:val="nil"/>
          <w:bottom w:val="single" w:sz="4" w:space="0" w:color="808080"/>
          <w:right w:val="nil"/>
          <w:insideH w:val="single" w:sz="4" w:space="0" w:color="808080"/>
          <w:insideV w:val="nil"/>
        </w:tblBorders>
        <w:tblLayout w:type="fixed"/>
        <w:tblLook w:val="04A0" w:firstRow="1" w:lastRow="0" w:firstColumn="1" w:lastColumn="0" w:noHBand="0" w:noVBand="1"/>
      </w:tblPr>
      <w:tblGrid>
        <w:gridCol w:w="1871"/>
        <w:gridCol w:w="2381"/>
        <w:gridCol w:w="850"/>
        <w:gridCol w:w="850"/>
        <w:gridCol w:w="1474"/>
        <w:gridCol w:w="1077"/>
        <w:gridCol w:w="1191"/>
      </w:tblGrid>
      <w:tr w:rsidR="00F1197D" w:rsidRPr="00520EE2" w14:paraId="2F0F4BF4" w14:textId="77777777">
        <w:trPr>
          <w:cantSplit/>
          <w:tblHeader/>
          <w:jc w:val="center"/>
        </w:trPr>
        <w:tc>
          <w:tcPr>
            <w:tcW w:w="1871" w:type="dxa"/>
          </w:tcPr>
          <w:p w14:paraId="149A66BB"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b/>
                <w:sz w:val="16"/>
              </w:rPr>
              <w:t xml:space="preserve">Model</w:t>
            </w:r>
          </w:p>
        </w:tc>
        <w:tc>
          <w:tcPr>
            <w:tcW w:w="2381" w:type="dxa"/>
          </w:tcPr>
          <w:p w14:paraId="0263CD55"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b/>
                <w:sz w:val="16"/>
              </w:rPr>
              <w:t xml:space="preserve">Predictor</w:t>
            </w:r>
          </w:p>
        </w:tc>
        <w:tc>
          <w:tcPr>
            <w:tcW w:w="850" w:type="dxa"/>
          </w:tcPr>
          <w:p w14:paraId="49C8EE99"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b/>
                <w:sz w:val="16"/>
              </w:rPr>
              <w:t xml:space="preserve">Mean</w:t>
            </w:r>
          </w:p>
        </w:tc>
        <w:tc>
          <w:tcPr>
            <w:tcW w:w="850" w:type="dxa"/>
          </w:tcPr>
          <w:p w14:paraId="3C7650AE"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b/>
                <w:sz w:val="16"/>
              </w:rPr>
              <w:t xml:space="preserve">SD</w:t>
            </w:r>
          </w:p>
        </w:tc>
        <w:tc>
          <w:tcPr>
            <w:tcW w:w="1474" w:type="dxa"/>
          </w:tcPr>
          <w:p w14:paraId="2201FFAD"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b/>
                <w:sz w:val="16"/>
              </w:rPr>
              <w:t xml:space="preserve">Standardized coefficient</w:t>
            </w:r>
          </w:p>
        </w:tc>
        <w:tc>
          <w:tcPr>
            <w:tcW w:w="1077" w:type="dxa"/>
          </w:tcPr>
          <w:p w14:paraId="41BA48DE"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b/>
                <w:sz w:val="16"/>
              </w:rPr>
              <w:t xml:space="preserve">Standardized OR per 1 SD</w:t>
            </w:r>
          </w:p>
        </w:tc>
        <w:tc>
          <w:tcPr>
            <w:tcW w:w="1191" w:type="dxa"/>
          </w:tcPr>
          <w:p w14:paraId="228A4F42"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b/>
                <w:sz w:val="16"/>
              </w:rPr>
              <w:t xml:space="preserve">Raw-scale coefficient</w:t>
            </w:r>
          </w:p>
        </w:tc>
      </w:tr>
      <w:tr w:rsidR="00F1197D" w:rsidRPr="00520EE2" w14:paraId="04129D45" w14:textId="77777777">
        <w:trPr>
          <w:cantSplit/>
          <w:jc w:val="center"/>
        </w:trPr>
        <w:tc>
          <w:tcPr>
            <w:tcW w:w="1871" w:type="dxa"/>
          </w:tcPr>
          <w:p w14:paraId="78E19339"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Medical complication</w:t>
            </w:r>
          </w:p>
        </w:tc>
        <w:tc>
          <w:tcPr>
            <w:tcW w:w="2381" w:type="dxa"/>
          </w:tcPr>
          <w:p w14:paraId="00D9EBC5"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Age</w:t>
            </w:r>
          </w:p>
        </w:tc>
        <w:tc>
          <w:tcPr>
            <w:tcW w:w="850" w:type="dxa"/>
          </w:tcPr>
          <w:p w14:paraId="433693FF"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60.563</w:t>
            </w:r>
          </w:p>
        </w:tc>
        <w:tc>
          <w:tcPr>
            <w:tcW w:w="850" w:type="dxa"/>
          </w:tcPr>
          <w:p w14:paraId="1FD876A8"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12.274</w:t>
            </w:r>
          </w:p>
        </w:tc>
        <w:tc>
          <w:tcPr>
            <w:tcW w:w="1474" w:type="dxa"/>
          </w:tcPr>
          <w:p w14:paraId="4E4CC1E1"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0.1202</w:t>
            </w:r>
          </w:p>
        </w:tc>
        <w:tc>
          <w:tcPr>
            <w:tcW w:w="1077" w:type="dxa"/>
          </w:tcPr>
          <w:p w14:paraId="71B6AD13"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1.128</w:t>
            </w:r>
          </w:p>
        </w:tc>
        <w:tc>
          <w:tcPr>
            <w:tcW w:w="1191" w:type="dxa"/>
          </w:tcPr>
          <w:p w14:paraId="081AB807"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0.00979</w:t>
            </w:r>
          </w:p>
        </w:tc>
      </w:tr>
      <w:tr w:rsidR="00F1197D" w:rsidRPr="00520EE2" w14:paraId="4C246D6B" w14:textId="77777777">
        <w:trPr>
          <w:cantSplit/>
          <w:jc w:val="center"/>
        </w:trPr>
        <w:tc>
          <w:tcPr>
            <w:tcW w:w="1871" w:type="dxa"/>
          </w:tcPr>
          <w:p w14:paraId="5928006F"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Medical complication</w:t>
            </w:r>
          </w:p>
        </w:tc>
        <w:tc>
          <w:tcPr>
            <w:tcW w:w="2381" w:type="dxa"/>
          </w:tcPr>
          <w:p w14:paraId="6EA58E25"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Charlson Comorbidity Index</w:t>
            </w:r>
          </w:p>
        </w:tc>
        <w:tc>
          <w:tcPr>
            <w:tcW w:w="850" w:type="dxa"/>
          </w:tcPr>
          <w:p w14:paraId="604B09E4"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2.481</w:t>
            </w:r>
          </w:p>
        </w:tc>
        <w:tc>
          <w:tcPr>
            <w:tcW w:w="850" w:type="dxa"/>
          </w:tcPr>
          <w:p w14:paraId="39C7519C"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1.611</w:t>
            </w:r>
          </w:p>
        </w:tc>
        <w:tc>
          <w:tcPr>
            <w:tcW w:w="1474" w:type="dxa"/>
          </w:tcPr>
          <w:p w14:paraId="2E92A916"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0.1537</w:t>
            </w:r>
          </w:p>
        </w:tc>
        <w:tc>
          <w:tcPr>
            <w:tcW w:w="1077" w:type="dxa"/>
          </w:tcPr>
          <w:p w14:paraId="4B6D7B8C"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1.166</w:t>
            </w:r>
          </w:p>
        </w:tc>
        <w:tc>
          <w:tcPr>
            <w:tcW w:w="1191" w:type="dxa"/>
          </w:tcPr>
          <w:p w14:paraId="4229796F"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0.09538</w:t>
            </w:r>
          </w:p>
        </w:tc>
      </w:tr>
      <w:tr w:rsidR="00F1197D" w:rsidRPr="00520EE2" w14:paraId="33EEA417" w14:textId="77777777">
        <w:trPr>
          <w:cantSplit/>
          <w:jc w:val="center"/>
        </w:trPr>
        <w:tc>
          <w:tcPr>
            <w:tcW w:w="1871" w:type="dxa"/>
          </w:tcPr>
          <w:p w14:paraId="147A967E"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Medical complication</w:t>
            </w:r>
          </w:p>
        </w:tc>
        <w:tc>
          <w:tcPr>
            <w:tcW w:w="2381" w:type="dxa"/>
          </w:tcPr>
          <w:p w14:paraId="3DEC10A1"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Cardiorespiratory comorbidity</w:t>
            </w:r>
          </w:p>
        </w:tc>
        <w:tc>
          <w:tcPr>
            <w:tcW w:w="850" w:type="dxa"/>
          </w:tcPr>
          <w:p w14:paraId="2446B473"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0.381</w:t>
            </w:r>
          </w:p>
        </w:tc>
        <w:tc>
          <w:tcPr>
            <w:tcW w:w="850" w:type="dxa"/>
          </w:tcPr>
          <w:p w14:paraId="47856FF3"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0.486</w:t>
            </w:r>
          </w:p>
        </w:tc>
        <w:tc>
          <w:tcPr>
            <w:tcW w:w="1474" w:type="dxa"/>
          </w:tcPr>
          <w:p w14:paraId="6524A4C0"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0.0741</w:t>
            </w:r>
          </w:p>
        </w:tc>
        <w:tc>
          <w:tcPr>
            <w:tcW w:w="1077" w:type="dxa"/>
          </w:tcPr>
          <w:p w14:paraId="49D15408"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1.077</w:t>
            </w:r>
          </w:p>
        </w:tc>
        <w:tc>
          <w:tcPr>
            <w:tcW w:w="1191" w:type="dxa"/>
          </w:tcPr>
          <w:p w14:paraId="7E91A187"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0.15266</w:t>
            </w:r>
          </w:p>
        </w:tc>
      </w:tr>
      <w:tr w:rsidR="00F1197D" w:rsidRPr="00520EE2" w14:paraId="17EB546F" w14:textId="77777777">
        <w:trPr>
          <w:cantSplit/>
          <w:jc w:val="center"/>
        </w:trPr>
        <w:tc>
          <w:tcPr>
            <w:tcW w:w="1871" w:type="dxa"/>
          </w:tcPr>
          <w:p w14:paraId="6519DD58"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Medical complication</w:t>
            </w:r>
          </w:p>
        </w:tc>
        <w:tc>
          <w:tcPr>
            <w:tcW w:w="2381" w:type="dxa"/>
          </w:tcPr>
          <w:p w14:paraId="2C4D74C0"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Preoperative KPS</w:t>
            </w:r>
          </w:p>
        </w:tc>
        <w:tc>
          <w:tcPr>
            <w:tcW w:w="850" w:type="dxa"/>
          </w:tcPr>
          <w:p w14:paraId="3284C64A"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80.866</w:t>
            </w:r>
          </w:p>
        </w:tc>
        <w:tc>
          <w:tcPr>
            <w:tcW w:w="850" w:type="dxa"/>
          </w:tcPr>
          <w:p w14:paraId="2AB7C4E0"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11.325</w:t>
            </w:r>
          </w:p>
        </w:tc>
        <w:tc>
          <w:tcPr>
            <w:tcW w:w="1474" w:type="dxa"/>
          </w:tcPr>
          <w:p w14:paraId="67087D7F"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−0.3294</w:t>
            </w:r>
          </w:p>
        </w:tc>
        <w:tc>
          <w:tcPr>
            <w:tcW w:w="1077" w:type="dxa"/>
          </w:tcPr>
          <w:p w14:paraId="4BC34CD9"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0.719</w:t>
            </w:r>
          </w:p>
        </w:tc>
        <w:tc>
          <w:tcPr>
            <w:tcW w:w="1191" w:type="dxa"/>
          </w:tcPr>
          <w:p w14:paraId="1E680743"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−0.02909</w:t>
            </w:r>
          </w:p>
        </w:tc>
      </w:tr>
      <w:tr w:rsidR="00F1197D" w:rsidRPr="00520EE2" w14:paraId="568F9BFE" w14:textId="77777777">
        <w:trPr>
          <w:cantSplit/>
          <w:jc w:val="center"/>
        </w:trPr>
        <w:tc>
          <w:tcPr>
            <w:tcW w:w="1871" w:type="dxa"/>
          </w:tcPr>
          <w:p w14:paraId="3A12D78E"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lastRenderedPageBreak/>
              <w:t>Medical complication</w:t>
            </w:r>
          </w:p>
        </w:tc>
        <w:tc>
          <w:tcPr>
            <w:tcW w:w="2381" w:type="dxa"/>
          </w:tcPr>
          <w:p w14:paraId="7FE42305"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Maximum axial tumor diameter</w:t>
            </w:r>
          </w:p>
        </w:tc>
        <w:tc>
          <w:tcPr>
            <w:tcW w:w="850" w:type="dxa"/>
          </w:tcPr>
          <w:p w14:paraId="6E207F1C"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36.152</w:t>
            </w:r>
          </w:p>
        </w:tc>
        <w:tc>
          <w:tcPr>
            <w:tcW w:w="850" w:type="dxa"/>
          </w:tcPr>
          <w:p w14:paraId="6FB93E98"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14.134</w:t>
            </w:r>
          </w:p>
        </w:tc>
        <w:tc>
          <w:tcPr>
            <w:tcW w:w="1474" w:type="dxa"/>
          </w:tcPr>
          <w:p w14:paraId="30A33CF0"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0.5772</w:t>
            </w:r>
          </w:p>
        </w:tc>
        <w:tc>
          <w:tcPr>
            <w:tcW w:w="1077" w:type="dxa"/>
          </w:tcPr>
          <w:p w14:paraId="01659670"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1.781</w:t>
            </w:r>
          </w:p>
        </w:tc>
        <w:tc>
          <w:tcPr>
            <w:tcW w:w="1191" w:type="dxa"/>
          </w:tcPr>
          <w:p w14:paraId="3148F299"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0.04084</w:t>
            </w:r>
          </w:p>
        </w:tc>
      </w:tr>
      <w:tr w:rsidR="00F1197D" w:rsidRPr="00520EE2" w14:paraId="26504EF1" w14:textId="77777777">
        <w:trPr>
          <w:cantSplit/>
          <w:jc w:val="center"/>
        </w:trPr>
        <w:tc>
          <w:tcPr>
            <w:tcW w:w="1871" w:type="dxa"/>
          </w:tcPr>
          <w:p w14:paraId="5E603E65"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Medical complication</w:t>
            </w:r>
          </w:p>
        </w:tc>
        <w:tc>
          <w:tcPr>
            <w:tcW w:w="2381" w:type="dxa"/>
          </w:tcPr>
          <w:p w14:paraId="2D468621"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Vessel encasement grade</w:t>
            </w:r>
          </w:p>
        </w:tc>
        <w:tc>
          <w:tcPr>
            <w:tcW w:w="850" w:type="dxa"/>
          </w:tcPr>
          <w:p w14:paraId="059466E0"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1.805</w:t>
            </w:r>
          </w:p>
        </w:tc>
        <w:tc>
          <w:tcPr>
            <w:tcW w:w="850" w:type="dxa"/>
          </w:tcPr>
          <w:p w14:paraId="293B4C69"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1.424</w:t>
            </w:r>
          </w:p>
        </w:tc>
        <w:tc>
          <w:tcPr>
            <w:tcW w:w="1474" w:type="dxa"/>
          </w:tcPr>
          <w:p w14:paraId="62EF11FD"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0.2983</w:t>
            </w:r>
          </w:p>
        </w:tc>
        <w:tc>
          <w:tcPr>
            <w:tcW w:w="1077" w:type="dxa"/>
          </w:tcPr>
          <w:p w14:paraId="0891F972"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1.348</w:t>
            </w:r>
          </w:p>
        </w:tc>
        <w:tc>
          <w:tcPr>
            <w:tcW w:w="1191" w:type="dxa"/>
          </w:tcPr>
          <w:p w14:paraId="631B386B"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0.20956</w:t>
            </w:r>
          </w:p>
        </w:tc>
      </w:tr>
      <w:tr w:rsidR="00F1197D" w:rsidRPr="00520EE2" w14:paraId="13F64B19" w14:textId="77777777">
        <w:trPr>
          <w:cantSplit/>
          <w:jc w:val="center"/>
        </w:trPr>
        <w:tc>
          <w:tcPr>
            <w:tcW w:w="1871" w:type="dxa"/>
          </w:tcPr>
          <w:p w14:paraId="71F146DE"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Medical complication</w:t>
            </w:r>
          </w:p>
        </w:tc>
        <w:tc>
          <w:tcPr>
            <w:tcW w:w="2381" w:type="dxa"/>
          </w:tcPr>
          <w:p w14:paraId="5038B240"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ACA/MCA/PCA involvement</w:t>
            </w:r>
          </w:p>
        </w:tc>
        <w:tc>
          <w:tcPr>
            <w:tcW w:w="850" w:type="dxa"/>
          </w:tcPr>
          <w:p w14:paraId="2A1B27FA"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0.593</w:t>
            </w:r>
          </w:p>
        </w:tc>
        <w:tc>
          <w:tcPr>
            <w:tcW w:w="850" w:type="dxa"/>
          </w:tcPr>
          <w:p w14:paraId="6ED97CC8"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0.491</w:t>
            </w:r>
          </w:p>
        </w:tc>
        <w:tc>
          <w:tcPr>
            <w:tcW w:w="1474" w:type="dxa"/>
          </w:tcPr>
          <w:p w14:paraId="2894F221"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0.0063</w:t>
            </w:r>
          </w:p>
        </w:tc>
        <w:tc>
          <w:tcPr>
            <w:tcW w:w="1077" w:type="dxa"/>
          </w:tcPr>
          <w:p w14:paraId="75199DFF"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1.006</w:t>
            </w:r>
          </w:p>
        </w:tc>
        <w:tc>
          <w:tcPr>
            <w:tcW w:w="1191" w:type="dxa"/>
          </w:tcPr>
          <w:p w14:paraId="72CF40CF"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0.01281</w:t>
            </w:r>
          </w:p>
        </w:tc>
      </w:tr>
      <w:tr w:rsidR="00F1197D" w:rsidRPr="00520EE2" w14:paraId="66EE37C2" w14:textId="77777777">
        <w:trPr>
          <w:cantSplit/>
          <w:jc w:val="center"/>
        </w:trPr>
        <w:tc>
          <w:tcPr>
            <w:tcW w:w="1871" w:type="dxa"/>
          </w:tcPr>
          <w:p w14:paraId="6AABC855"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Medical complication</w:t>
            </w:r>
          </w:p>
        </w:tc>
        <w:tc>
          <w:tcPr>
            <w:tcW w:w="2381" w:type="dxa"/>
          </w:tcPr>
          <w:p w14:paraId="5B31654E"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Intercept (raw scale)</w:t>
            </w:r>
          </w:p>
        </w:tc>
        <w:tc>
          <w:tcPr>
            <w:tcW w:w="850" w:type="dxa"/>
          </w:tcPr>
          <w:p w14:paraId="110847EA" w14:textId="77777777" w:rsidR="00F1197D" w:rsidRPr="00520EE2" w:rsidRDefault="00F1197D" w:rsidP="00520EE2">
            <w:pPr>
              <w:spacing w:before="20" w:after="0"/>
              <w:jc w:val="both"/>
              <w:rPr>
                <w:rFonts w:asciiTheme="majorBidi" w:hAnsiTheme="majorBidi" w:cstheme="majorBidi"/>
              </w:rPr>
            </w:pPr>
          </w:p>
        </w:tc>
        <w:tc>
          <w:tcPr>
            <w:tcW w:w="850" w:type="dxa"/>
          </w:tcPr>
          <w:p w14:paraId="05BBA90A" w14:textId="77777777" w:rsidR="00F1197D" w:rsidRPr="00520EE2" w:rsidRDefault="00F1197D" w:rsidP="00520EE2">
            <w:pPr>
              <w:spacing w:before="20" w:after="0"/>
              <w:jc w:val="both"/>
              <w:rPr>
                <w:rFonts w:asciiTheme="majorBidi" w:hAnsiTheme="majorBidi" w:cstheme="majorBidi"/>
              </w:rPr>
            </w:pPr>
          </w:p>
        </w:tc>
        <w:tc>
          <w:tcPr>
            <w:tcW w:w="1474" w:type="dxa"/>
          </w:tcPr>
          <w:p w14:paraId="0B508D9F"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−1.9934 (standardized-scale intercept)</w:t>
            </w:r>
          </w:p>
        </w:tc>
        <w:tc>
          <w:tcPr>
            <w:tcW w:w="1077" w:type="dxa"/>
          </w:tcPr>
          <w:p w14:paraId="2C55CDF3" w14:textId="77777777" w:rsidR="00F1197D" w:rsidRPr="00520EE2" w:rsidRDefault="00F1197D" w:rsidP="00520EE2">
            <w:pPr>
              <w:spacing w:before="20" w:after="0"/>
              <w:jc w:val="both"/>
              <w:rPr>
                <w:rFonts w:asciiTheme="majorBidi" w:hAnsiTheme="majorBidi" w:cstheme="majorBidi"/>
              </w:rPr>
            </w:pPr>
          </w:p>
        </w:tc>
        <w:tc>
          <w:tcPr>
            <w:tcW w:w="1191" w:type="dxa"/>
          </w:tcPr>
          <w:p w14:paraId="72CABE2A"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−2.39135</w:t>
            </w:r>
          </w:p>
        </w:tc>
      </w:tr>
      <w:tr w:rsidR="00F1197D" w:rsidRPr="00520EE2" w14:paraId="3CD96238" w14:textId="77777777">
        <w:trPr>
          <w:cantSplit/>
          <w:jc w:val="center"/>
        </w:trPr>
        <w:tc>
          <w:tcPr>
            <w:tcW w:w="1871" w:type="dxa"/>
          </w:tcPr>
          <w:p w14:paraId="5BDDF9E5"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New or worsened motor deficit</w:t>
            </w:r>
          </w:p>
        </w:tc>
        <w:tc>
          <w:tcPr>
            <w:tcW w:w="2381" w:type="dxa"/>
          </w:tcPr>
          <w:p w14:paraId="6DC8C006"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Age</w:t>
            </w:r>
          </w:p>
        </w:tc>
        <w:tc>
          <w:tcPr>
            <w:tcW w:w="850" w:type="dxa"/>
          </w:tcPr>
          <w:p w14:paraId="497B8D5B"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60.563</w:t>
            </w:r>
          </w:p>
        </w:tc>
        <w:tc>
          <w:tcPr>
            <w:tcW w:w="850" w:type="dxa"/>
          </w:tcPr>
          <w:p w14:paraId="23EABA8C"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12.274</w:t>
            </w:r>
          </w:p>
        </w:tc>
        <w:tc>
          <w:tcPr>
            <w:tcW w:w="1474" w:type="dxa"/>
          </w:tcPr>
          <w:p w14:paraId="7F034234"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0.0365</w:t>
            </w:r>
          </w:p>
        </w:tc>
        <w:tc>
          <w:tcPr>
            <w:tcW w:w="1077" w:type="dxa"/>
          </w:tcPr>
          <w:p w14:paraId="3B0FD1AE"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1.037</w:t>
            </w:r>
          </w:p>
        </w:tc>
        <w:tc>
          <w:tcPr>
            <w:tcW w:w="1191" w:type="dxa"/>
          </w:tcPr>
          <w:p w14:paraId="68EBE5BD"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0.00298</w:t>
            </w:r>
          </w:p>
        </w:tc>
      </w:tr>
      <w:tr w:rsidR="00F1197D" w:rsidRPr="00520EE2" w14:paraId="209FF68F" w14:textId="77777777">
        <w:trPr>
          <w:cantSplit/>
          <w:jc w:val="center"/>
        </w:trPr>
        <w:tc>
          <w:tcPr>
            <w:tcW w:w="1871" w:type="dxa"/>
          </w:tcPr>
          <w:p w14:paraId="7A99E105"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New or worsened motor deficit</w:t>
            </w:r>
          </w:p>
        </w:tc>
        <w:tc>
          <w:tcPr>
            <w:tcW w:w="2381" w:type="dxa"/>
          </w:tcPr>
          <w:p w14:paraId="7C5A857B"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Charlson Comorbidity Index</w:t>
            </w:r>
          </w:p>
        </w:tc>
        <w:tc>
          <w:tcPr>
            <w:tcW w:w="850" w:type="dxa"/>
          </w:tcPr>
          <w:p w14:paraId="37BFCBE0"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2.481</w:t>
            </w:r>
          </w:p>
        </w:tc>
        <w:tc>
          <w:tcPr>
            <w:tcW w:w="850" w:type="dxa"/>
          </w:tcPr>
          <w:p w14:paraId="53FD2485"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1.611</w:t>
            </w:r>
          </w:p>
        </w:tc>
        <w:tc>
          <w:tcPr>
            <w:tcW w:w="1474" w:type="dxa"/>
          </w:tcPr>
          <w:p w14:paraId="316EDB7B"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0.0047</w:t>
            </w:r>
          </w:p>
        </w:tc>
        <w:tc>
          <w:tcPr>
            <w:tcW w:w="1077" w:type="dxa"/>
          </w:tcPr>
          <w:p w14:paraId="04E6DD5F"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1.005</w:t>
            </w:r>
          </w:p>
        </w:tc>
        <w:tc>
          <w:tcPr>
            <w:tcW w:w="1191" w:type="dxa"/>
          </w:tcPr>
          <w:p w14:paraId="27C73744"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0.00292</w:t>
            </w:r>
          </w:p>
        </w:tc>
      </w:tr>
      <w:tr w:rsidR="00F1197D" w:rsidRPr="00520EE2" w14:paraId="22ADBB5F" w14:textId="77777777">
        <w:trPr>
          <w:cantSplit/>
          <w:jc w:val="center"/>
        </w:trPr>
        <w:tc>
          <w:tcPr>
            <w:tcW w:w="1871" w:type="dxa"/>
          </w:tcPr>
          <w:p w14:paraId="33C29109"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New or worsened motor deficit</w:t>
            </w:r>
          </w:p>
        </w:tc>
        <w:tc>
          <w:tcPr>
            <w:tcW w:w="2381" w:type="dxa"/>
          </w:tcPr>
          <w:p w14:paraId="4A42CBE1"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Preoperative KPS</w:t>
            </w:r>
          </w:p>
        </w:tc>
        <w:tc>
          <w:tcPr>
            <w:tcW w:w="850" w:type="dxa"/>
          </w:tcPr>
          <w:p w14:paraId="7F9446C2"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80.866</w:t>
            </w:r>
          </w:p>
        </w:tc>
        <w:tc>
          <w:tcPr>
            <w:tcW w:w="850" w:type="dxa"/>
          </w:tcPr>
          <w:p w14:paraId="766B8060"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11.325</w:t>
            </w:r>
          </w:p>
        </w:tc>
        <w:tc>
          <w:tcPr>
            <w:tcW w:w="1474" w:type="dxa"/>
          </w:tcPr>
          <w:p w14:paraId="1528E57A"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−0.2428</w:t>
            </w:r>
          </w:p>
        </w:tc>
        <w:tc>
          <w:tcPr>
            <w:tcW w:w="1077" w:type="dxa"/>
          </w:tcPr>
          <w:p w14:paraId="5CF843DF"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0.784</w:t>
            </w:r>
          </w:p>
        </w:tc>
        <w:tc>
          <w:tcPr>
            <w:tcW w:w="1191" w:type="dxa"/>
          </w:tcPr>
          <w:p w14:paraId="3B50B7F3"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−0.02144</w:t>
            </w:r>
          </w:p>
        </w:tc>
      </w:tr>
      <w:tr w:rsidR="00F1197D" w:rsidRPr="00520EE2" w14:paraId="76E17EAC" w14:textId="77777777">
        <w:trPr>
          <w:cantSplit/>
          <w:jc w:val="center"/>
        </w:trPr>
        <w:tc>
          <w:tcPr>
            <w:tcW w:w="1871" w:type="dxa"/>
          </w:tcPr>
          <w:p w14:paraId="7DF9FA08"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New or worsened motor deficit</w:t>
            </w:r>
          </w:p>
        </w:tc>
        <w:tc>
          <w:tcPr>
            <w:tcW w:w="2381" w:type="dxa"/>
          </w:tcPr>
          <w:p w14:paraId="79FA12E4"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Preoperative motor symptoms</w:t>
            </w:r>
          </w:p>
        </w:tc>
        <w:tc>
          <w:tcPr>
            <w:tcW w:w="850" w:type="dxa"/>
          </w:tcPr>
          <w:p w14:paraId="09B3BD20"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0.242</w:t>
            </w:r>
          </w:p>
        </w:tc>
        <w:tc>
          <w:tcPr>
            <w:tcW w:w="850" w:type="dxa"/>
          </w:tcPr>
          <w:p w14:paraId="4F6B37AF"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0.429</w:t>
            </w:r>
          </w:p>
        </w:tc>
        <w:tc>
          <w:tcPr>
            <w:tcW w:w="1474" w:type="dxa"/>
          </w:tcPr>
          <w:p w14:paraId="5F442437"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0.1641</w:t>
            </w:r>
          </w:p>
        </w:tc>
        <w:tc>
          <w:tcPr>
            <w:tcW w:w="1077" w:type="dxa"/>
          </w:tcPr>
          <w:p w14:paraId="542E448B"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1.178</w:t>
            </w:r>
          </w:p>
        </w:tc>
        <w:tc>
          <w:tcPr>
            <w:tcW w:w="1191" w:type="dxa"/>
          </w:tcPr>
          <w:p w14:paraId="0E087E49"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0.38285</w:t>
            </w:r>
          </w:p>
        </w:tc>
      </w:tr>
      <w:tr w:rsidR="00F1197D" w:rsidRPr="00520EE2" w14:paraId="620C55FF" w14:textId="77777777">
        <w:trPr>
          <w:cantSplit/>
          <w:jc w:val="center"/>
        </w:trPr>
        <w:tc>
          <w:tcPr>
            <w:tcW w:w="1871" w:type="dxa"/>
          </w:tcPr>
          <w:p w14:paraId="43C5899D"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New or worsened motor deficit</w:t>
            </w:r>
          </w:p>
        </w:tc>
        <w:tc>
          <w:tcPr>
            <w:tcW w:w="2381" w:type="dxa"/>
          </w:tcPr>
          <w:p w14:paraId="0C3D32EA"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Maximum axial tumor diameter</w:t>
            </w:r>
          </w:p>
        </w:tc>
        <w:tc>
          <w:tcPr>
            <w:tcW w:w="850" w:type="dxa"/>
          </w:tcPr>
          <w:p w14:paraId="22D6FD8C"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36.152</w:t>
            </w:r>
          </w:p>
        </w:tc>
        <w:tc>
          <w:tcPr>
            <w:tcW w:w="850" w:type="dxa"/>
          </w:tcPr>
          <w:p w14:paraId="2CC9A2BA"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14.134</w:t>
            </w:r>
          </w:p>
        </w:tc>
        <w:tc>
          <w:tcPr>
            <w:tcW w:w="1474" w:type="dxa"/>
          </w:tcPr>
          <w:p w14:paraId="4E747C42"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0.2473</w:t>
            </w:r>
          </w:p>
        </w:tc>
        <w:tc>
          <w:tcPr>
            <w:tcW w:w="1077" w:type="dxa"/>
          </w:tcPr>
          <w:p w14:paraId="65CFBCC7"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1.281</w:t>
            </w:r>
          </w:p>
        </w:tc>
        <w:tc>
          <w:tcPr>
            <w:tcW w:w="1191" w:type="dxa"/>
          </w:tcPr>
          <w:p w14:paraId="6D89FF19"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0.01749</w:t>
            </w:r>
          </w:p>
        </w:tc>
      </w:tr>
      <w:tr w:rsidR="00F1197D" w:rsidRPr="00520EE2" w14:paraId="3CAFA27D" w14:textId="77777777">
        <w:trPr>
          <w:cantSplit/>
          <w:jc w:val="center"/>
        </w:trPr>
        <w:tc>
          <w:tcPr>
            <w:tcW w:w="1871" w:type="dxa"/>
          </w:tcPr>
          <w:p w14:paraId="0E4BF17B"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New or worsened motor deficit</w:t>
            </w:r>
          </w:p>
        </w:tc>
        <w:tc>
          <w:tcPr>
            <w:tcW w:w="2381" w:type="dxa"/>
          </w:tcPr>
          <w:p w14:paraId="127BA6FF"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Vessel encasement grade</w:t>
            </w:r>
          </w:p>
        </w:tc>
        <w:tc>
          <w:tcPr>
            <w:tcW w:w="850" w:type="dxa"/>
          </w:tcPr>
          <w:p w14:paraId="2CC237AA"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1.805</w:t>
            </w:r>
          </w:p>
        </w:tc>
        <w:tc>
          <w:tcPr>
            <w:tcW w:w="850" w:type="dxa"/>
          </w:tcPr>
          <w:p w14:paraId="31DE42FC"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1.424</w:t>
            </w:r>
          </w:p>
        </w:tc>
        <w:tc>
          <w:tcPr>
            <w:tcW w:w="1474" w:type="dxa"/>
          </w:tcPr>
          <w:p w14:paraId="36BC894D"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0.0853</w:t>
            </w:r>
          </w:p>
        </w:tc>
        <w:tc>
          <w:tcPr>
            <w:tcW w:w="1077" w:type="dxa"/>
          </w:tcPr>
          <w:p w14:paraId="79EC1AF2"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1.089</w:t>
            </w:r>
          </w:p>
        </w:tc>
        <w:tc>
          <w:tcPr>
            <w:tcW w:w="1191" w:type="dxa"/>
          </w:tcPr>
          <w:p w14:paraId="71D2BD28"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0.05991</w:t>
            </w:r>
          </w:p>
        </w:tc>
      </w:tr>
      <w:tr w:rsidR="00F1197D" w:rsidRPr="00520EE2" w14:paraId="05C7F4EC" w14:textId="77777777">
        <w:trPr>
          <w:cantSplit/>
          <w:jc w:val="center"/>
        </w:trPr>
        <w:tc>
          <w:tcPr>
            <w:tcW w:w="1871" w:type="dxa"/>
          </w:tcPr>
          <w:p w14:paraId="38F97219"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New or worsened motor deficit</w:t>
            </w:r>
          </w:p>
        </w:tc>
        <w:tc>
          <w:tcPr>
            <w:tcW w:w="2381" w:type="dxa"/>
          </w:tcPr>
          <w:p w14:paraId="549AF702"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ICA/carotid siphon involvement</w:t>
            </w:r>
          </w:p>
        </w:tc>
        <w:tc>
          <w:tcPr>
            <w:tcW w:w="850" w:type="dxa"/>
          </w:tcPr>
          <w:p w14:paraId="5802DDF8"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0.567</w:t>
            </w:r>
          </w:p>
        </w:tc>
        <w:tc>
          <w:tcPr>
            <w:tcW w:w="850" w:type="dxa"/>
          </w:tcPr>
          <w:p w14:paraId="010A4F8F"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0.495</w:t>
            </w:r>
          </w:p>
        </w:tc>
        <w:tc>
          <w:tcPr>
            <w:tcW w:w="1474" w:type="dxa"/>
          </w:tcPr>
          <w:p w14:paraId="039AD9F9"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0.1679</w:t>
            </w:r>
          </w:p>
        </w:tc>
        <w:tc>
          <w:tcPr>
            <w:tcW w:w="1077" w:type="dxa"/>
          </w:tcPr>
          <w:p w14:paraId="66A8E1B3"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1.183</w:t>
            </w:r>
          </w:p>
        </w:tc>
        <w:tc>
          <w:tcPr>
            <w:tcW w:w="1191" w:type="dxa"/>
          </w:tcPr>
          <w:p w14:paraId="77E776DD"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0.33877</w:t>
            </w:r>
          </w:p>
        </w:tc>
      </w:tr>
      <w:tr w:rsidR="00F1197D" w:rsidRPr="00520EE2" w14:paraId="1BA85D89" w14:textId="77777777">
        <w:trPr>
          <w:cantSplit/>
          <w:jc w:val="center"/>
        </w:trPr>
        <w:tc>
          <w:tcPr>
            <w:tcW w:w="1871" w:type="dxa"/>
          </w:tcPr>
          <w:p w14:paraId="630BC624"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New or worsened motor deficit</w:t>
            </w:r>
          </w:p>
        </w:tc>
        <w:tc>
          <w:tcPr>
            <w:tcW w:w="2381" w:type="dxa"/>
          </w:tcPr>
          <w:p w14:paraId="55BD4D0F"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Cavernous sinus involvement</w:t>
            </w:r>
          </w:p>
        </w:tc>
        <w:tc>
          <w:tcPr>
            <w:tcW w:w="850" w:type="dxa"/>
          </w:tcPr>
          <w:p w14:paraId="5A422D90"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0.195</w:t>
            </w:r>
          </w:p>
        </w:tc>
        <w:tc>
          <w:tcPr>
            <w:tcW w:w="850" w:type="dxa"/>
          </w:tcPr>
          <w:p w14:paraId="37DAC37B"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0.396</w:t>
            </w:r>
          </w:p>
        </w:tc>
        <w:tc>
          <w:tcPr>
            <w:tcW w:w="1474" w:type="dxa"/>
          </w:tcPr>
          <w:p w14:paraId="5E8A1B2D"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0.1261</w:t>
            </w:r>
          </w:p>
        </w:tc>
        <w:tc>
          <w:tcPr>
            <w:tcW w:w="1077" w:type="dxa"/>
          </w:tcPr>
          <w:p w14:paraId="734170DA"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1.134</w:t>
            </w:r>
          </w:p>
        </w:tc>
        <w:tc>
          <w:tcPr>
            <w:tcW w:w="1191" w:type="dxa"/>
          </w:tcPr>
          <w:p w14:paraId="30933D6D"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0.31835</w:t>
            </w:r>
          </w:p>
        </w:tc>
      </w:tr>
      <w:tr w:rsidR="00F1197D" w:rsidRPr="00520EE2" w14:paraId="2525ED1E" w14:textId="77777777">
        <w:trPr>
          <w:cantSplit/>
          <w:jc w:val="center"/>
        </w:trPr>
        <w:tc>
          <w:tcPr>
            <w:tcW w:w="1871" w:type="dxa"/>
          </w:tcPr>
          <w:p w14:paraId="25190991"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New or worsened motor deficit</w:t>
            </w:r>
          </w:p>
        </w:tc>
        <w:tc>
          <w:tcPr>
            <w:tcW w:w="2381" w:type="dxa"/>
          </w:tcPr>
          <w:p w14:paraId="4C90CD60"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Intercept (raw scale)</w:t>
            </w:r>
          </w:p>
        </w:tc>
        <w:tc>
          <w:tcPr>
            <w:tcW w:w="850" w:type="dxa"/>
          </w:tcPr>
          <w:p w14:paraId="6A23C393" w14:textId="77777777" w:rsidR="00F1197D" w:rsidRPr="00520EE2" w:rsidRDefault="00F1197D" w:rsidP="00520EE2">
            <w:pPr>
              <w:spacing w:before="20" w:after="0"/>
              <w:jc w:val="both"/>
              <w:rPr>
                <w:rFonts w:asciiTheme="majorBidi" w:hAnsiTheme="majorBidi" w:cstheme="majorBidi"/>
              </w:rPr>
            </w:pPr>
          </w:p>
        </w:tc>
        <w:tc>
          <w:tcPr>
            <w:tcW w:w="850" w:type="dxa"/>
          </w:tcPr>
          <w:p w14:paraId="7912C739" w14:textId="77777777" w:rsidR="00F1197D" w:rsidRPr="00520EE2" w:rsidRDefault="00F1197D" w:rsidP="00520EE2">
            <w:pPr>
              <w:spacing w:before="20" w:after="0"/>
              <w:jc w:val="both"/>
              <w:rPr>
                <w:rFonts w:asciiTheme="majorBidi" w:hAnsiTheme="majorBidi" w:cstheme="majorBidi"/>
              </w:rPr>
            </w:pPr>
          </w:p>
        </w:tc>
        <w:tc>
          <w:tcPr>
            <w:tcW w:w="1474" w:type="dxa"/>
          </w:tcPr>
          <w:p w14:paraId="6071DA54"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−2.0461 (standardized-scale intercept)</w:t>
            </w:r>
          </w:p>
        </w:tc>
        <w:tc>
          <w:tcPr>
            <w:tcW w:w="1077" w:type="dxa"/>
          </w:tcPr>
          <w:p w14:paraId="0AD1B5B1" w14:textId="77777777" w:rsidR="00F1197D" w:rsidRPr="00520EE2" w:rsidRDefault="00F1197D" w:rsidP="00520EE2">
            <w:pPr>
              <w:spacing w:before="20" w:after="0"/>
              <w:jc w:val="both"/>
              <w:rPr>
                <w:rFonts w:asciiTheme="majorBidi" w:hAnsiTheme="majorBidi" w:cstheme="majorBidi"/>
              </w:rPr>
            </w:pPr>
          </w:p>
        </w:tc>
        <w:tc>
          <w:tcPr>
            <w:tcW w:w="1191" w:type="dxa"/>
          </w:tcPr>
          <w:p w14:paraId="2A33ED5E"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−1.58704</w:t>
            </w:r>
          </w:p>
        </w:tc>
      </w:tr>
    </w:tbl>
    <w:p w14:paraId="3B0653B1" w14:textId="77777777" w:rsidR="00F1197D" w:rsidRPr="00520EE2" w:rsidRDefault="00000000" w:rsidP="00520EE2">
      <w:pPr>
        <w:jc w:val="both"/>
        <w:rPr>
          <w:rFonts w:asciiTheme="majorBidi" w:hAnsiTheme="majorBidi" w:cstheme="majorBidi"/>
        </w:rPr>
      </w:pPr>
      <w:r>
        <w:rPr>
          <w:rFonts w:asciiTheme="majorBidi" w:hAnsiTheme="majorBidi" w:cstheme="majorBidi"/>
          <w:sz w:val="17"/>
        </w:rPr>
        <w:t xml:space="preserve">Worked example (medical model): a 65−year−old patient, Charlson index 3, cardiorespiratory comorbidity present, KPS 80, 45−mm tumor, vessel encasement grade 3, ACA/MCA/PCA involvement present: logit = −1.164, predicted probability 23.8%. Standardized coefficients apply to (value − mean)/SD. Penalized coefficients have no valid closed-form standard errors and are shrunk toward zero.</w:t>
      </w:r>
    </w:p>
    <w:p w14:paraId="7CC58530" w14:textId="77777777" w:rsidR="00F1197D" w:rsidRPr="00520EE2" w:rsidRDefault="00F1197D" w:rsidP="00520EE2">
      <w:pPr>
        <w:jc w:val="both"/>
        <w:rPr>
          <w:rFonts w:asciiTheme="majorBidi" w:hAnsiTheme="majorBidi" w:cstheme="majorBidi"/>
        </w:rPr>
        <w:sectPr w:rsidR="00F1197D" w:rsidRPr="00520EE2">
          <w:footerReference w:type="default" r:id="rId12"/>
          <w:pgSz w:w="12240" w:h="15840"/>
          <w:pgMar w:top="1134" w:right="1134" w:bottom="1134" w:left="1134" w:header="720" w:footer="720" w:gutter="0"/>
          <w:cols w:space="720"/>
          <w:docGrid w:linePitch="360"/>
        </w:sectPr>
      </w:pPr>
    </w:p>
    <w:p w14:paraId="4093851D" w14:textId="77777777" w:rsidR="00F1197D" w:rsidRPr="00520EE2" w:rsidRDefault="00000000" w:rsidP="00520EE2">
      <w:pPr>
        <w:keepNext/>
        <w:spacing w:before="280"/>
        <w:jc w:val="both"/>
        <w:rPr>
          <w:rFonts w:asciiTheme="majorBidi" w:hAnsiTheme="majorBidi" w:cstheme="majorBidi"/>
        </w:rPr>
      </w:pPr>
      <w:r>
        <w:rPr>
          <w:rFonts w:asciiTheme="majorBidi" w:hAnsiTheme="majorBidi" w:cstheme="majorBidi"/>
          <w:b/>
          <w:sz w:val="24"/>
        </w:rPr>
        <w:lastRenderedPageBreak/>
        <w:t>Gradient boosting</w:t>
      </w:r>
    </w:p>
    <w:p w14:paraId="76667AFB" w14:textId="77777777" w:rsidR="00F1197D" w:rsidRPr="00520EE2" w:rsidRDefault="00000000" w:rsidP="00520EE2">
      <w:pPr>
        <w:spacing w:after="120"/>
        <w:jc w:val="both"/>
        <w:rPr>
          <w:rFonts w:asciiTheme="majorBidi" w:hAnsiTheme="majorBidi" w:cstheme="majorBidi"/>
        </w:rPr>
      </w:pPr>
      <w:r>
        <w:rPr>
          <w:rFonts w:asciiTheme="majorBidi" w:hAnsiTheme="majorBidi" w:cstheme="majorBidi"/>
        </w:rPr>
        <w:t xml:space="preserve">Histogram gradient boosting was applied to each endpoint in the same modelling population, with the 25 candidate variables of Online Resource 1, Table S2, encoded to 39 inputs (one-hot encoding of sex, ASA class, tumor side and vessel-encasement category, each with an explicit missing-category indicator), scikit-learn default settings (learning rate 0.1, up to 100 iterations, 31 leaves, minimum 20 samples per leaf, no L2 regularization) and early stopping on a 10% internal validation split (10 iterations without improvement of the log-loss). Internal performance is the mean AUC over five repeats of stratified five-fold cross-validation in all 231 patients; internal–external cross-validation and the geographical split follow the ridge analysis. The high-sensitivity operating threshold was the largest threshold reaching ≥ 90% sensitivity in repeated cross-validation within the development cohort, frozen and applied to the external predictions. Because a single boosted model depends on the random early-stopping split, the external AUC was also recomputed over 20 seeds.</w:t>
      </w:r>
    </w:p>
    <w:p w14:paraId="5488DA08" w14:textId="77777777" w:rsidR="00F1197D" w:rsidRPr="00520EE2" w:rsidRDefault="00000000" w:rsidP="00520EE2">
      <w:pPr>
        <w:keepNext/>
        <w:spacing w:before="200"/>
        <w:jc w:val="both"/>
        <w:rPr>
          <w:rFonts w:asciiTheme="majorBidi" w:hAnsiTheme="majorBidi" w:cstheme="majorBidi"/>
        </w:rPr>
      </w:pPr>
      <w:r>
        <w:rPr>
          <w:rFonts w:asciiTheme="majorBidi" w:hAnsiTheme="majorBidi" w:cstheme="majorBidi"/>
          <w:b/>
        </w:rPr>
        <w:t xml:space="preserve">Table S13</w:t>
      </w:r>
      <w:r>
        <w:rPr>
          <w:rFonts w:asciiTheme="majorBidi" w:hAnsiTheme="majorBidi" w:cstheme="majorBidi"/>
        </w:rPr>
        <w:t xml:space="preserve"> Histogram gradient boosting for all endpoints (modelling population, n = 231)</w:t>
      </w:r>
    </w:p>
    <w:tbl>
      <w:tblPr>
        <w:tblW w:w="0" w:type="auto"/>
        <w:jc w:val="center"/>
        <w:tblBorders>
          <w:top w:val="single" w:sz="4" w:space="0" w:color="808080"/>
          <w:left w:val="nil"/>
          <w:bottom w:val="single" w:sz="4" w:space="0" w:color="808080"/>
          <w:right w:val="nil"/>
          <w:insideH w:val="single" w:sz="4" w:space="0" w:color="808080"/>
          <w:insideV w:val="nil"/>
        </w:tblBorders>
        <w:tblLayout w:type="fixed"/>
        <w:tblLook w:val="04A0" w:firstRow="1" w:lastRow="0" w:firstColumn="1" w:lastColumn="0" w:noHBand="0" w:noVBand="1"/>
      </w:tblPr>
      <w:tblGrid>
        <w:gridCol w:w="2381"/>
        <w:gridCol w:w="680"/>
        <w:gridCol w:w="1701"/>
        <w:gridCol w:w="1077"/>
        <w:gridCol w:w="1701"/>
        <w:gridCol w:w="1928"/>
        <w:gridCol w:w="1701"/>
        <w:gridCol w:w="1134"/>
        <w:gridCol w:w="1928"/>
      </w:tblGrid>
      <w:tr w:rsidR="00F1197D" w:rsidRPr="00520EE2" w14:paraId="35ECC695" w14:textId="77777777">
        <w:trPr>
          <w:cantSplit/>
          <w:tblHeader/>
          <w:jc w:val="center"/>
        </w:trPr>
        <w:tc>
          <w:tcPr>
            <w:tcW w:w="2381" w:type="dxa"/>
          </w:tcPr>
          <w:p w14:paraId="21213F7F" w14:textId="77777777" w:rsidR="00F1197D" w:rsidRPr="00520EE2" w:rsidRDefault="00000000" w:rsidP="00520EE2">
            <w:pPr>
              <w:keepNext/>
              <w:spacing w:before="20" w:after="0"/>
              <w:jc w:val="both"/>
              <w:rPr>
                <w:rFonts w:asciiTheme="majorBidi" w:hAnsiTheme="majorBidi" w:cstheme="majorBidi"/>
              </w:rPr>
            </w:pPr>
            <w:r>
              <w:rPr>
                <w:rFonts w:asciiTheme="majorBidi" w:hAnsiTheme="majorBidi" w:cstheme="majorBidi"/>
                <w:b/>
                <w:sz w:val="16"/>
              </w:rPr>
              <w:t xml:space="preserve">Endpoint</w:t>
            </w:r>
          </w:p>
        </w:tc>
        <w:tc>
          <w:tcPr>
            <w:tcW w:w="680" w:type="dxa"/>
          </w:tcPr>
          <w:p w14:paraId="138DB5C5" w14:textId="77777777" w:rsidR="00F1197D" w:rsidRPr="00520EE2" w:rsidRDefault="00000000" w:rsidP="00520EE2">
            <w:pPr>
              <w:keepNext/>
              <w:spacing w:before="20" w:after="0"/>
              <w:jc w:val="both"/>
              <w:rPr>
                <w:rFonts w:asciiTheme="majorBidi" w:hAnsiTheme="majorBidi" w:cstheme="majorBidi"/>
              </w:rPr>
            </w:pPr>
            <w:r>
              <w:rPr>
                <w:rFonts w:asciiTheme="majorBidi" w:hAnsiTheme="majorBidi" w:cstheme="majorBidi"/>
                <w:b/>
                <w:sz w:val="16"/>
              </w:rPr>
              <w:t xml:space="preserve">Events</w:t>
            </w:r>
          </w:p>
        </w:tc>
        <w:tc>
          <w:tcPr>
            <w:tcW w:w="1701" w:type="dxa"/>
          </w:tcPr>
          <w:p w14:paraId="3E82F6BF" w14:textId="77777777" w:rsidR="00F1197D" w:rsidRPr="00520EE2" w:rsidRDefault="00000000" w:rsidP="00520EE2">
            <w:pPr>
              <w:keepNext/>
              <w:spacing w:before="20" w:after="0"/>
              <w:jc w:val="both"/>
              <w:rPr>
                <w:rFonts w:asciiTheme="majorBidi" w:hAnsiTheme="majorBidi" w:cstheme="majorBidi"/>
              </w:rPr>
            </w:pPr>
            <w:r>
              <w:rPr>
                <w:rFonts w:asciiTheme="majorBidi" w:hAnsiTheme="majorBidi" w:cstheme="majorBidi"/>
                <w:b/>
                <w:sz w:val="16"/>
              </w:rPr>
              <w:t xml:space="preserve">Internal CV AUC (95% CI)</w:t>
            </w:r>
          </w:p>
        </w:tc>
        <w:tc>
          <w:tcPr>
            <w:tcW w:w="1077" w:type="dxa"/>
          </w:tcPr>
          <w:p w14:paraId="4140CF5C" w14:textId="77777777" w:rsidR="00F1197D" w:rsidRPr="00520EE2" w:rsidRDefault="00000000" w:rsidP="00520EE2">
            <w:pPr>
              <w:keepNext/>
              <w:spacing w:before="20" w:after="0"/>
              <w:jc w:val="both"/>
              <w:rPr>
                <w:rFonts w:asciiTheme="majorBidi" w:hAnsiTheme="majorBidi" w:cstheme="majorBidi"/>
              </w:rPr>
            </w:pPr>
            <w:r>
              <w:rPr>
                <w:rFonts w:asciiTheme="majorBidi" w:hAnsiTheme="majorBidi" w:cstheme="majorBidi"/>
                <w:b/>
                <w:sz w:val="16"/>
              </w:rPr>
              <w:t xml:space="preserve">Calibration slope</w:t>
            </w:r>
          </w:p>
        </w:tc>
        <w:tc>
          <w:tcPr>
            <w:tcW w:w="1701" w:type="dxa"/>
          </w:tcPr>
          <w:p w14:paraId="6E5FCB52" w14:textId="77777777" w:rsidR="00F1197D" w:rsidRPr="00520EE2" w:rsidRDefault="00000000" w:rsidP="00520EE2">
            <w:pPr>
              <w:keepNext/>
              <w:spacing w:before="20" w:after="0"/>
              <w:jc w:val="both"/>
              <w:rPr>
                <w:rFonts w:asciiTheme="majorBidi" w:hAnsiTheme="majorBidi" w:cstheme="majorBidi"/>
              </w:rPr>
            </w:pPr>
            <w:r>
              <w:rPr>
                <w:rFonts w:asciiTheme="majorBidi" w:hAnsiTheme="majorBidi" w:cstheme="majorBidi"/>
                <w:b/>
                <w:sz w:val="16"/>
              </w:rPr>
              <w:t xml:space="preserve">IECV pooled AUC (95% CI)</w:t>
            </w:r>
          </w:p>
        </w:tc>
        <w:tc>
          <w:tcPr>
            <w:tcW w:w="1928" w:type="dxa"/>
          </w:tcPr>
          <w:p w14:paraId="6C07ECE4" w14:textId="77777777" w:rsidR="00F1197D" w:rsidRPr="00520EE2" w:rsidRDefault="00000000" w:rsidP="00520EE2">
            <w:pPr>
              <w:keepNext/>
              <w:spacing w:before="20" w:after="0"/>
              <w:jc w:val="both"/>
              <w:rPr>
                <w:rFonts w:asciiTheme="majorBidi" w:hAnsiTheme="majorBidi" w:cstheme="majorBidi"/>
              </w:rPr>
            </w:pPr>
            <w:r>
              <w:rPr>
                <w:rFonts w:asciiTheme="majorBidi" w:hAnsiTheme="majorBidi" w:cstheme="majorBidi"/>
                <w:b/>
                <w:sz w:val="16"/>
              </w:rPr>
              <w:t xml:space="preserve">Held-out AUC Bologna / Cesena / Liverpool</w:t>
            </w:r>
          </w:p>
        </w:tc>
        <w:tc>
          <w:tcPr>
            <w:tcW w:w="1701" w:type="dxa"/>
          </w:tcPr>
          <w:p w14:paraId="0717DA72" w14:textId="77777777" w:rsidR="00F1197D" w:rsidRPr="00520EE2" w:rsidRDefault="00000000" w:rsidP="00520EE2">
            <w:pPr>
              <w:keepNext/>
              <w:spacing w:before="20" w:after="0"/>
              <w:jc w:val="both"/>
              <w:rPr>
                <w:rFonts w:asciiTheme="majorBidi" w:hAnsiTheme="majorBidi" w:cstheme="majorBidi"/>
              </w:rPr>
            </w:pPr>
            <w:r>
              <w:rPr>
                <w:rFonts w:asciiTheme="majorBidi" w:hAnsiTheme="majorBidi" w:cstheme="majorBidi"/>
                <w:b/>
                <w:sz w:val="16"/>
              </w:rPr>
              <w:t xml:space="preserve">External AUC (95% CI)</w:t>
            </w:r>
          </w:p>
        </w:tc>
        <w:tc>
          <w:tcPr>
            <w:tcW w:w="1134" w:type="dxa"/>
          </w:tcPr>
          <w:p w14:paraId="39240561" w14:textId="77777777" w:rsidR="00F1197D" w:rsidRPr="00520EE2" w:rsidRDefault="00000000" w:rsidP="00520EE2">
            <w:pPr>
              <w:keepNext/>
              <w:spacing w:before="20" w:after="0"/>
              <w:jc w:val="both"/>
              <w:rPr>
                <w:rFonts w:asciiTheme="majorBidi" w:hAnsiTheme="majorBidi" w:cstheme="majorBidi"/>
              </w:rPr>
            </w:pPr>
            <w:r>
              <w:rPr>
                <w:rFonts w:asciiTheme="majorBidi" w:hAnsiTheme="majorBidi" w:cstheme="majorBidi"/>
                <w:b/>
                <w:sz w:val="16"/>
              </w:rPr>
              <w:t xml:space="preserve">External calibration slope</w:t>
            </w:r>
          </w:p>
        </w:tc>
        <w:tc>
          <w:tcPr>
            <w:tcW w:w="1928" w:type="dxa"/>
          </w:tcPr>
          <w:p w14:paraId="35EF3C65" w14:textId="77777777" w:rsidR="00F1197D" w:rsidRPr="00520EE2" w:rsidRDefault="00000000" w:rsidP="00520EE2">
            <w:pPr>
              <w:keepNext/>
              <w:spacing w:before="20" w:after="0"/>
              <w:jc w:val="both"/>
              <w:rPr>
                <w:rFonts w:asciiTheme="majorBidi" w:hAnsiTheme="majorBidi" w:cstheme="majorBidi"/>
              </w:rPr>
            </w:pPr>
            <w:r>
              <w:rPr>
                <w:rFonts w:asciiTheme="majorBidi" w:hAnsiTheme="majorBidi" w:cstheme="majorBidi"/>
                <w:b/>
                <w:sz w:val="16"/>
              </w:rPr>
              <w:t xml:space="preserve">External AUC over 20 seeds, median (range)</w:t>
            </w:r>
          </w:p>
        </w:tc>
      </w:tr>
      <w:tr w:rsidR="00F1197D" w:rsidRPr="00520EE2" w14:paraId="0AA39876" w14:textId="77777777">
        <w:trPr>
          <w:cantSplit/>
          <w:jc w:val="center"/>
        </w:trPr>
        <w:tc>
          <w:tcPr>
            <w:tcW w:w="2381" w:type="dxa"/>
          </w:tcPr>
          <w:p w14:paraId="578B1E70" w14:textId="77777777" w:rsidR="00F1197D" w:rsidRPr="00520EE2" w:rsidRDefault="00000000" w:rsidP="00520EE2">
            <w:pPr>
              <w:keepNext/>
              <w:spacing w:before="20" w:after="0"/>
              <w:jc w:val="both"/>
              <w:rPr>
                <w:rFonts w:asciiTheme="majorBidi" w:hAnsiTheme="majorBidi" w:cstheme="majorBidi"/>
              </w:rPr>
            </w:pPr>
            <w:r>
              <w:rPr>
                <w:rFonts w:asciiTheme="majorBidi" w:hAnsiTheme="majorBidi" w:cstheme="majorBidi"/>
                <w:sz w:val="16"/>
              </w:rPr>
              <w:t xml:space="preserve">Medical complication</w:t>
            </w:r>
          </w:p>
        </w:tc>
        <w:tc>
          <w:tcPr>
            <w:tcW w:w="680" w:type="dxa"/>
          </w:tcPr>
          <w:p w14:paraId="0F1BA680" w14:textId="77777777" w:rsidR="00F1197D" w:rsidRPr="00520EE2" w:rsidRDefault="00000000" w:rsidP="00520EE2">
            <w:pPr>
              <w:keepNext/>
              <w:spacing w:before="20" w:after="0"/>
              <w:jc w:val="both"/>
              <w:rPr>
                <w:rFonts w:asciiTheme="majorBidi" w:hAnsiTheme="majorBidi" w:cstheme="majorBidi"/>
              </w:rPr>
            </w:pPr>
            <w:r>
              <w:rPr>
                <w:rFonts w:asciiTheme="majorBidi" w:hAnsiTheme="majorBidi" w:cstheme="majorBidi"/>
                <w:sz w:val="16"/>
              </w:rPr>
              <w:t xml:space="preserve">36</w:t>
            </w:r>
          </w:p>
        </w:tc>
        <w:tc>
          <w:tcPr>
            <w:tcW w:w="1701" w:type="dxa"/>
          </w:tcPr>
          <w:p w14:paraId="32CF40FC" w14:textId="77777777" w:rsidR="00F1197D" w:rsidRPr="00520EE2" w:rsidRDefault="00000000" w:rsidP="00520EE2">
            <w:pPr>
              <w:keepNext/>
              <w:spacing w:before="20" w:after="0"/>
              <w:jc w:val="both"/>
              <w:rPr>
                <w:rFonts w:asciiTheme="majorBidi" w:hAnsiTheme="majorBidi" w:cstheme="majorBidi"/>
              </w:rPr>
            </w:pPr>
            <w:r>
              <w:rPr>
                <w:rFonts w:asciiTheme="majorBidi" w:hAnsiTheme="majorBidi" w:cstheme="majorBidi"/>
                <w:sz w:val="16"/>
              </w:rPr>
              <w:t xml:space="preserve">0.728 (0.644–0.829)</w:t>
            </w:r>
          </w:p>
        </w:tc>
        <w:tc>
          <w:tcPr>
            <w:tcW w:w="1077" w:type="dxa"/>
          </w:tcPr>
          <w:p w14:paraId="53FCDE22" w14:textId="77777777" w:rsidR="00F1197D" w:rsidRPr="00520EE2" w:rsidRDefault="00000000" w:rsidP="00520EE2">
            <w:pPr>
              <w:keepNext/>
              <w:spacing w:before="20" w:after="0"/>
              <w:jc w:val="both"/>
              <w:rPr>
                <w:rFonts w:asciiTheme="majorBidi" w:hAnsiTheme="majorBidi" w:cstheme="majorBidi"/>
              </w:rPr>
            </w:pPr>
            <w:r>
              <w:rPr>
                <w:rFonts w:asciiTheme="majorBidi" w:hAnsiTheme="majorBidi" w:cstheme="majorBidi"/>
                <w:sz w:val="16"/>
              </w:rPr>
              <w:t xml:space="preserve">0.72</w:t>
            </w:r>
          </w:p>
        </w:tc>
        <w:tc>
          <w:tcPr>
            <w:tcW w:w="1701" w:type="dxa"/>
          </w:tcPr>
          <w:p w14:paraId="26E2AF58" w14:textId="77777777" w:rsidR="00F1197D" w:rsidRPr="00520EE2" w:rsidRDefault="00000000" w:rsidP="00520EE2">
            <w:pPr>
              <w:keepNext/>
              <w:spacing w:before="20" w:after="0"/>
              <w:jc w:val="both"/>
              <w:rPr>
                <w:rFonts w:asciiTheme="majorBidi" w:hAnsiTheme="majorBidi" w:cstheme="majorBidi"/>
              </w:rPr>
            </w:pPr>
            <w:r>
              <w:rPr>
                <w:rFonts w:asciiTheme="majorBidi" w:hAnsiTheme="majorBidi" w:cstheme="majorBidi"/>
                <w:sz w:val="16"/>
              </w:rPr>
              <w:t xml:space="preserve">0.722 (0.601–0.817)</w:t>
            </w:r>
          </w:p>
        </w:tc>
        <w:tc>
          <w:tcPr>
            <w:tcW w:w="1928" w:type="dxa"/>
          </w:tcPr>
          <w:p w14:paraId="616D9982" w14:textId="77777777" w:rsidR="00F1197D" w:rsidRPr="00520EE2" w:rsidRDefault="00000000" w:rsidP="00520EE2">
            <w:pPr>
              <w:keepNext/>
              <w:spacing w:before="20" w:after="0"/>
              <w:jc w:val="both"/>
              <w:rPr>
                <w:rFonts w:asciiTheme="majorBidi" w:hAnsiTheme="majorBidi" w:cstheme="majorBidi"/>
              </w:rPr>
            </w:pPr>
            <w:r>
              <w:rPr>
                <w:rFonts w:asciiTheme="majorBidi" w:hAnsiTheme="majorBidi" w:cstheme="majorBidi"/>
                <w:sz w:val="16"/>
              </w:rPr>
              <w:t xml:space="preserve">0.684 / 0.792 / 0.834</w:t>
            </w:r>
          </w:p>
        </w:tc>
        <w:tc>
          <w:tcPr>
            <w:tcW w:w="1701" w:type="dxa"/>
          </w:tcPr>
          <w:p w14:paraId="44A70890" w14:textId="77777777" w:rsidR="00F1197D" w:rsidRPr="00520EE2" w:rsidRDefault="00000000" w:rsidP="00520EE2">
            <w:pPr>
              <w:keepNext/>
              <w:spacing w:before="20" w:after="0"/>
              <w:jc w:val="both"/>
              <w:rPr>
                <w:rFonts w:asciiTheme="majorBidi" w:hAnsiTheme="majorBidi" w:cstheme="majorBidi"/>
              </w:rPr>
            </w:pPr>
            <w:r>
              <w:rPr>
                <w:rFonts w:asciiTheme="majorBidi" w:hAnsiTheme="majorBidi" w:cstheme="majorBidi"/>
                <w:sz w:val="16"/>
              </w:rPr>
              <w:t xml:space="preserve">0.834 (0.650–0.967)</w:t>
            </w:r>
          </w:p>
        </w:tc>
        <w:tc>
          <w:tcPr>
            <w:tcW w:w="1134" w:type="dxa"/>
          </w:tcPr>
          <w:p w14:paraId="57004B36" w14:textId="77777777" w:rsidR="00F1197D" w:rsidRPr="00520EE2" w:rsidRDefault="00000000" w:rsidP="00520EE2">
            <w:pPr>
              <w:keepNext/>
              <w:spacing w:before="20" w:after="0"/>
              <w:jc w:val="both"/>
              <w:rPr>
                <w:rFonts w:asciiTheme="majorBidi" w:hAnsiTheme="majorBidi" w:cstheme="majorBidi"/>
              </w:rPr>
            </w:pPr>
            <w:r>
              <w:rPr>
                <w:rFonts w:asciiTheme="majorBidi" w:hAnsiTheme="majorBidi" w:cstheme="majorBidi"/>
                <w:sz w:val="16"/>
              </w:rPr>
              <w:t xml:space="preserve">1.29</w:t>
            </w:r>
          </w:p>
        </w:tc>
        <w:tc>
          <w:tcPr>
            <w:tcW w:w="1928" w:type="dxa"/>
          </w:tcPr>
          <w:p w14:paraId="41523AB9" w14:textId="77777777" w:rsidR="00F1197D" w:rsidRPr="00520EE2" w:rsidRDefault="00000000" w:rsidP="00520EE2">
            <w:pPr>
              <w:keepNext/>
              <w:spacing w:before="20" w:after="0"/>
              <w:jc w:val="both"/>
              <w:rPr>
                <w:rFonts w:asciiTheme="majorBidi" w:hAnsiTheme="majorBidi" w:cstheme="majorBidi"/>
              </w:rPr>
            </w:pPr>
            <w:r>
              <w:rPr>
                <w:rFonts w:asciiTheme="majorBidi" w:hAnsiTheme="majorBidi" w:cstheme="majorBidi"/>
                <w:sz w:val="16"/>
              </w:rPr>
              <w:t xml:space="preserve">0.829 (0.749–0.909)</w:t>
            </w:r>
          </w:p>
        </w:tc>
      </w:tr>
      <w:tr w:rsidR="00F1197D" w:rsidRPr="00520EE2" w14:paraId="3B7C3414" w14:textId="77777777">
        <w:trPr>
          <w:cantSplit/>
          <w:jc w:val="center"/>
        </w:trPr>
        <w:tc>
          <w:tcPr>
            <w:tcW w:w="2381" w:type="dxa"/>
          </w:tcPr>
          <w:p w14:paraId="411CA4C2" w14:textId="77777777" w:rsidR="00F1197D" w:rsidRPr="00520EE2" w:rsidRDefault="00000000" w:rsidP="00520EE2">
            <w:pPr>
              <w:keepNext/>
              <w:spacing w:before="20" w:after="0"/>
              <w:jc w:val="both"/>
              <w:rPr>
                <w:rFonts w:asciiTheme="majorBidi" w:hAnsiTheme="majorBidi" w:cstheme="majorBidi"/>
              </w:rPr>
            </w:pPr>
            <w:r>
              <w:rPr>
                <w:rFonts w:asciiTheme="majorBidi" w:hAnsiTheme="majorBidi" w:cstheme="majorBidi"/>
                <w:sz w:val="16"/>
              </w:rPr>
              <w:t xml:space="preserve">Surgical complication</w:t>
            </w:r>
          </w:p>
        </w:tc>
        <w:tc>
          <w:tcPr>
            <w:tcW w:w="680" w:type="dxa"/>
          </w:tcPr>
          <w:p w14:paraId="02E981AB" w14:textId="77777777" w:rsidR="00F1197D" w:rsidRPr="00520EE2" w:rsidRDefault="00000000" w:rsidP="00520EE2">
            <w:pPr>
              <w:keepNext/>
              <w:spacing w:before="20" w:after="0"/>
              <w:jc w:val="both"/>
              <w:rPr>
                <w:rFonts w:asciiTheme="majorBidi" w:hAnsiTheme="majorBidi" w:cstheme="majorBidi"/>
              </w:rPr>
            </w:pPr>
            <w:r>
              <w:rPr>
                <w:rFonts w:asciiTheme="majorBidi" w:hAnsiTheme="majorBidi" w:cstheme="majorBidi"/>
                <w:sz w:val="16"/>
              </w:rPr>
              <w:t xml:space="preserve">21</w:t>
            </w:r>
          </w:p>
        </w:tc>
        <w:tc>
          <w:tcPr>
            <w:tcW w:w="1701" w:type="dxa"/>
          </w:tcPr>
          <w:p w14:paraId="532032C5" w14:textId="77777777" w:rsidR="00F1197D" w:rsidRPr="00520EE2" w:rsidRDefault="00000000" w:rsidP="00520EE2">
            <w:pPr>
              <w:keepNext/>
              <w:spacing w:before="20" w:after="0"/>
              <w:jc w:val="both"/>
              <w:rPr>
                <w:rFonts w:asciiTheme="majorBidi" w:hAnsiTheme="majorBidi" w:cstheme="majorBidi"/>
              </w:rPr>
            </w:pPr>
            <w:r>
              <w:rPr>
                <w:rFonts w:asciiTheme="majorBidi" w:hAnsiTheme="majorBidi" w:cstheme="majorBidi"/>
                <w:sz w:val="16"/>
              </w:rPr>
              <w:t xml:space="preserve">0.624 (0.495–0.789)</w:t>
            </w:r>
          </w:p>
        </w:tc>
        <w:tc>
          <w:tcPr>
            <w:tcW w:w="1077" w:type="dxa"/>
          </w:tcPr>
          <w:p w14:paraId="15488B82" w14:textId="77777777" w:rsidR="00F1197D" w:rsidRPr="00520EE2" w:rsidRDefault="00000000" w:rsidP="00520EE2">
            <w:pPr>
              <w:keepNext/>
              <w:spacing w:before="20" w:after="0"/>
              <w:jc w:val="both"/>
              <w:rPr>
                <w:rFonts w:asciiTheme="majorBidi" w:hAnsiTheme="majorBidi" w:cstheme="majorBidi"/>
              </w:rPr>
            </w:pPr>
            <w:r>
              <w:rPr>
                <w:rFonts w:asciiTheme="majorBidi" w:hAnsiTheme="majorBidi" w:cstheme="majorBidi"/>
                <w:sz w:val="16"/>
              </w:rPr>
              <w:t xml:space="preserve">0.74</w:t>
            </w:r>
          </w:p>
        </w:tc>
        <w:tc>
          <w:tcPr>
            <w:tcW w:w="1701" w:type="dxa"/>
          </w:tcPr>
          <w:p w14:paraId="1B1CBFD6" w14:textId="77777777" w:rsidR="00F1197D" w:rsidRPr="00520EE2" w:rsidRDefault="00000000" w:rsidP="00520EE2">
            <w:pPr>
              <w:keepNext/>
              <w:spacing w:before="20" w:after="0"/>
              <w:jc w:val="both"/>
              <w:rPr>
                <w:rFonts w:asciiTheme="majorBidi" w:hAnsiTheme="majorBidi" w:cstheme="majorBidi"/>
              </w:rPr>
            </w:pPr>
            <w:r>
              <w:rPr>
                <w:rFonts w:asciiTheme="majorBidi" w:hAnsiTheme="majorBidi" w:cstheme="majorBidi"/>
                <w:sz w:val="16"/>
              </w:rPr>
              <w:t xml:space="preserve">0.601 (0.420–0.758)</w:t>
            </w:r>
          </w:p>
        </w:tc>
        <w:tc>
          <w:tcPr>
            <w:tcW w:w="1928" w:type="dxa"/>
          </w:tcPr>
          <w:p w14:paraId="38F844C4" w14:textId="77777777" w:rsidR="00F1197D" w:rsidRPr="00520EE2" w:rsidRDefault="00000000" w:rsidP="00520EE2">
            <w:pPr>
              <w:keepNext/>
              <w:spacing w:before="20" w:after="0"/>
              <w:jc w:val="both"/>
              <w:rPr>
                <w:rFonts w:asciiTheme="majorBidi" w:hAnsiTheme="majorBidi" w:cstheme="majorBidi"/>
              </w:rPr>
            </w:pPr>
            <w:r>
              <w:rPr>
                <w:rFonts w:asciiTheme="majorBidi" w:hAnsiTheme="majorBidi" w:cstheme="majorBidi"/>
                <w:sz w:val="16"/>
              </w:rPr>
              <w:t xml:space="preserve">0.497 / 0.566 / 0.726</w:t>
            </w:r>
          </w:p>
        </w:tc>
        <w:tc>
          <w:tcPr>
            <w:tcW w:w="1701" w:type="dxa"/>
          </w:tcPr>
          <w:p w14:paraId="2772ECBF" w14:textId="77777777" w:rsidR="00F1197D" w:rsidRPr="00520EE2" w:rsidRDefault="00000000" w:rsidP="00520EE2">
            <w:pPr>
              <w:keepNext/>
              <w:spacing w:before="20" w:after="0"/>
              <w:jc w:val="both"/>
              <w:rPr>
                <w:rFonts w:asciiTheme="majorBidi" w:hAnsiTheme="majorBidi" w:cstheme="majorBidi"/>
              </w:rPr>
            </w:pPr>
            <w:r>
              <w:rPr>
                <w:rFonts w:asciiTheme="majorBidi" w:hAnsiTheme="majorBidi" w:cstheme="majorBidi"/>
                <w:sz w:val="16"/>
              </w:rPr>
              <w:t xml:space="preserve">0.726 (0.466–0.925)</w:t>
            </w:r>
          </w:p>
        </w:tc>
        <w:tc>
          <w:tcPr>
            <w:tcW w:w="1134" w:type="dxa"/>
          </w:tcPr>
          <w:p w14:paraId="7EF1112F" w14:textId="77777777" w:rsidR="00F1197D" w:rsidRPr="00520EE2" w:rsidRDefault="00000000" w:rsidP="00520EE2">
            <w:pPr>
              <w:keepNext/>
              <w:spacing w:before="20" w:after="0"/>
              <w:jc w:val="both"/>
              <w:rPr>
                <w:rFonts w:asciiTheme="majorBidi" w:hAnsiTheme="majorBidi" w:cstheme="majorBidi"/>
              </w:rPr>
            </w:pPr>
            <w:r>
              <w:rPr>
                <w:rFonts w:asciiTheme="majorBidi" w:hAnsiTheme="majorBidi" w:cstheme="majorBidi"/>
                <w:sz w:val="16"/>
              </w:rPr>
              <w:t xml:space="preserve">0.96</w:t>
            </w:r>
          </w:p>
        </w:tc>
        <w:tc>
          <w:tcPr>
            <w:tcW w:w="1928" w:type="dxa"/>
          </w:tcPr>
          <w:p w14:paraId="012D21F4" w14:textId="77777777" w:rsidR="00F1197D" w:rsidRPr="00520EE2" w:rsidRDefault="00000000" w:rsidP="00520EE2">
            <w:pPr>
              <w:keepNext/>
              <w:spacing w:before="20" w:after="0"/>
              <w:jc w:val="both"/>
              <w:rPr>
                <w:rFonts w:asciiTheme="majorBidi" w:hAnsiTheme="majorBidi" w:cstheme="majorBidi"/>
              </w:rPr>
            </w:pPr>
            <w:r>
              <w:rPr>
                <w:rFonts w:asciiTheme="majorBidi" w:hAnsiTheme="majorBidi" w:cstheme="majorBidi"/>
                <w:sz w:val="16"/>
              </w:rPr>
              <w:t xml:space="preserve">0.699 (0.550–0.762)</w:t>
            </w:r>
          </w:p>
        </w:tc>
      </w:tr>
      <w:tr w:rsidR="00F1197D" w:rsidRPr="00520EE2" w14:paraId="35ED124C" w14:textId="77777777">
        <w:trPr>
          <w:cantSplit/>
          <w:jc w:val="center"/>
        </w:trPr>
        <w:tc>
          <w:tcPr>
            <w:tcW w:w="2381" w:type="dxa"/>
          </w:tcPr>
          <w:p w14:paraId="26E6C413" w14:textId="77777777" w:rsidR="00F1197D" w:rsidRPr="00520EE2" w:rsidRDefault="00000000" w:rsidP="00520EE2">
            <w:pPr>
              <w:keepNext/>
              <w:spacing w:before="20" w:after="0"/>
              <w:jc w:val="both"/>
              <w:rPr>
                <w:rFonts w:asciiTheme="majorBidi" w:hAnsiTheme="majorBidi" w:cstheme="majorBidi"/>
              </w:rPr>
            </w:pPr>
            <w:r>
              <w:rPr>
                <w:rFonts w:asciiTheme="majorBidi" w:hAnsiTheme="majorBidi" w:cstheme="majorBidi"/>
                <w:sz w:val="16"/>
              </w:rPr>
              <w:t xml:space="preserve">Non-neurological composite</w:t>
            </w:r>
          </w:p>
        </w:tc>
        <w:tc>
          <w:tcPr>
            <w:tcW w:w="680" w:type="dxa"/>
          </w:tcPr>
          <w:p w14:paraId="7DFCE5EA" w14:textId="77777777" w:rsidR="00F1197D" w:rsidRPr="00520EE2" w:rsidRDefault="00000000" w:rsidP="00520EE2">
            <w:pPr>
              <w:keepNext/>
              <w:spacing w:before="20" w:after="0"/>
              <w:jc w:val="both"/>
              <w:rPr>
                <w:rFonts w:asciiTheme="majorBidi" w:hAnsiTheme="majorBidi" w:cstheme="majorBidi"/>
              </w:rPr>
            </w:pPr>
            <w:r>
              <w:rPr>
                <w:rFonts w:asciiTheme="majorBidi" w:hAnsiTheme="majorBidi" w:cstheme="majorBidi"/>
                <w:sz w:val="16"/>
              </w:rPr>
              <w:t xml:space="preserve">50</w:t>
            </w:r>
          </w:p>
        </w:tc>
        <w:tc>
          <w:tcPr>
            <w:tcW w:w="1701" w:type="dxa"/>
          </w:tcPr>
          <w:p w14:paraId="6A0D3A1E" w14:textId="77777777" w:rsidR="00F1197D" w:rsidRPr="00520EE2" w:rsidRDefault="00000000" w:rsidP="00520EE2">
            <w:pPr>
              <w:keepNext/>
              <w:spacing w:before="20" w:after="0"/>
              <w:jc w:val="both"/>
              <w:rPr>
                <w:rFonts w:asciiTheme="majorBidi" w:hAnsiTheme="majorBidi" w:cstheme="majorBidi"/>
              </w:rPr>
            </w:pPr>
            <w:r>
              <w:rPr>
                <w:rFonts w:asciiTheme="majorBidi" w:hAnsiTheme="majorBidi" w:cstheme="majorBidi"/>
                <w:sz w:val="16"/>
              </w:rPr>
              <w:t xml:space="preserve">0.697 (0.623–0.800)</w:t>
            </w:r>
          </w:p>
        </w:tc>
        <w:tc>
          <w:tcPr>
            <w:tcW w:w="1077" w:type="dxa"/>
          </w:tcPr>
          <w:p w14:paraId="187B7155" w14:textId="77777777" w:rsidR="00F1197D" w:rsidRPr="00520EE2" w:rsidRDefault="00000000" w:rsidP="00520EE2">
            <w:pPr>
              <w:keepNext/>
              <w:spacing w:before="20" w:after="0"/>
              <w:jc w:val="both"/>
              <w:rPr>
                <w:rFonts w:asciiTheme="majorBidi" w:hAnsiTheme="majorBidi" w:cstheme="majorBidi"/>
              </w:rPr>
            </w:pPr>
            <w:r>
              <w:rPr>
                <w:rFonts w:asciiTheme="majorBidi" w:hAnsiTheme="majorBidi" w:cstheme="majorBidi"/>
                <w:sz w:val="16"/>
              </w:rPr>
              <w:t xml:space="preserve">0.84</w:t>
            </w:r>
          </w:p>
        </w:tc>
        <w:tc>
          <w:tcPr>
            <w:tcW w:w="1701" w:type="dxa"/>
          </w:tcPr>
          <w:p w14:paraId="52B79AF3" w14:textId="77777777" w:rsidR="00F1197D" w:rsidRPr="00520EE2" w:rsidRDefault="00000000" w:rsidP="00520EE2">
            <w:pPr>
              <w:keepNext/>
              <w:spacing w:before="20" w:after="0"/>
              <w:jc w:val="both"/>
              <w:rPr>
                <w:rFonts w:asciiTheme="majorBidi" w:hAnsiTheme="majorBidi" w:cstheme="majorBidi"/>
              </w:rPr>
            </w:pPr>
            <w:r>
              <w:rPr>
                <w:rFonts w:asciiTheme="majorBidi" w:hAnsiTheme="majorBidi" w:cstheme="majorBidi"/>
                <w:sz w:val="16"/>
              </w:rPr>
              <w:t xml:space="preserve">0.674 (0.569–0.764)</w:t>
            </w:r>
          </w:p>
        </w:tc>
        <w:tc>
          <w:tcPr>
            <w:tcW w:w="1928" w:type="dxa"/>
          </w:tcPr>
          <w:p w14:paraId="68C04AA5" w14:textId="77777777" w:rsidR="00F1197D" w:rsidRPr="00520EE2" w:rsidRDefault="00000000" w:rsidP="00520EE2">
            <w:pPr>
              <w:keepNext/>
              <w:spacing w:before="20" w:after="0"/>
              <w:jc w:val="both"/>
              <w:rPr>
                <w:rFonts w:asciiTheme="majorBidi" w:hAnsiTheme="majorBidi" w:cstheme="majorBidi"/>
              </w:rPr>
            </w:pPr>
            <w:r>
              <w:rPr>
                <w:rFonts w:asciiTheme="majorBidi" w:hAnsiTheme="majorBidi" w:cstheme="majorBidi"/>
                <w:sz w:val="16"/>
              </w:rPr>
              <w:t xml:space="preserve">0.651 / 0.600 / 0.794</w:t>
            </w:r>
          </w:p>
        </w:tc>
        <w:tc>
          <w:tcPr>
            <w:tcW w:w="1701" w:type="dxa"/>
          </w:tcPr>
          <w:p w14:paraId="33FC8B23" w14:textId="77777777" w:rsidR="00F1197D" w:rsidRPr="00520EE2" w:rsidRDefault="00000000" w:rsidP="00520EE2">
            <w:pPr>
              <w:keepNext/>
              <w:spacing w:before="20" w:after="0"/>
              <w:jc w:val="both"/>
              <w:rPr>
                <w:rFonts w:asciiTheme="majorBidi" w:hAnsiTheme="majorBidi" w:cstheme="majorBidi"/>
              </w:rPr>
            </w:pPr>
            <w:r>
              <w:rPr>
                <w:rFonts w:asciiTheme="majorBidi" w:hAnsiTheme="majorBidi" w:cstheme="majorBidi"/>
                <w:sz w:val="16"/>
              </w:rPr>
              <w:t xml:space="preserve">0.794 (0.639–0.926)</w:t>
            </w:r>
          </w:p>
        </w:tc>
        <w:tc>
          <w:tcPr>
            <w:tcW w:w="1134" w:type="dxa"/>
          </w:tcPr>
          <w:p w14:paraId="7A728678" w14:textId="77777777" w:rsidR="00F1197D" w:rsidRPr="00520EE2" w:rsidRDefault="00000000" w:rsidP="00520EE2">
            <w:pPr>
              <w:keepNext/>
              <w:spacing w:before="20" w:after="0"/>
              <w:jc w:val="both"/>
              <w:rPr>
                <w:rFonts w:asciiTheme="majorBidi" w:hAnsiTheme="majorBidi" w:cstheme="majorBidi"/>
              </w:rPr>
            </w:pPr>
            <w:r>
              <w:rPr>
                <w:rFonts w:asciiTheme="majorBidi" w:hAnsiTheme="majorBidi" w:cstheme="majorBidi"/>
                <w:sz w:val="16"/>
              </w:rPr>
              <w:t xml:space="preserve">0.98</w:t>
            </w:r>
          </w:p>
        </w:tc>
        <w:tc>
          <w:tcPr>
            <w:tcW w:w="1928" w:type="dxa"/>
          </w:tcPr>
          <w:p w14:paraId="169D91BF" w14:textId="77777777" w:rsidR="00F1197D" w:rsidRPr="00520EE2" w:rsidRDefault="00000000" w:rsidP="00520EE2">
            <w:pPr>
              <w:keepNext/>
              <w:spacing w:before="20" w:after="0"/>
              <w:jc w:val="both"/>
              <w:rPr>
                <w:rFonts w:asciiTheme="majorBidi" w:hAnsiTheme="majorBidi" w:cstheme="majorBidi"/>
              </w:rPr>
            </w:pPr>
            <w:r>
              <w:rPr>
                <w:rFonts w:asciiTheme="majorBidi" w:hAnsiTheme="majorBidi" w:cstheme="majorBidi"/>
                <w:sz w:val="16"/>
              </w:rPr>
              <w:t xml:space="preserve">0.783 (0.730–0.860)</w:t>
            </w:r>
          </w:p>
        </w:tc>
      </w:tr>
      <w:tr w:rsidR="00F1197D" w:rsidRPr="00520EE2" w14:paraId="3CE4AC05" w14:textId="77777777">
        <w:trPr>
          <w:cantSplit/>
          <w:jc w:val="center"/>
        </w:trPr>
        <w:tc>
          <w:tcPr>
            <w:tcW w:w="2381" w:type="dxa"/>
          </w:tcPr>
          <w:p w14:paraId="62E3B324" w14:textId="77777777" w:rsidR="00F1197D" w:rsidRPr="00520EE2" w:rsidRDefault="00000000" w:rsidP="00520EE2">
            <w:pPr>
              <w:keepNext/>
              <w:spacing w:before="20" w:after="0"/>
              <w:jc w:val="both"/>
              <w:rPr>
                <w:rFonts w:asciiTheme="majorBidi" w:hAnsiTheme="majorBidi" w:cstheme="majorBidi"/>
              </w:rPr>
            </w:pPr>
            <w:r>
              <w:rPr>
                <w:rFonts w:asciiTheme="majorBidi" w:hAnsiTheme="majorBidi" w:cstheme="majorBidi"/>
                <w:sz w:val="16"/>
              </w:rPr>
              <w:t xml:space="preserve">New or worsened motor deficit</w:t>
            </w:r>
          </w:p>
        </w:tc>
        <w:tc>
          <w:tcPr>
            <w:tcW w:w="680" w:type="dxa"/>
          </w:tcPr>
          <w:p w14:paraId="545C5B7F" w14:textId="77777777" w:rsidR="00F1197D" w:rsidRPr="00520EE2" w:rsidRDefault="00000000" w:rsidP="00520EE2">
            <w:pPr>
              <w:keepNext/>
              <w:spacing w:before="20" w:after="0"/>
              <w:jc w:val="both"/>
              <w:rPr>
                <w:rFonts w:asciiTheme="majorBidi" w:hAnsiTheme="majorBidi" w:cstheme="majorBidi"/>
              </w:rPr>
            </w:pPr>
            <w:r>
              <w:rPr>
                <w:rFonts w:asciiTheme="majorBidi" w:hAnsiTheme="majorBidi" w:cstheme="majorBidi"/>
                <w:sz w:val="16"/>
              </w:rPr>
              <w:t xml:space="preserve">30</w:t>
            </w:r>
          </w:p>
        </w:tc>
        <w:tc>
          <w:tcPr>
            <w:tcW w:w="1701" w:type="dxa"/>
          </w:tcPr>
          <w:p w14:paraId="762EF4CB" w14:textId="77777777" w:rsidR="00F1197D" w:rsidRPr="00520EE2" w:rsidRDefault="00000000" w:rsidP="00520EE2">
            <w:pPr>
              <w:keepNext/>
              <w:spacing w:before="20" w:after="0"/>
              <w:jc w:val="both"/>
              <w:rPr>
                <w:rFonts w:asciiTheme="majorBidi" w:hAnsiTheme="majorBidi" w:cstheme="majorBidi"/>
              </w:rPr>
            </w:pPr>
            <w:r>
              <w:rPr>
                <w:rFonts w:asciiTheme="majorBidi" w:hAnsiTheme="majorBidi" w:cstheme="majorBidi"/>
                <w:sz w:val="16"/>
              </w:rPr>
              <w:t xml:space="preserve">0.676 (0.594–0.800)</w:t>
            </w:r>
          </w:p>
        </w:tc>
        <w:tc>
          <w:tcPr>
            <w:tcW w:w="1077" w:type="dxa"/>
          </w:tcPr>
          <w:p w14:paraId="027211E7" w14:textId="77777777" w:rsidR="00F1197D" w:rsidRPr="00520EE2" w:rsidRDefault="00000000" w:rsidP="00520EE2">
            <w:pPr>
              <w:keepNext/>
              <w:spacing w:before="20" w:after="0"/>
              <w:jc w:val="both"/>
              <w:rPr>
                <w:rFonts w:asciiTheme="majorBidi" w:hAnsiTheme="majorBidi" w:cstheme="majorBidi"/>
              </w:rPr>
            </w:pPr>
            <w:r>
              <w:rPr>
                <w:rFonts w:asciiTheme="majorBidi" w:hAnsiTheme="majorBidi" w:cstheme="majorBidi"/>
                <w:sz w:val="16"/>
              </w:rPr>
              <w:t xml:space="preserve">0.83</w:t>
            </w:r>
          </w:p>
        </w:tc>
        <w:tc>
          <w:tcPr>
            <w:tcW w:w="1701" w:type="dxa"/>
          </w:tcPr>
          <w:p w14:paraId="6D256BA9" w14:textId="77777777" w:rsidR="00F1197D" w:rsidRPr="00520EE2" w:rsidRDefault="00000000" w:rsidP="00520EE2">
            <w:pPr>
              <w:keepNext/>
              <w:spacing w:before="20" w:after="0"/>
              <w:jc w:val="both"/>
              <w:rPr>
                <w:rFonts w:asciiTheme="majorBidi" w:hAnsiTheme="majorBidi" w:cstheme="majorBidi"/>
              </w:rPr>
            </w:pPr>
            <w:r>
              <w:rPr>
                <w:rFonts w:asciiTheme="majorBidi" w:hAnsiTheme="majorBidi" w:cstheme="majorBidi"/>
                <w:sz w:val="16"/>
              </w:rPr>
              <w:t xml:space="preserve">0.639 (0.520–0.743)</w:t>
            </w:r>
          </w:p>
        </w:tc>
        <w:tc>
          <w:tcPr>
            <w:tcW w:w="1928" w:type="dxa"/>
          </w:tcPr>
          <w:p w14:paraId="4FA01AB2" w14:textId="77777777" w:rsidR="00F1197D" w:rsidRPr="00520EE2" w:rsidRDefault="00000000" w:rsidP="00520EE2">
            <w:pPr>
              <w:keepNext/>
              <w:spacing w:before="20" w:after="0"/>
              <w:jc w:val="both"/>
              <w:rPr>
                <w:rFonts w:asciiTheme="majorBidi" w:hAnsiTheme="majorBidi" w:cstheme="majorBidi"/>
              </w:rPr>
            </w:pPr>
            <w:r>
              <w:rPr>
                <w:rFonts w:asciiTheme="majorBidi" w:hAnsiTheme="majorBidi" w:cstheme="majorBidi"/>
                <w:sz w:val="16"/>
              </w:rPr>
              <w:t xml:space="preserve">0.644 / n.e. / 0.625</w:t>
            </w:r>
          </w:p>
        </w:tc>
        <w:tc>
          <w:tcPr>
            <w:tcW w:w="1701" w:type="dxa"/>
          </w:tcPr>
          <w:p w14:paraId="4C2D0970" w14:textId="77777777" w:rsidR="00F1197D" w:rsidRPr="00520EE2" w:rsidRDefault="00000000" w:rsidP="00520EE2">
            <w:pPr>
              <w:keepNext/>
              <w:spacing w:before="20" w:after="0"/>
              <w:jc w:val="both"/>
              <w:rPr>
                <w:rFonts w:asciiTheme="majorBidi" w:hAnsiTheme="majorBidi" w:cstheme="majorBidi"/>
              </w:rPr>
            </w:pPr>
            <w:r>
              <w:rPr>
                <w:rFonts w:asciiTheme="majorBidi" w:hAnsiTheme="majorBidi" w:cstheme="majorBidi"/>
                <w:sz w:val="16"/>
              </w:rPr>
              <w:t xml:space="preserve">0.625 (0.422–0.822)</w:t>
            </w:r>
          </w:p>
        </w:tc>
        <w:tc>
          <w:tcPr>
            <w:tcW w:w="1134" w:type="dxa"/>
          </w:tcPr>
          <w:p w14:paraId="76CFE14E" w14:textId="77777777" w:rsidR="00F1197D" w:rsidRPr="00520EE2" w:rsidRDefault="00000000" w:rsidP="00520EE2">
            <w:pPr>
              <w:keepNext/>
              <w:spacing w:before="20" w:after="0"/>
              <w:jc w:val="both"/>
              <w:rPr>
                <w:rFonts w:asciiTheme="majorBidi" w:hAnsiTheme="majorBidi" w:cstheme="majorBidi"/>
              </w:rPr>
            </w:pPr>
            <w:r>
              <w:rPr>
                <w:rFonts w:asciiTheme="majorBidi" w:hAnsiTheme="majorBidi" w:cstheme="majorBidi"/>
                <w:sz w:val="16"/>
              </w:rPr>
              <w:t xml:space="preserve">0.42</w:t>
            </w:r>
          </w:p>
        </w:tc>
        <w:tc>
          <w:tcPr>
            <w:tcW w:w="1928" w:type="dxa"/>
          </w:tcPr>
          <w:p w14:paraId="20036273" w14:textId="77777777" w:rsidR="00F1197D" w:rsidRPr="00520EE2" w:rsidRDefault="00000000" w:rsidP="00520EE2">
            <w:pPr>
              <w:keepNext/>
              <w:spacing w:before="20" w:after="0"/>
              <w:jc w:val="both"/>
              <w:rPr>
                <w:rFonts w:asciiTheme="majorBidi" w:hAnsiTheme="majorBidi" w:cstheme="majorBidi"/>
              </w:rPr>
            </w:pPr>
            <w:r>
              <w:rPr>
                <w:rFonts w:asciiTheme="majorBidi" w:hAnsiTheme="majorBidi" w:cstheme="majorBidi"/>
                <w:sz w:val="16"/>
              </w:rPr>
              <w:t xml:space="preserve">0.587 (0.474–0.642)</w:t>
            </w:r>
          </w:p>
        </w:tc>
      </w:tr>
      <w:tr w:rsidR="00F1197D" w:rsidRPr="00520EE2" w14:paraId="47547C38" w14:textId="77777777">
        <w:trPr>
          <w:cantSplit/>
          <w:jc w:val="center"/>
        </w:trPr>
        <w:tc>
          <w:tcPr>
            <w:tcW w:w="2381" w:type="dxa"/>
          </w:tcPr>
          <w:p w14:paraId="2BA81848"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Any new or worsened neurological deficit</w:t>
            </w:r>
          </w:p>
        </w:tc>
        <w:tc>
          <w:tcPr>
            <w:tcW w:w="680" w:type="dxa"/>
          </w:tcPr>
          <w:p w14:paraId="6AB83B2D"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68</w:t>
            </w:r>
          </w:p>
        </w:tc>
        <w:tc>
          <w:tcPr>
            <w:tcW w:w="1701" w:type="dxa"/>
          </w:tcPr>
          <w:p w14:paraId="38C30FF4"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0.652 (0.583–0.736)</w:t>
            </w:r>
          </w:p>
        </w:tc>
        <w:tc>
          <w:tcPr>
            <w:tcW w:w="1077" w:type="dxa"/>
          </w:tcPr>
          <w:p w14:paraId="2E47DEFB"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0.93</w:t>
            </w:r>
          </w:p>
        </w:tc>
        <w:tc>
          <w:tcPr>
            <w:tcW w:w="1701" w:type="dxa"/>
          </w:tcPr>
          <w:p w14:paraId="164206C6"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0.586 (0.446–0.714)</w:t>
            </w:r>
          </w:p>
        </w:tc>
        <w:tc>
          <w:tcPr>
            <w:tcW w:w="1928" w:type="dxa"/>
          </w:tcPr>
          <w:p w14:paraId="7E0A8742"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0.510 / 0.551 / 0.718</w:t>
            </w:r>
          </w:p>
        </w:tc>
        <w:tc>
          <w:tcPr>
            <w:tcW w:w="1701" w:type="dxa"/>
          </w:tcPr>
          <w:p w14:paraId="74F3EB0E"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0.718 (0.556–0.852)</w:t>
            </w:r>
          </w:p>
        </w:tc>
        <w:tc>
          <w:tcPr>
            <w:tcW w:w="1134" w:type="dxa"/>
          </w:tcPr>
          <w:p w14:paraId="4C8D707F"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1.14</w:t>
            </w:r>
          </w:p>
        </w:tc>
        <w:tc>
          <w:tcPr>
            <w:tcW w:w="1928" w:type="dxa"/>
          </w:tcPr>
          <w:p w14:paraId="69218E14" w14:textId="77777777" w:rsidR="00F1197D" w:rsidRPr="00520EE2" w:rsidRDefault="00F1197D" w:rsidP="00520EE2">
            <w:pPr>
              <w:spacing w:before="20" w:after="0"/>
              <w:jc w:val="both"/>
              <w:rPr>
                <w:rFonts w:asciiTheme="majorBidi" w:hAnsiTheme="majorBidi" w:cstheme="majorBidi"/>
              </w:rPr>
            </w:pPr>
          </w:p>
        </w:tc>
      </w:tr>
    </w:tbl>
    <w:p w14:paraId="0F2E39DA" w14:textId="77777777" w:rsidR="00F1197D" w:rsidRPr="00520EE2" w:rsidRDefault="00000000" w:rsidP="00520EE2">
      <w:pPr>
        <w:keepNext/>
        <w:spacing w:before="200"/>
        <w:jc w:val="both"/>
        <w:rPr>
          <w:rFonts w:asciiTheme="majorBidi" w:hAnsiTheme="majorBidi" w:cstheme="majorBidi"/>
        </w:rPr>
      </w:pPr>
      <w:r>
        <w:rPr>
          <w:rFonts w:asciiTheme="majorBidi" w:hAnsiTheme="majorBidi" w:cstheme="majorBidi"/>
          <w:b/>
        </w:rPr>
        <w:t xml:space="preserve">Table S13 (continued)</w:t>
      </w:r>
      <w:r>
        <w:rPr>
          <w:rFonts w:asciiTheme="majorBidi" w:hAnsiTheme="majorBidi" w:cstheme="majorBidi"/>
        </w:rPr>
        <w:t xml:space="preserve"> High-sensitivity operating threshold of the gradient-boosting models</w:t>
      </w:r>
    </w:p>
    <w:tbl>
      <w:tblPr>
        <w:tblW w:w="0" w:type="auto"/>
        <w:jc w:val="center"/>
        <w:tblBorders>
          <w:top w:val="single" w:sz="4" w:space="0" w:color="808080"/>
          <w:left w:val="nil"/>
          <w:bottom w:val="single" w:sz="4" w:space="0" w:color="808080"/>
          <w:right w:val="nil"/>
          <w:insideH w:val="single" w:sz="4" w:space="0" w:color="808080"/>
          <w:insideV w:val="nil"/>
        </w:tblBorders>
        <w:tblLayout w:type="fixed"/>
        <w:tblLook w:val="04A0" w:firstRow="1" w:lastRow="0" w:firstColumn="1" w:lastColumn="0" w:noHBand="0" w:noVBand="1"/>
      </w:tblPr>
      <w:tblGrid>
        <w:gridCol w:w="2381"/>
        <w:gridCol w:w="1701"/>
        <w:gridCol w:w="1361"/>
        <w:gridCol w:w="2268"/>
        <w:gridCol w:w="2268"/>
        <w:gridCol w:w="1814"/>
        <w:gridCol w:w="2041"/>
      </w:tblGrid>
      <w:tr w:rsidR="00F1197D" w:rsidRPr="00520EE2" w14:paraId="0D60A70A" w14:textId="77777777">
        <w:trPr>
          <w:cantSplit/>
          <w:tblHeader/>
          <w:jc w:val="center"/>
        </w:trPr>
        <w:tc>
          <w:tcPr>
            <w:tcW w:w="2381" w:type="dxa"/>
          </w:tcPr>
          <w:p w14:paraId="7B6E1AF0" w14:textId="77777777" w:rsidR="00F1197D" w:rsidRPr="00520EE2" w:rsidRDefault="00000000" w:rsidP="00520EE2">
            <w:pPr>
              <w:keepNext/>
              <w:spacing w:before="20" w:after="0"/>
              <w:jc w:val="both"/>
              <w:rPr>
                <w:rFonts w:asciiTheme="majorBidi" w:hAnsiTheme="majorBidi" w:cstheme="majorBidi"/>
              </w:rPr>
            </w:pPr>
            <w:r>
              <w:rPr>
                <w:rFonts w:asciiTheme="majorBidi" w:hAnsiTheme="majorBidi" w:cstheme="majorBidi"/>
                <w:b/>
                <w:sz w:val="16"/>
              </w:rPr>
              <w:t xml:space="preserve">Endpoint</w:t>
            </w:r>
          </w:p>
        </w:tc>
        <w:tc>
          <w:tcPr>
            <w:tcW w:w="1701" w:type="dxa"/>
          </w:tcPr>
          <w:p w14:paraId="4A0C529C" w14:textId="77777777" w:rsidR="00F1197D" w:rsidRPr="00520EE2" w:rsidRDefault="00000000" w:rsidP="00520EE2">
            <w:pPr>
              <w:keepNext/>
              <w:spacing w:before="20" w:after="0"/>
              <w:jc w:val="both"/>
              <w:rPr>
                <w:rFonts w:asciiTheme="majorBidi" w:hAnsiTheme="majorBidi" w:cstheme="majorBidi"/>
              </w:rPr>
            </w:pPr>
            <w:r>
              <w:rPr>
                <w:rFonts w:asciiTheme="majorBidi" w:hAnsiTheme="majorBidi" w:cstheme="majorBidi"/>
                <w:b/>
                <w:sz w:val="16"/>
              </w:rPr>
              <w:t xml:space="preserve">Development-cohort CV AUC</w:t>
            </w:r>
          </w:p>
        </w:tc>
        <w:tc>
          <w:tcPr>
            <w:tcW w:w="1361" w:type="dxa"/>
          </w:tcPr>
          <w:p w14:paraId="55CA1A64" w14:textId="77777777" w:rsidR="00F1197D" w:rsidRPr="00520EE2" w:rsidRDefault="00000000" w:rsidP="00520EE2">
            <w:pPr>
              <w:keepNext/>
              <w:spacing w:before="20" w:after="0"/>
              <w:jc w:val="both"/>
              <w:rPr>
                <w:rFonts w:asciiTheme="majorBidi" w:hAnsiTheme="majorBidi" w:cstheme="majorBidi"/>
              </w:rPr>
            </w:pPr>
            <w:r>
              <w:rPr>
                <w:rFonts w:asciiTheme="majorBidi" w:hAnsiTheme="majorBidi" w:cstheme="majorBidi"/>
                <w:b/>
                <w:sz w:val="16"/>
              </w:rPr>
              <w:t xml:space="preserve">Frozen threshold (%)</w:t>
            </w:r>
          </w:p>
        </w:tc>
        <w:tc>
          <w:tcPr>
            <w:tcW w:w="2268" w:type="dxa"/>
          </w:tcPr>
          <w:p w14:paraId="45634180" w14:textId="77777777" w:rsidR="00F1197D" w:rsidRPr="00520EE2" w:rsidRDefault="00000000" w:rsidP="00520EE2">
            <w:pPr>
              <w:keepNext/>
              <w:spacing w:before="20" w:after="0"/>
              <w:jc w:val="both"/>
              <w:rPr>
                <w:rFonts w:asciiTheme="majorBidi" w:hAnsiTheme="majorBidi" w:cstheme="majorBidi"/>
              </w:rPr>
            </w:pPr>
            <w:r>
              <w:rPr>
                <w:rFonts w:asciiTheme="majorBidi" w:hAnsiTheme="majorBidi" w:cstheme="majorBidi"/>
                <w:b/>
                <w:sz w:val="16"/>
              </w:rPr>
              <w:t xml:space="preserve">Internal sensitivity / specificity (%)</w:t>
            </w:r>
          </w:p>
        </w:tc>
        <w:tc>
          <w:tcPr>
            <w:tcW w:w="2268" w:type="dxa"/>
          </w:tcPr>
          <w:p w14:paraId="0BD496CE" w14:textId="77777777" w:rsidR="00F1197D" w:rsidRPr="00520EE2" w:rsidRDefault="00000000" w:rsidP="00520EE2">
            <w:pPr>
              <w:keepNext/>
              <w:spacing w:before="20" w:after="0"/>
              <w:jc w:val="both"/>
              <w:rPr>
                <w:rFonts w:asciiTheme="majorBidi" w:hAnsiTheme="majorBidi" w:cstheme="majorBidi"/>
              </w:rPr>
            </w:pPr>
            <w:r>
              <w:rPr>
                <w:rFonts w:asciiTheme="majorBidi" w:hAnsiTheme="majorBidi" w:cstheme="majorBidi"/>
                <w:b/>
                <w:sz w:val="16"/>
              </w:rPr>
              <w:t xml:space="preserve">External sensitivity / specificity (%)</w:t>
            </w:r>
          </w:p>
        </w:tc>
        <w:tc>
          <w:tcPr>
            <w:tcW w:w="1814" w:type="dxa"/>
          </w:tcPr>
          <w:p w14:paraId="75AA255D" w14:textId="77777777" w:rsidR="00F1197D" w:rsidRPr="00520EE2" w:rsidRDefault="00000000" w:rsidP="00520EE2">
            <w:pPr>
              <w:keepNext/>
              <w:spacing w:before="20" w:after="0"/>
              <w:jc w:val="both"/>
              <w:rPr>
                <w:rFonts w:asciiTheme="majorBidi" w:hAnsiTheme="majorBidi" w:cstheme="majorBidi"/>
              </w:rPr>
            </w:pPr>
            <w:r>
              <w:rPr>
                <w:rFonts w:asciiTheme="majorBidi" w:hAnsiTheme="majorBidi" w:cstheme="majorBidi"/>
                <w:b/>
                <w:sz w:val="16"/>
              </w:rPr>
              <w:t xml:space="preserve">External PPV / NPV (%)</w:t>
            </w:r>
          </w:p>
        </w:tc>
        <w:tc>
          <w:tcPr>
            <w:tcW w:w="2041" w:type="dxa"/>
          </w:tcPr>
          <w:p w14:paraId="1B685A65" w14:textId="77777777" w:rsidR="00F1197D" w:rsidRPr="00520EE2" w:rsidRDefault="00000000" w:rsidP="00520EE2">
            <w:pPr>
              <w:keepNext/>
              <w:spacing w:before="20" w:after="0"/>
              <w:jc w:val="both"/>
              <w:rPr>
                <w:rFonts w:asciiTheme="majorBidi" w:hAnsiTheme="majorBidi" w:cstheme="majorBidi"/>
              </w:rPr>
            </w:pPr>
            <w:r>
              <w:rPr>
                <w:rFonts w:asciiTheme="majorBidi" w:hAnsiTheme="majorBidi" w:cstheme="majorBidi"/>
                <w:b/>
                <w:sz w:val="16"/>
              </w:rPr>
              <w:t xml:space="preserve">External patients flagged</w:t>
            </w:r>
          </w:p>
        </w:tc>
      </w:tr>
      <w:tr w:rsidR="00F1197D" w:rsidRPr="00520EE2" w14:paraId="0C19842D" w14:textId="77777777">
        <w:trPr>
          <w:cantSplit/>
          <w:jc w:val="center"/>
        </w:trPr>
        <w:tc>
          <w:tcPr>
            <w:tcW w:w="2381" w:type="dxa"/>
          </w:tcPr>
          <w:p w14:paraId="4FF4F603" w14:textId="77777777" w:rsidR="00F1197D" w:rsidRPr="00520EE2" w:rsidRDefault="00000000" w:rsidP="00520EE2">
            <w:pPr>
              <w:keepNext/>
              <w:spacing w:before="20" w:after="0"/>
              <w:jc w:val="both"/>
              <w:rPr>
                <w:rFonts w:asciiTheme="majorBidi" w:hAnsiTheme="majorBidi" w:cstheme="majorBidi"/>
              </w:rPr>
            </w:pPr>
            <w:r>
              <w:rPr>
                <w:rFonts w:asciiTheme="majorBidi" w:hAnsiTheme="majorBidi" w:cstheme="majorBidi"/>
                <w:sz w:val="16"/>
              </w:rPr>
              <w:t xml:space="preserve">Medical complication</w:t>
            </w:r>
          </w:p>
        </w:tc>
        <w:tc>
          <w:tcPr>
            <w:tcW w:w="1701" w:type="dxa"/>
          </w:tcPr>
          <w:p w14:paraId="038EA098" w14:textId="77777777" w:rsidR="00F1197D" w:rsidRPr="00520EE2" w:rsidRDefault="00000000" w:rsidP="00520EE2">
            <w:pPr>
              <w:keepNext/>
              <w:spacing w:before="20" w:after="0"/>
              <w:jc w:val="both"/>
              <w:rPr>
                <w:rFonts w:asciiTheme="majorBidi" w:hAnsiTheme="majorBidi" w:cstheme="majorBidi"/>
              </w:rPr>
            </w:pPr>
            <w:r>
              <w:rPr>
                <w:rFonts w:asciiTheme="majorBidi" w:hAnsiTheme="majorBidi" w:cstheme="majorBidi"/>
                <w:sz w:val="16"/>
              </w:rPr>
              <w:t xml:space="preserve">0.693</w:t>
            </w:r>
          </w:p>
        </w:tc>
        <w:tc>
          <w:tcPr>
            <w:tcW w:w="1361" w:type="dxa"/>
          </w:tcPr>
          <w:p w14:paraId="11B38FFC" w14:textId="77777777" w:rsidR="00F1197D" w:rsidRPr="00520EE2" w:rsidRDefault="00000000" w:rsidP="00520EE2">
            <w:pPr>
              <w:keepNext/>
              <w:spacing w:before="20" w:after="0"/>
              <w:jc w:val="both"/>
              <w:rPr>
                <w:rFonts w:asciiTheme="majorBidi" w:hAnsiTheme="majorBidi" w:cstheme="majorBidi"/>
              </w:rPr>
            </w:pPr>
            <w:r>
              <w:rPr>
                <w:rFonts w:asciiTheme="majorBidi" w:hAnsiTheme="majorBidi" w:cstheme="majorBidi"/>
                <w:sz w:val="16"/>
              </w:rPr>
              <w:t xml:space="preserve">6</w:t>
            </w:r>
          </w:p>
        </w:tc>
        <w:tc>
          <w:tcPr>
            <w:tcW w:w="2268" w:type="dxa"/>
          </w:tcPr>
          <w:p w14:paraId="30A762D5" w14:textId="77777777" w:rsidR="00F1197D" w:rsidRPr="00520EE2" w:rsidRDefault="00000000" w:rsidP="00520EE2">
            <w:pPr>
              <w:keepNext/>
              <w:spacing w:before="20" w:after="0"/>
              <w:jc w:val="both"/>
              <w:rPr>
                <w:rFonts w:asciiTheme="majorBidi" w:hAnsiTheme="majorBidi" w:cstheme="majorBidi"/>
              </w:rPr>
            </w:pPr>
            <w:r>
              <w:rPr>
                <w:rFonts w:asciiTheme="majorBidi" w:hAnsiTheme="majorBidi" w:cstheme="majorBidi"/>
                <w:sz w:val="16"/>
              </w:rPr>
              <w:t xml:space="preserve">93.1 / 37.0</w:t>
            </w:r>
          </w:p>
        </w:tc>
        <w:tc>
          <w:tcPr>
            <w:tcW w:w="2268" w:type="dxa"/>
          </w:tcPr>
          <w:p w14:paraId="20874645" w14:textId="77777777" w:rsidR="00F1197D" w:rsidRPr="00520EE2" w:rsidRDefault="00000000" w:rsidP="00520EE2">
            <w:pPr>
              <w:keepNext/>
              <w:spacing w:before="20" w:after="0"/>
              <w:jc w:val="both"/>
              <w:rPr>
                <w:rFonts w:asciiTheme="majorBidi" w:hAnsiTheme="majorBidi" w:cstheme="majorBidi"/>
              </w:rPr>
            </w:pPr>
            <w:r>
              <w:rPr>
                <w:rFonts w:asciiTheme="majorBidi" w:hAnsiTheme="majorBidi" w:cstheme="majorBidi"/>
                <w:sz w:val="16"/>
              </w:rPr>
              <w:t xml:space="preserve">100.0 / 9.8</w:t>
            </w:r>
          </w:p>
        </w:tc>
        <w:tc>
          <w:tcPr>
            <w:tcW w:w="1814" w:type="dxa"/>
          </w:tcPr>
          <w:p w14:paraId="009F8416" w14:textId="77777777" w:rsidR="00F1197D" w:rsidRPr="00520EE2" w:rsidRDefault="00000000" w:rsidP="00520EE2">
            <w:pPr>
              <w:keepNext/>
              <w:spacing w:before="20" w:after="0"/>
              <w:jc w:val="both"/>
              <w:rPr>
                <w:rFonts w:asciiTheme="majorBidi" w:hAnsiTheme="majorBidi" w:cstheme="majorBidi"/>
              </w:rPr>
            </w:pPr>
            <w:r>
              <w:rPr>
                <w:rFonts w:asciiTheme="majorBidi" w:hAnsiTheme="majorBidi" w:cstheme="majorBidi"/>
                <w:sz w:val="16"/>
              </w:rPr>
              <w:t xml:space="preserve">15.9 / 100.0</w:t>
            </w:r>
          </w:p>
        </w:tc>
        <w:tc>
          <w:tcPr>
            <w:tcW w:w="2041" w:type="dxa"/>
          </w:tcPr>
          <w:p w14:paraId="029AEA41" w14:textId="77777777" w:rsidR="00F1197D" w:rsidRPr="00520EE2" w:rsidRDefault="00000000" w:rsidP="00520EE2">
            <w:pPr>
              <w:keepNext/>
              <w:spacing w:before="20" w:after="0"/>
              <w:jc w:val="both"/>
              <w:rPr>
                <w:rFonts w:asciiTheme="majorBidi" w:hAnsiTheme="majorBidi" w:cstheme="majorBidi"/>
              </w:rPr>
            </w:pPr>
            <w:r>
              <w:rPr>
                <w:rFonts w:asciiTheme="majorBidi" w:hAnsiTheme="majorBidi" w:cstheme="majorBidi"/>
                <w:sz w:val="16"/>
              </w:rPr>
              <w:t xml:space="preserve">44 of 48 (7 events)</w:t>
            </w:r>
          </w:p>
        </w:tc>
      </w:tr>
      <w:tr w:rsidR="00F1197D" w:rsidRPr="00520EE2" w14:paraId="538917EE" w14:textId="77777777">
        <w:trPr>
          <w:cantSplit/>
          <w:jc w:val="center"/>
        </w:trPr>
        <w:tc>
          <w:tcPr>
            <w:tcW w:w="2381" w:type="dxa"/>
          </w:tcPr>
          <w:p w14:paraId="49F0790A" w14:textId="77777777" w:rsidR="00F1197D" w:rsidRPr="00520EE2" w:rsidRDefault="00000000" w:rsidP="00520EE2">
            <w:pPr>
              <w:keepNext/>
              <w:spacing w:before="20" w:after="0"/>
              <w:jc w:val="both"/>
              <w:rPr>
                <w:rFonts w:asciiTheme="majorBidi" w:hAnsiTheme="majorBidi" w:cstheme="majorBidi"/>
              </w:rPr>
            </w:pPr>
            <w:r>
              <w:rPr>
                <w:rFonts w:asciiTheme="majorBidi" w:hAnsiTheme="majorBidi" w:cstheme="majorBidi"/>
                <w:sz w:val="16"/>
              </w:rPr>
              <w:t xml:space="preserve">Non-neurological composite</w:t>
            </w:r>
          </w:p>
        </w:tc>
        <w:tc>
          <w:tcPr>
            <w:tcW w:w="1701" w:type="dxa"/>
          </w:tcPr>
          <w:p w14:paraId="29605929" w14:textId="77777777" w:rsidR="00F1197D" w:rsidRPr="00520EE2" w:rsidRDefault="00000000" w:rsidP="00520EE2">
            <w:pPr>
              <w:keepNext/>
              <w:spacing w:before="20" w:after="0"/>
              <w:jc w:val="both"/>
              <w:rPr>
                <w:rFonts w:asciiTheme="majorBidi" w:hAnsiTheme="majorBidi" w:cstheme="majorBidi"/>
              </w:rPr>
            </w:pPr>
            <w:r>
              <w:rPr>
                <w:rFonts w:asciiTheme="majorBidi" w:hAnsiTheme="majorBidi" w:cstheme="majorBidi"/>
                <w:sz w:val="16"/>
              </w:rPr>
              <w:t xml:space="preserve">0.684</w:t>
            </w:r>
          </w:p>
        </w:tc>
        <w:tc>
          <w:tcPr>
            <w:tcW w:w="1361" w:type="dxa"/>
          </w:tcPr>
          <w:p w14:paraId="7049432C" w14:textId="77777777" w:rsidR="00F1197D" w:rsidRPr="00520EE2" w:rsidRDefault="00000000" w:rsidP="00520EE2">
            <w:pPr>
              <w:keepNext/>
              <w:spacing w:before="20" w:after="0"/>
              <w:jc w:val="both"/>
              <w:rPr>
                <w:rFonts w:asciiTheme="majorBidi" w:hAnsiTheme="majorBidi" w:cstheme="majorBidi"/>
              </w:rPr>
            </w:pPr>
            <w:r>
              <w:rPr>
                <w:rFonts w:asciiTheme="majorBidi" w:hAnsiTheme="majorBidi" w:cstheme="majorBidi"/>
                <w:sz w:val="16"/>
              </w:rPr>
              <w:t xml:space="preserve">9</w:t>
            </w:r>
          </w:p>
        </w:tc>
        <w:tc>
          <w:tcPr>
            <w:tcW w:w="2268" w:type="dxa"/>
          </w:tcPr>
          <w:p w14:paraId="45A2E18D" w14:textId="77777777" w:rsidR="00F1197D" w:rsidRPr="00520EE2" w:rsidRDefault="00000000" w:rsidP="00520EE2">
            <w:pPr>
              <w:keepNext/>
              <w:spacing w:before="20" w:after="0"/>
              <w:jc w:val="both"/>
              <w:rPr>
                <w:rFonts w:asciiTheme="majorBidi" w:hAnsiTheme="majorBidi" w:cstheme="majorBidi"/>
              </w:rPr>
            </w:pPr>
            <w:r>
              <w:rPr>
                <w:rFonts w:asciiTheme="majorBidi" w:hAnsiTheme="majorBidi" w:cstheme="majorBidi"/>
                <w:sz w:val="16"/>
              </w:rPr>
              <w:t xml:space="preserve">92.3 / 23.6</w:t>
            </w:r>
          </w:p>
        </w:tc>
        <w:tc>
          <w:tcPr>
            <w:tcW w:w="2268" w:type="dxa"/>
          </w:tcPr>
          <w:p w14:paraId="14B3ADB9" w14:textId="77777777" w:rsidR="00F1197D" w:rsidRPr="00520EE2" w:rsidRDefault="00000000" w:rsidP="00520EE2">
            <w:pPr>
              <w:keepNext/>
              <w:spacing w:before="20" w:after="0"/>
              <w:jc w:val="both"/>
              <w:rPr>
                <w:rFonts w:asciiTheme="majorBidi" w:hAnsiTheme="majorBidi" w:cstheme="majorBidi"/>
              </w:rPr>
            </w:pPr>
            <w:r>
              <w:rPr>
                <w:rFonts w:asciiTheme="majorBidi" w:hAnsiTheme="majorBidi" w:cstheme="majorBidi"/>
                <w:sz w:val="16"/>
              </w:rPr>
              <w:t xml:space="preserve">100.0 / 37.8</w:t>
            </w:r>
          </w:p>
        </w:tc>
        <w:tc>
          <w:tcPr>
            <w:tcW w:w="1814" w:type="dxa"/>
          </w:tcPr>
          <w:p w14:paraId="4C1C6155" w14:textId="77777777" w:rsidR="00F1197D" w:rsidRPr="00520EE2" w:rsidRDefault="00000000" w:rsidP="00520EE2">
            <w:pPr>
              <w:keepNext/>
              <w:spacing w:before="20" w:after="0"/>
              <w:jc w:val="both"/>
              <w:rPr>
                <w:rFonts w:asciiTheme="majorBidi" w:hAnsiTheme="majorBidi" w:cstheme="majorBidi"/>
              </w:rPr>
            </w:pPr>
            <w:r>
              <w:rPr>
                <w:rFonts w:asciiTheme="majorBidi" w:hAnsiTheme="majorBidi" w:cstheme="majorBidi"/>
                <w:sz w:val="16"/>
              </w:rPr>
              <w:t xml:space="preserve">32.4 / 100.0</w:t>
            </w:r>
          </w:p>
        </w:tc>
        <w:tc>
          <w:tcPr>
            <w:tcW w:w="2041" w:type="dxa"/>
          </w:tcPr>
          <w:p w14:paraId="77CECC86" w14:textId="77777777" w:rsidR="00F1197D" w:rsidRPr="00520EE2" w:rsidRDefault="00000000" w:rsidP="00520EE2">
            <w:pPr>
              <w:keepNext/>
              <w:spacing w:before="20" w:after="0"/>
              <w:jc w:val="both"/>
              <w:rPr>
                <w:rFonts w:asciiTheme="majorBidi" w:hAnsiTheme="majorBidi" w:cstheme="majorBidi"/>
              </w:rPr>
            </w:pPr>
            <w:r>
              <w:rPr>
                <w:rFonts w:asciiTheme="majorBidi" w:hAnsiTheme="majorBidi" w:cstheme="majorBidi"/>
                <w:sz w:val="16"/>
              </w:rPr>
              <w:t xml:space="preserve">34 of 48 (11 events)</w:t>
            </w:r>
          </w:p>
        </w:tc>
      </w:tr>
      <w:tr w:rsidR="00F1197D" w:rsidRPr="00520EE2" w14:paraId="644C47E1" w14:textId="77777777">
        <w:trPr>
          <w:cantSplit/>
          <w:jc w:val="center"/>
        </w:trPr>
        <w:tc>
          <w:tcPr>
            <w:tcW w:w="2381" w:type="dxa"/>
          </w:tcPr>
          <w:p w14:paraId="4D67EAD7"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New or worsened motor deficit</w:t>
            </w:r>
          </w:p>
        </w:tc>
        <w:tc>
          <w:tcPr>
            <w:tcW w:w="1701" w:type="dxa"/>
          </w:tcPr>
          <w:p w14:paraId="26A90ABB"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0.657</w:t>
            </w:r>
          </w:p>
        </w:tc>
        <w:tc>
          <w:tcPr>
            <w:tcW w:w="1361" w:type="dxa"/>
          </w:tcPr>
          <w:p w14:paraId="3E0D6C7E"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4</w:t>
            </w:r>
          </w:p>
        </w:tc>
        <w:tc>
          <w:tcPr>
            <w:tcW w:w="2268" w:type="dxa"/>
          </w:tcPr>
          <w:p w14:paraId="2407FF55"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90.0 / 21.5</w:t>
            </w:r>
          </w:p>
        </w:tc>
        <w:tc>
          <w:tcPr>
            <w:tcW w:w="2268" w:type="dxa"/>
          </w:tcPr>
          <w:p w14:paraId="61DB2662"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80.0 / 39.5</w:t>
            </w:r>
          </w:p>
        </w:tc>
        <w:tc>
          <w:tcPr>
            <w:tcW w:w="1814" w:type="dxa"/>
          </w:tcPr>
          <w:p w14:paraId="2F5C7AE2"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25.8 / 88.2</w:t>
            </w:r>
          </w:p>
        </w:tc>
        <w:tc>
          <w:tcPr>
            <w:tcW w:w="2041" w:type="dxa"/>
          </w:tcPr>
          <w:p w14:paraId="09E2FE8E"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31 of 48 (10 events)</w:t>
            </w:r>
          </w:p>
        </w:tc>
      </w:tr>
    </w:tbl>
    <w:p w14:paraId="5D6E68B7" w14:textId="77777777" w:rsidR="00F1197D" w:rsidRPr="00520EE2" w:rsidRDefault="00000000" w:rsidP="00520EE2">
      <w:pPr>
        <w:jc w:val="both"/>
        <w:rPr>
          <w:rFonts w:asciiTheme="majorBidi" w:hAnsiTheme="majorBidi" w:cstheme="majorBidi"/>
        </w:rPr>
      </w:pPr>
      <w:r>
        <w:rPr>
          <w:rFonts w:asciiTheme="majorBidi" w:hAnsiTheme="majorBidi" w:cstheme="majorBidi"/>
          <w:sz w:val="17"/>
        </w:rPr>
        <w:t xml:space="preserve">n.e., not evaluable (fewer than five events or non-events in the held-out center). Gradient boosting reproduced the ordering of the ridge analysis (medical &gt; composite &gt; surgical; composite neurological endpoint poorly transportable) with slightly lower internal discrimination for the medical endpoint and a comparable external estimate; its external results vary appreciably with the random seed because the development cohort is small (183 patients, 29 medical events).</w:t>
      </w:r>
    </w:p>
    <w:p w14:paraId="6FB4167C" w14:textId="77777777" w:rsidR="00F1197D" w:rsidRPr="00520EE2" w:rsidRDefault="00000000" w:rsidP="00520EE2">
      <w:pPr>
        <w:keepNext/>
        <w:spacing w:before="280"/>
        <w:jc w:val="both"/>
        <w:rPr>
          <w:rFonts w:asciiTheme="majorBidi" w:hAnsiTheme="majorBidi" w:cstheme="majorBidi"/>
        </w:rPr>
      </w:pPr>
      <w:r>
        <w:rPr>
          <w:rFonts w:asciiTheme="majorBidi" w:hAnsiTheme="majorBidi" w:cstheme="majorBidi"/>
          <w:b/>
          <w:sz w:val="24"/>
        </w:rPr>
        <w:t xml:space="preserve">Neurological endpoints in the modelling population</w:t>
      </w:r>
    </w:p>
    <w:p w14:paraId="6ACF835D" w14:textId="77777777" w:rsidR="00F1197D" w:rsidRPr="00520EE2" w:rsidRDefault="00000000" w:rsidP="00520EE2">
      <w:pPr>
        <w:spacing w:after="120"/>
        <w:jc w:val="both"/>
        <w:rPr>
          <w:rFonts w:asciiTheme="majorBidi" w:hAnsiTheme="majorBidi" w:cstheme="majorBidi"/>
        </w:rPr>
      </w:pPr>
      <w:r>
        <w:rPr>
          <w:rFonts w:asciiTheme="majorBidi" w:hAnsiTheme="majorBidi" w:cstheme="majorBidi"/>
        </w:rPr>
        <w:t xml:space="preserve">The composite neurological endpoint (any new or worsened motor, cognitive, visual or psychiatric deficit at discharge) and its components were modelled with the fixed neurological predictor set on the same 231 patients. Held-out performance of the composite was heterogeneous (τ² = 0.174) and its apparently good Liverpool estimate was poorly calibrated (slope 2.39); visual deterioration was ranked in the opposite direction from motor deficit (AUC below 0.5), so pooling the components cancels rather than accumulates signal. Cognitive decline was not recorded in Cesena (0 of 68 patients); an estimate on all 231 patients would treat those 68 patients as event-</w:t>
        <w:lastRenderedPageBreak/>
        <w:t>free and is therefore not reported here. The cognitive model was developed in Bologna and validated in Liverpool (Table S15). Removing preoperative motor symptoms from the motor model changed discrimination little (0.729 to 0.709 internally; 0.711 to 0.710 across centers). Psychiatric syndromes (three events) were not modelled.</w:t>
      </w:r>
    </w:p>
    <w:p w14:paraId="35EF6B6A" w14:textId="77777777" w:rsidR="00F1197D" w:rsidRPr="00520EE2" w:rsidRDefault="00000000" w:rsidP="00520EE2">
      <w:pPr>
        <w:keepNext/>
        <w:spacing w:before="200"/>
        <w:jc w:val="both"/>
        <w:rPr>
          <w:rFonts w:asciiTheme="majorBidi" w:hAnsiTheme="majorBidi" w:cstheme="majorBidi"/>
        </w:rPr>
      </w:pPr>
      <w:r>
        <w:rPr>
          <w:rFonts w:asciiTheme="majorBidi" w:hAnsiTheme="majorBidi" w:cstheme="majorBidi"/>
          <w:b/>
        </w:rPr>
        <w:t xml:space="preserve">Table S14</w:t>
      </w:r>
      <w:r>
        <w:rPr>
          <w:rFonts w:asciiTheme="majorBidi" w:hAnsiTheme="majorBidi" w:cstheme="majorBidi"/>
        </w:rPr>
        <w:t xml:space="preserve"> Neurological endpoints: ridge-penalized models with the fixed neurological predictor set (n = 231)</w:t>
      </w:r>
    </w:p>
    <w:tbl>
      <w:tblPr>
        <w:tblW w:w="0" w:type="auto"/>
        <w:jc w:val="center"/>
        <w:tblBorders>
          <w:top w:val="single" w:sz="4" w:space="0" w:color="808080"/>
          <w:left w:val="nil"/>
          <w:bottom w:val="single" w:sz="4" w:space="0" w:color="808080"/>
          <w:right w:val="nil"/>
          <w:insideH w:val="single" w:sz="4" w:space="0" w:color="808080"/>
          <w:insideV w:val="nil"/>
        </w:tblBorders>
        <w:tblLayout w:type="fixed"/>
        <w:tblLook w:val="04A0" w:firstRow="1" w:lastRow="0" w:firstColumn="1" w:lastColumn="0" w:noHBand="0" w:noVBand="1"/>
      </w:tblPr>
      <w:tblGrid>
        <w:gridCol w:w="2494"/>
        <w:gridCol w:w="680"/>
        <w:gridCol w:w="1701"/>
        <w:gridCol w:w="1134"/>
        <w:gridCol w:w="1701"/>
        <w:gridCol w:w="1928"/>
        <w:gridCol w:w="1701"/>
        <w:gridCol w:w="1134"/>
        <w:gridCol w:w="1928"/>
      </w:tblGrid>
      <w:tr w:rsidR="00F1197D" w:rsidRPr="00520EE2" w14:paraId="2447A9D3" w14:textId="77777777">
        <w:trPr>
          <w:cantSplit/>
          <w:tblHeader/>
          <w:jc w:val="center"/>
        </w:trPr>
        <w:tc>
          <w:tcPr>
            <w:tcW w:w="2494" w:type="dxa"/>
          </w:tcPr>
          <w:p w14:paraId="3CF89940" w14:textId="77777777" w:rsidR="00F1197D" w:rsidRPr="00520EE2" w:rsidRDefault="00000000" w:rsidP="00520EE2">
            <w:pPr>
              <w:keepNext/>
              <w:spacing w:before="20" w:after="0"/>
              <w:jc w:val="both"/>
              <w:rPr>
                <w:rFonts w:asciiTheme="majorBidi" w:hAnsiTheme="majorBidi" w:cstheme="majorBidi"/>
              </w:rPr>
            </w:pPr>
            <w:r>
              <w:rPr>
                <w:rFonts w:asciiTheme="majorBidi" w:hAnsiTheme="majorBidi" w:cstheme="majorBidi"/>
                <w:b/>
                <w:sz w:val="16"/>
              </w:rPr>
              <w:t xml:space="preserve">Endpoint</w:t>
            </w:r>
          </w:p>
        </w:tc>
        <w:tc>
          <w:tcPr>
            <w:tcW w:w="680" w:type="dxa"/>
          </w:tcPr>
          <w:p w14:paraId="281BFAA0" w14:textId="77777777" w:rsidR="00F1197D" w:rsidRPr="00520EE2" w:rsidRDefault="00000000" w:rsidP="00520EE2">
            <w:pPr>
              <w:keepNext/>
              <w:spacing w:before="20" w:after="0"/>
              <w:jc w:val="both"/>
              <w:rPr>
                <w:rFonts w:asciiTheme="majorBidi" w:hAnsiTheme="majorBidi" w:cstheme="majorBidi"/>
              </w:rPr>
            </w:pPr>
            <w:r>
              <w:rPr>
                <w:rFonts w:asciiTheme="majorBidi" w:hAnsiTheme="majorBidi" w:cstheme="majorBidi"/>
                <w:b/>
                <w:sz w:val="16"/>
              </w:rPr>
              <w:t xml:space="preserve">Events</w:t>
            </w:r>
          </w:p>
        </w:tc>
        <w:tc>
          <w:tcPr>
            <w:tcW w:w="1701" w:type="dxa"/>
          </w:tcPr>
          <w:p w14:paraId="546AA5D0" w14:textId="77777777" w:rsidR="00F1197D" w:rsidRPr="00520EE2" w:rsidRDefault="00000000" w:rsidP="00520EE2">
            <w:pPr>
              <w:keepNext/>
              <w:spacing w:before="20" w:after="0"/>
              <w:jc w:val="both"/>
              <w:rPr>
                <w:rFonts w:asciiTheme="majorBidi" w:hAnsiTheme="majorBidi" w:cstheme="majorBidi"/>
              </w:rPr>
            </w:pPr>
            <w:r>
              <w:rPr>
                <w:rFonts w:asciiTheme="majorBidi" w:hAnsiTheme="majorBidi" w:cstheme="majorBidi"/>
                <w:b/>
                <w:sz w:val="16"/>
              </w:rPr>
              <w:t xml:space="preserve">Internal CV AUC (95% CI)</w:t>
            </w:r>
          </w:p>
        </w:tc>
        <w:tc>
          <w:tcPr>
            <w:tcW w:w="1134" w:type="dxa"/>
          </w:tcPr>
          <w:p w14:paraId="1A6806AA" w14:textId="77777777" w:rsidR="00F1197D" w:rsidRPr="00520EE2" w:rsidRDefault="00000000" w:rsidP="00520EE2">
            <w:pPr>
              <w:keepNext/>
              <w:spacing w:before="20" w:after="0"/>
              <w:jc w:val="both"/>
              <w:rPr>
                <w:rFonts w:asciiTheme="majorBidi" w:hAnsiTheme="majorBidi" w:cstheme="majorBidi"/>
              </w:rPr>
            </w:pPr>
            <w:r>
              <w:rPr>
                <w:rFonts w:asciiTheme="majorBidi" w:hAnsiTheme="majorBidi" w:cstheme="majorBidi"/>
                <w:b/>
                <w:sz w:val="16"/>
              </w:rPr>
              <w:t xml:space="preserve">Optimism-corrected</w:t>
            </w:r>
          </w:p>
        </w:tc>
        <w:tc>
          <w:tcPr>
            <w:tcW w:w="1701" w:type="dxa"/>
          </w:tcPr>
          <w:p w14:paraId="23D46307" w14:textId="77777777" w:rsidR="00F1197D" w:rsidRPr="00520EE2" w:rsidRDefault="00000000" w:rsidP="00520EE2">
            <w:pPr>
              <w:keepNext/>
              <w:spacing w:before="20" w:after="0"/>
              <w:jc w:val="both"/>
              <w:rPr>
                <w:rFonts w:asciiTheme="majorBidi" w:hAnsiTheme="majorBidi" w:cstheme="majorBidi"/>
              </w:rPr>
            </w:pPr>
            <w:r>
              <w:rPr>
                <w:rFonts w:asciiTheme="majorBidi" w:hAnsiTheme="majorBidi" w:cstheme="majorBidi"/>
                <w:b/>
                <w:sz w:val="16"/>
              </w:rPr>
              <w:t xml:space="preserve">IECV pooled AUC (95% CI)</w:t>
            </w:r>
          </w:p>
        </w:tc>
        <w:tc>
          <w:tcPr>
            <w:tcW w:w="1928" w:type="dxa"/>
          </w:tcPr>
          <w:p w14:paraId="25E7D105" w14:textId="77777777" w:rsidR="00F1197D" w:rsidRPr="00520EE2" w:rsidRDefault="00000000" w:rsidP="00520EE2">
            <w:pPr>
              <w:keepNext/>
              <w:spacing w:before="20" w:after="0"/>
              <w:jc w:val="both"/>
              <w:rPr>
                <w:rFonts w:asciiTheme="majorBidi" w:hAnsiTheme="majorBidi" w:cstheme="majorBidi"/>
              </w:rPr>
            </w:pPr>
            <w:r>
              <w:rPr>
                <w:rFonts w:asciiTheme="majorBidi" w:hAnsiTheme="majorBidi" w:cstheme="majorBidi"/>
                <w:b/>
                <w:sz w:val="16"/>
              </w:rPr>
              <w:t xml:space="preserve">Held-out AUC Bologna / Cesena / Liverpool</w:t>
            </w:r>
          </w:p>
        </w:tc>
        <w:tc>
          <w:tcPr>
            <w:tcW w:w="1701" w:type="dxa"/>
          </w:tcPr>
          <w:p w14:paraId="494A7F9D" w14:textId="77777777" w:rsidR="00F1197D" w:rsidRPr="00520EE2" w:rsidRDefault="00000000" w:rsidP="00520EE2">
            <w:pPr>
              <w:keepNext/>
              <w:spacing w:before="20" w:after="0"/>
              <w:jc w:val="both"/>
              <w:rPr>
                <w:rFonts w:asciiTheme="majorBidi" w:hAnsiTheme="majorBidi" w:cstheme="majorBidi"/>
              </w:rPr>
            </w:pPr>
            <w:r>
              <w:rPr>
                <w:rFonts w:asciiTheme="majorBidi" w:hAnsiTheme="majorBidi" w:cstheme="majorBidi"/>
                <w:b/>
                <w:sz w:val="16"/>
              </w:rPr>
              <w:t xml:space="preserve">External AUC (95% CI)</w:t>
            </w:r>
          </w:p>
        </w:tc>
        <w:tc>
          <w:tcPr>
            <w:tcW w:w="1134" w:type="dxa"/>
          </w:tcPr>
          <w:p w14:paraId="4A0E78DC" w14:textId="77777777" w:rsidR="00F1197D" w:rsidRPr="00520EE2" w:rsidRDefault="00000000" w:rsidP="00520EE2">
            <w:pPr>
              <w:keepNext/>
              <w:spacing w:before="20" w:after="0"/>
              <w:jc w:val="both"/>
              <w:rPr>
                <w:rFonts w:asciiTheme="majorBidi" w:hAnsiTheme="majorBidi" w:cstheme="majorBidi"/>
              </w:rPr>
            </w:pPr>
            <w:r>
              <w:rPr>
                <w:rFonts w:asciiTheme="majorBidi" w:hAnsiTheme="majorBidi" w:cstheme="majorBidi"/>
                <w:b/>
                <w:sz w:val="16"/>
              </w:rPr>
              <w:t xml:space="preserve">External calibration slope</w:t>
            </w:r>
          </w:p>
        </w:tc>
        <w:tc>
          <w:tcPr>
            <w:tcW w:w="1928" w:type="dxa"/>
          </w:tcPr>
          <w:p w14:paraId="283F6D0F" w14:textId="77777777" w:rsidR="00F1197D" w:rsidRPr="00520EE2" w:rsidRDefault="00000000" w:rsidP="00520EE2">
            <w:pPr>
              <w:keepNext/>
              <w:spacing w:before="20" w:after="0"/>
              <w:jc w:val="both"/>
              <w:rPr>
                <w:rFonts w:asciiTheme="majorBidi" w:hAnsiTheme="majorBidi" w:cstheme="majorBidi"/>
              </w:rPr>
            </w:pPr>
            <w:r>
              <w:rPr>
                <w:rFonts w:asciiTheme="majorBidi" w:hAnsiTheme="majorBidi" w:cstheme="majorBidi"/>
                <w:b/>
                <w:sz w:val="16"/>
              </w:rPr>
              <w:t xml:space="preserve">Gradient boosting: internal / IECV / external</w:t>
            </w:r>
          </w:p>
        </w:tc>
      </w:tr>
      <w:tr w:rsidR="00F1197D" w:rsidRPr="00520EE2" w14:paraId="408D5F92" w14:textId="77777777">
        <w:trPr>
          <w:cantSplit/>
          <w:jc w:val="center"/>
        </w:trPr>
        <w:tc>
          <w:tcPr>
            <w:tcW w:w="2494" w:type="dxa"/>
          </w:tcPr>
          <w:p w14:paraId="6C4AC12B" w14:textId="77777777" w:rsidR="00F1197D" w:rsidRPr="00520EE2" w:rsidRDefault="00000000" w:rsidP="00520EE2">
            <w:pPr>
              <w:keepNext/>
              <w:spacing w:before="20" w:after="0"/>
              <w:jc w:val="both"/>
              <w:rPr>
                <w:rFonts w:asciiTheme="majorBidi" w:hAnsiTheme="majorBidi" w:cstheme="majorBidi"/>
              </w:rPr>
            </w:pPr>
            <w:r>
              <w:rPr>
                <w:rFonts w:asciiTheme="majorBidi" w:hAnsiTheme="majorBidi" w:cstheme="majorBidi"/>
                <w:sz w:val="16"/>
              </w:rPr>
              <w:t xml:space="preserve">Any new or worsened neurological deficit</w:t>
            </w:r>
          </w:p>
        </w:tc>
        <w:tc>
          <w:tcPr>
            <w:tcW w:w="680" w:type="dxa"/>
          </w:tcPr>
          <w:p w14:paraId="0AE16D56" w14:textId="77777777" w:rsidR="00F1197D" w:rsidRPr="00520EE2" w:rsidRDefault="00000000" w:rsidP="00520EE2">
            <w:pPr>
              <w:keepNext/>
              <w:spacing w:before="20" w:after="0"/>
              <w:jc w:val="both"/>
              <w:rPr>
                <w:rFonts w:asciiTheme="majorBidi" w:hAnsiTheme="majorBidi" w:cstheme="majorBidi"/>
              </w:rPr>
            </w:pPr>
            <w:r>
              <w:rPr>
                <w:rFonts w:asciiTheme="majorBidi" w:hAnsiTheme="majorBidi" w:cstheme="majorBidi"/>
                <w:sz w:val="16"/>
              </w:rPr>
              <w:t xml:space="preserve">68</w:t>
            </w:r>
          </w:p>
        </w:tc>
        <w:tc>
          <w:tcPr>
            <w:tcW w:w="1701" w:type="dxa"/>
          </w:tcPr>
          <w:p w14:paraId="052C2023" w14:textId="77777777" w:rsidR="00F1197D" w:rsidRPr="00520EE2" w:rsidRDefault="00000000" w:rsidP="00520EE2">
            <w:pPr>
              <w:keepNext/>
              <w:spacing w:before="20" w:after="0"/>
              <w:jc w:val="both"/>
              <w:rPr>
                <w:rFonts w:asciiTheme="majorBidi" w:hAnsiTheme="majorBidi" w:cstheme="majorBidi"/>
              </w:rPr>
            </w:pPr>
            <w:r>
              <w:rPr>
                <w:rFonts w:asciiTheme="majorBidi" w:hAnsiTheme="majorBidi" w:cstheme="majorBidi"/>
                <w:sz w:val="16"/>
              </w:rPr>
              <w:t xml:space="preserve">0.696 (0.614–0.776)</w:t>
            </w:r>
          </w:p>
        </w:tc>
        <w:tc>
          <w:tcPr>
            <w:tcW w:w="1134" w:type="dxa"/>
          </w:tcPr>
          <w:p w14:paraId="08D9926B" w14:textId="77777777" w:rsidR="00F1197D" w:rsidRPr="00520EE2" w:rsidRDefault="00000000" w:rsidP="00520EE2">
            <w:pPr>
              <w:keepNext/>
              <w:spacing w:before="20" w:after="0"/>
              <w:jc w:val="both"/>
              <w:rPr>
                <w:rFonts w:asciiTheme="majorBidi" w:hAnsiTheme="majorBidi" w:cstheme="majorBidi"/>
              </w:rPr>
            </w:pPr>
            <w:r>
              <w:rPr>
                <w:rFonts w:asciiTheme="majorBidi" w:hAnsiTheme="majorBidi" w:cstheme="majorBidi"/>
                <w:sz w:val="16"/>
              </w:rPr>
              <w:t xml:space="preserve">0.707</w:t>
            </w:r>
          </w:p>
        </w:tc>
        <w:tc>
          <w:tcPr>
            <w:tcW w:w="1701" w:type="dxa"/>
          </w:tcPr>
          <w:p w14:paraId="1DD2D316" w14:textId="77777777" w:rsidR="00F1197D" w:rsidRPr="00520EE2" w:rsidRDefault="00000000" w:rsidP="00520EE2">
            <w:pPr>
              <w:keepNext/>
              <w:spacing w:before="20" w:after="0"/>
              <w:jc w:val="both"/>
              <w:rPr>
                <w:rFonts w:asciiTheme="majorBidi" w:hAnsiTheme="majorBidi" w:cstheme="majorBidi"/>
              </w:rPr>
            </w:pPr>
            <w:r>
              <w:rPr>
                <w:rFonts w:asciiTheme="majorBidi" w:hAnsiTheme="majorBidi" w:cstheme="majorBidi"/>
                <w:sz w:val="16"/>
              </w:rPr>
              <w:t xml:space="preserve">0.682 (0.522–0.807)</w:t>
            </w:r>
          </w:p>
        </w:tc>
        <w:tc>
          <w:tcPr>
            <w:tcW w:w="1928" w:type="dxa"/>
          </w:tcPr>
          <w:p w14:paraId="3BF8C005" w14:textId="77777777" w:rsidR="00F1197D" w:rsidRPr="00520EE2" w:rsidRDefault="00000000" w:rsidP="00520EE2">
            <w:pPr>
              <w:keepNext/>
              <w:spacing w:before="20" w:after="0"/>
              <w:jc w:val="both"/>
              <w:rPr>
                <w:rFonts w:asciiTheme="majorBidi" w:hAnsiTheme="majorBidi" w:cstheme="majorBidi"/>
              </w:rPr>
            </w:pPr>
            <w:r>
              <w:rPr>
                <w:rFonts w:asciiTheme="majorBidi" w:hAnsiTheme="majorBidi" w:cstheme="majorBidi"/>
                <w:sz w:val="16"/>
              </w:rPr>
              <w:t xml:space="preserve">0.623 / 0.596 / 0.834</w:t>
            </w:r>
          </w:p>
        </w:tc>
        <w:tc>
          <w:tcPr>
            <w:tcW w:w="1701" w:type="dxa"/>
          </w:tcPr>
          <w:p w14:paraId="50EB4F2A" w14:textId="77777777" w:rsidR="00F1197D" w:rsidRPr="00520EE2" w:rsidRDefault="00000000" w:rsidP="00520EE2">
            <w:pPr>
              <w:keepNext/>
              <w:spacing w:before="20" w:after="0"/>
              <w:jc w:val="both"/>
              <w:rPr>
                <w:rFonts w:asciiTheme="majorBidi" w:hAnsiTheme="majorBidi" w:cstheme="majorBidi"/>
              </w:rPr>
            </w:pPr>
            <w:r>
              <w:rPr>
                <w:rFonts w:asciiTheme="majorBidi" w:hAnsiTheme="majorBidi" w:cstheme="majorBidi"/>
                <w:sz w:val="16"/>
              </w:rPr>
              <w:t xml:space="preserve">0.834 (0.699–0.947)</w:t>
            </w:r>
          </w:p>
        </w:tc>
        <w:tc>
          <w:tcPr>
            <w:tcW w:w="1134" w:type="dxa"/>
          </w:tcPr>
          <w:p w14:paraId="6E48E5CE" w14:textId="77777777" w:rsidR="00F1197D" w:rsidRPr="00520EE2" w:rsidRDefault="00000000" w:rsidP="00520EE2">
            <w:pPr>
              <w:keepNext/>
              <w:spacing w:before="20" w:after="0"/>
              <w:jc w:val="both"/>
              <w:rPr>
                <w:rFonts w:asciiTheme="majorBidi" w:hAnsiTheme="majorBidi" w:cstheme="majorBidi"/>
              </w:rPr>
            </w:pPr>
            <w:r>
              <w:rPr>
                <w:rFonts w:asciiTheme="majorBidi" w:hAnsiTheme="majorBidi" w:cstheme="majorBidi"/>
                <w:sz w:val="16"/>
              </w:rPr>
              <w:t xml:space="preserve">2.39</w:t>
            </w:r>
          </w:p>
        </w:tc>
        <w:tc>
          <w:tcPr>
            <w:tcW w:w="1928" w:type="dxa"/>
          </w:tcPr>
          <w:p w14:paraId="7DA51115" w14:textId="77777777" w:rsidR="00F1197D" w:rsidRPr="00520EE2" w:rsidRDefault="00000000" w:rsidP="00520EE2">
            <w:pPr>
              <w:keepNext/>
              <w:spacing w:before="20" w:after="0"/>
              <w:jc w:val="both"/>
              <w:rPr>
                <w:rFonts w:asciiTheme="majorBidi" w:hAnsiTheme="majorBidi" w:cstheme="majorBidi"/>
              </w:rPr>
            </w:pPr>
            <w:r>
              <w:rPr>
                <w:rFonts w:asciiTheme="majorBidi" w:hAnsiTheme="majorBidi" w:cstheme="majorBidi"/>
                <w:sz w:val="16"/>
              </w:rPr>
              <w:t xml:space="preserve">0.652 / 0.586 / 0.718</w:t>
            </w:r>
          </w:p>
        </w:tc>
      </w:tr>
      <w:tr w:rsidR="00F1197D" w:rsidRPr="00520EE2" w14:paraId="19A75AB9" w14:textId="77777777">
        <w:trPr>
          <w:cantSplit/>
          <w:jc w:val="center"/>
        </w:trPr>
        <w:tc>
          <w:tcPr>
            <w:tcW w:w="2494" w:type="dxa"/>
          </w:tcPr>
          <w:p w14:paraId="0A983125" w14:textId="77777777" w:rsidR="00F1197D" w:rsidRPr="00520EE2" w:rsidRDefault="00000000" w:rsidP="00520EE2">
            <w:pPr>
              <w:keepNext/>
              <w:spacing w:before="20" w:after="0"/>
              <w:jc w:val="both"/>
              <w:rPr>
                <w:rFonts w:asciiTheme="majorBidi" w:hAnsiTheme="majorBidi" w:cstheme="majorBidi"/>
              </w:rPr>
            </w:pPr>
            <w:r>
              <w:rPr>
                <w:rFonts w:asciiTheme="majorBidi" w:hAnsiTheme="majorBidi" w:cstheme="majorBidi"/>
                <w:sz w:val="16"/>
              </w:rPr>
              <w:t xml:space="preserve">New or worsened motor deficit</w:t>
            </w:r>
          </w:p>
        </w:tc>
        <w:tc>
          <w:tcPr>
            <w:tcW w:w="680" w:type="dxa"/>
          </w:tcPr>
          <w:p w14:paraId="0BA20866" w14:textId="77777777" w:rsidR="00F1197D" w:rsidRPr="00520EE2" w:rsidRDefault="00000000" w:rsidP="00520EE2">
            <w:pPr>
              <w:keepNext/>
              <w:spacing w:before="20" w:after="0"/>
              <w:jc w:val="both"/>
              <w:rPr>
                <w:rFonts w:asciiTheme="majorBidi" w:hAnsiTheme="majorBidi" w:cstheme="majorBidi"/>
              </w:rPr>
            </w:pPr>
            <w:r>
              <w:rPr>
                <w:rFonts w:asciiTheme="majorBidi" w:hAnsiTheme="majorBidi" w:cstheme="majorBidi"/>
                <w:sz w:val="16"/>
              </w:rPr>
              <w:t xml:space="preserve">30</w:t>
            </w:r>
          </w:p>
        </w:tc>
        <w:tc>
          <w:tcPr>
            <w:tcW w:w="1701" w:type="dxa"/>
          </w:tcPr>
          <w:p w14:paraId="6228EE1F" w14:textId="77777777" w:rsidR="00F1197D" w:rsidRPr="00520EE2" w:rsidRDefault="00000000" w:rsidP="00520EE2">
            <w:pPr>
              <w:keepNext/>
              <w:spacing w:before="20" w:after="0"/>
              <w:jc w:val="both"/>
              <w:rPr>
                <w:rFonts w:asciiTheme="majorBidi" w:hAnsiTheme="majorBidi" w:cstheme="majorBidi"/>
              </w:rPr>
            </w:pPr>
            <w:r>
              <w:rPr>
                <w:rFonts w:asciiTheme="majorBidi" w:hAnsiTheme="majorBidi" w:cstheme="majorBidi"/>
                <w:sz w:val="16"/>
              </w:rPr>
              <w:t xml:space="preserve">0.729 (0.639–0.805)</w:t>
            </w:r>
          </w:p>
        </w:tc>
        <w:tc>
          <w:tcPr>
            <w:tcW w:w="1134" w:type="dxa"/>
          </w:tcPr>
          <w:p w14:paraId="5743F686" w14:textId="77777777" w:rsidR="00F1197D" w:rsidRPr="00520EE2" w:rsidRDefault="00000000" w:rsidP="00520EE2">
            <w:pPr>
              <w:keepNext/>
              <w:spacing w:before="20" w:after="0"/>
              <w:jc w:val="both"/>
              <w:rPr>
                <w:rFonts w:asciiTheme="majorBidi" w:hAnsiTheme="majorBidi" w:cstheme="majorBidi"/>
              </w:rPr>
            </w:pPr>
            <w:r>
              <w:rPr>
                <w:rFonts w:asciiTheme="majorBidi" w:hAnsiTheme="majorBidi" w:cstheme="majorBidi"/>
                <w:sz w:val="16"/>
              </w:rPr>
              <w:t xml:space="preserve">0.740</w:t>
            </w:r>
          </w:p>
        </w:tc>
        <w:tc>
          <w:tcPr>
            <w:tcW w:w="1701" w:type="dxa"/>
          </w:tcPr>
          <w:p w14:paraId="655555A8" w14:textId="77777777" w:rsidR="00F1197D" w:rsidRPr="00520EE2" w:rsidRDefault="00000000" w:rsidP="00520EE2">
            <w:pPr>
              <w:keepNext/>
              <w:spacing w:before="20" w:after="0"/>
              <w:jc w:val="both"/>
              <w:rPr>
                <w:rFonts w:asciiTheme="majorBidi" w:hAnsiTheme="majorBidi" w:cstheme="majorBidi"/>
              </w:rPr>
            </w:pPr>
            <w:r>
              <w:rPr>
                <w:rFonts w:asciiTheme="majorBidi" w:hAnsiTheme="majorBidi" w:cstheme="majorBidi"/>
                <w:sz w:val="16"/>
              </w:rPr>
              <w:t xml:space="preserve">0.711 (0.596–0.803)</w:t>
            </w:r>
          </w:p>
        </w:tc>
        <w:tc>
          <w:tcPr>
            <w:tcW w:w="1928" w:type="dxa"/>
          </w:tcPr>
          <w:p w14:paraId="15C40C37" w14:textId="77777777" w:rsidR="00F1197D" w:rsidRPr="00520EE2" w:rsidRDefault="00000000" w:rsidP="00520EE2">
            <w:pPr>
              <w:keepNext/>
              <w:spacing w:before="20" w:after="0"/>
              <w:jc w:val="both"/>
              <w:rPr>
                <w:rFonts w:asciiTheme="majorBidi" w:hAnsiTheme="majorBidi" w:cstheme="majorBidi"/>
              </w:rPr>
            </w:pPr>
            <w:r>
              <w:rPr>
                <w:rFonts w:asciiTheme="majorBidi" w:hAnsiTheme="majorBidi" w:cstheme="majorBidi"/>
                <w:sz w:val="16"/>
              </w:rPr>
              <w:t xml:space="preserve">0.720 / n.e. / 0.684</w:t>
            </w:r>
          </w:p>
        </w:tc>
        <w:tc>
          <w:tcPr>
            <w:tcW w:w="1701" w:type="dxa"/>
          </w:tcPr>
          <w:p w14:paraId="1D1548F7" w14:textId="77777777" w:rsidR="00F1197D" w:rsidRPr="00520EE2" w:rsidRDefault="00000000" w:rsidP="00520EE2">
            <w:pPr>
              <w:keepNext/>
              <w:spacing w:before="20" w:after="0"/>
              <w:jc w:val="both"/>
              <w:rPr>
                <w:rFonts w:asciiTheme="majorBidi" w:hAnsiTheme="majorBidi" w:cstheme="majorBidi"/>
              </w:rPr>
            </w:pPr>
            <w:r>
              <w:rPr>
                <w:rFonts w:asciiTheme="majorBidi" w:hAnsiTheme="majorBidi" w:cstheme="majorBidi"/>
                <w:sz w:val="16"/>
              </w:rPr>
              <w:t xml:space="preserve">0.684 (0.481–0.865)</w:t>
            </w:r>
          </w:p>
        </w:tc>
        <w:tc>
          <w:tcPr>
            <w:tcW w:w="1134" w:type="dxa"/>
          </w:tcPr>
          <w:p w14:paraId="549CDAEF" w14:textId="77777777" w:rsidR="00F1197D" w:rsidRPr="00520EE2" w:rsidRDefault="00000000" w:rsidP="00520EE2">
            <w:pPr>
              <w:keepNext/>
              <w:spacing w:before="20" w:after="0"/>
              <w:jc w:val="both"/>
              <w:rPr>
                <w:rFonts w:asciiTheme="majorBidi" w:hAnsiTheme="majorBidi" w:cstheme="majorBidi"/>
              </w:rPr>
            </w:pPr>
            <w:r>
              <w:rPr>
                <w:rFonts w:asciiTheme="majorBidi" w:hAnsiTheme="majorBidi" w:cstheme="majorBidi"/>
                <w:sz w:val="16"/>
              </w:rPr>
              <w:t xml:space="preserve">0.85</w:t>
            </w:r>
          </w:p>
        </w:tc>
        <w:tc>
          <w:tcPr>
            <w:tcW w:w="1928" w:type="dxa"/>
          </w:tcPr>
          <w:p w14:paraId="2087ED4D" w14:textId="77777777" w:rsidR="00F1197D" w:rsidRPr="00520EE2" w:rsidRDefault="00000000" w:rsidP="00520EE2">
            <w:pPr>
              <w:keepNext/>
              <w:spacing w:before="20" w:after="0"/>
              <w:jc w:val="both"/>
              <w:rPr>
                <w:rFonts w:asciiTheme="majorBidi" w:hAnsiTheme="majorBidi" w:cstheme="majorBidi"/>
              </w:rPr>
            </w:pPr>
            <w:r>
              <w:rPr>
                <w:rFonts w:asciiTheme="majorBidi" w:hAnsiTheme="majorBidi" w:cstheme="majorBidi"/>
                <w:sz w:val="16"/>
              </w:rPr>
              <w:t xml:space="preserve">0.676 / 0.639 / 0.625</w:t>
            </w:r>
          </w:p>
        </w:tc>
      </w:tr>
      <w:tr w:rsidR="00F1197D" w:rsidRPr="00520EE2" w14:paraId="7D0BBA5A" w14:textId="77777777">
        <w:trPr>
          <w:cantSplit/>
          <w:jc w:val="center"/>
        </w:trPr>
        <w:tc>
          <w:tcPr>
            <w:tcW w:w="2494" w:type="dxa"/>
          </w:tcPr>
          <w:p w14:paraId="44502414" w14:textId="77777777" w:rsidR="00F1197D" w:rsidRPr="00520EE2" w:rsidRDefault="00000000" w:rsidP="00520EE2">
            <w:pPr>
              <w:keepNext/>
              <w:spacing w:before="20" w:after="0"/>
              <w:jc w:val="both"/>
              <w:rPr>
                <w:rFonts w:asciiTheme="majorBidi" w:hAnsiTheme="majorBidi" w:cstheme="majorBidi"/>
              </w:rPr>
            </w:pPr>
            <w:r>
              <w:rPr>
                <w:rFonts w:asciiTheme="majorBidi" w:hAnsiTheme="majorBidi" w:cstheme="majorBidi"/>
                <w:sz w:val="16"/>
              </w:rPr>
              <w:t xml:space="preserve">Visual deterioration</w:t>
            </w:r>
          </w:p>
        </w:tc>
        <w:tc>
          <w:tcPr>
            <w:tcW w:w="680" w:type="dxa"/>
          </w:tcPr>
          <w:p w14:paraId="5184E7EF" w14:textId="77777777" w:rsidR="00F1197D" w:rsidRPr="00520EE2" w:rsidRDefault="00000000" w:rsidP="00520EE2">
            <w:pPr>
              <w:keepNext/>
              <w:spacing w:before="20" w:after="0"/>
              <w:jc w:val="both"/>
              <w:rPr>
                <w:rFonts w:asciiTheme="majorBidi" w:hAnsiTheme="majorBidi" w:cstheme="majorBidi"/>
              </w:rPr>
            </w:pPr>
            <w:r>
              <w:rPr>
                <w:rFonts w:asciiTheme="majorBidi" w:hAnsiTheme="majorBidi" w:cstheme="majorBidi"/>
                <w:sz w:val="16"/>
              </w:rPr>
              <w:t xml:space="preserve">19</w:t>
            </w:r>
          </w:p>
        </w:tc>
        <w:tc>
          <w:tcPr>
            <w:tcW w:w="1701" w:type="dxa"/>
          </w:tcPr>
          <w:p w14:paraId="72C29F67" w14:textId="77777777" w:rsidR="00F1197D" w:rsidRPr="00520EE2" w:rsidRDefault="00000000" w:rsidP="00520EE2">
            <w:pPr>
              <w:keepNext/>
              <w:spacing w:before="20" w:after="0"/>
              <w:jc w:val="both"/>
              <w:rPr>
                <w:rFonts w:asciiTheme="majorBidi" w:hAnsiTheme="majorBidi" w:cstheme="majorBidi"/>
              </w:rPr>
            </w:pPr>
            <w:r>
              <w:rPr>
                <w:rFonts w:asciiTheme="majorBidi" w:hAnsiTheme="majorBidi" w:cstheme="majorBidi"/>
                <w:sz w:val="16"/>
              </w:rPr>
              <w:t xml:space="preserve">0.420 (0.265–0.497)</w:t>
            </w:r>
          </w:p>
        </w:tc>
        <w:tc>
          <w:tcPr>
            <w:tcW w:w="1134" w:type="dxa"/>
          </w:tcPr>
          <w:p w14:paraId="2F6A1B9E" w14:textId="77777777" w:rsidR="00F1197D" w:rsidRPr="00520EE2" w:rsidRDefault="00000000" w:rsidP="00520EE2">
            <w:pPr>
              <w:keepNext/>
              <w:spacing w:before="20" w:after="0"/>
              <w:jc w:val="both"/>
              <w:rPr>
                <w:rFonts w:asciiTheme="majorBidi" w:hAnsiTheme="majorBidi" w:cstheme="majorBidi"/>
              </w:rPr>
            </w:pPr>
            <w:r>
              <w:rPr>
                <w:rFonts w:asciiTheme="majorBidi" w:hAnsiTheme="majorBidi" w:cstheme="majorBidi"/>
                <w:sz w:val="16"/>
              </w:rPr>
              <w:t xml:space="preserve">0.535</w:t>
            </w:r>
          </w:p>
        </w:tc>
        <w:tc>
          <w:tcPr>
            <w:tcW w:w="1701" w:type="dxa"/>
          </w:tcPr>
          <w:p w14:paraId="14B25724" w14:textId="77777777" w:rsidR="00F1197D" w:rsidRPr="00520EE2" w:rsidRDefault="00000000" w:rsidP="00520EE2">
            <w:pPr>
              <w:keepNext/>
              <w:spacing w:before="20" w:after="0"/>
              <w:jc w:val="both"/>
              <w:rPr>
                <w:rFonts w:asciiTheme="majorBidi" w:hAnsiTheme="majorBidi" w:cstheme="majorBidi"/>
              </w:rPr>
            </w:pPr>
            <w:r>
              <w:rPr>
                <w:rFonts w:asciiTheme="majorBidi" w:hAnsiTheme="majorBidi" w:cstheme="majorBidi"/>
                <w:sz w:val="16"/>
              </w:rPr>
              <w:t xml:space="preserve">0.478 (0.312–0.649)</w:t>
            </w:r>
          </w:p>
        </w:tc>
        <w:tc>
          <w:tcPr>
            <w:tcW w:w="1928" w:type="dxa"/>
          </w:tcPr>
          <w:p w14:paraId="18C5B248" w14:textId="77777777" w:rsidR="00F1197D" w:rsidRPr="00520EE2" w:rsidRDefault="00000000" w:rsidP="00520EE2">
            <w:pPr>
              <w:keepNext/>
              <w:spacing w:before="20" w:after="0"/>
              <w:jc w:val="both"/>
              <w:rPr>
                <w:rFonts w:asciiTheme="majorBidi" w:hAnsiTheme="majorBidi" w:cstheme="majorBidi"/>
              </w:rPr>
            </w:pPr>
            <w:r>
              <w:rPr>
                <w:rFonts w:asciiTheme="majorBidi" w:hAnsiTheme="majorBidi" w:cstheme="majorBidi"/>
                <w:sz w:val="16"/>
              </w:rPr>
              <w:t xml:space="preserve">0.454 / 0.462 / 0.581</w:t>
            </w:r>
          </w:p>
        </w:tc>
        <w:tc>
          <w:tcPr>
            <w:tcW w:w="1701" w:type="dxa"/>
          </w:tcPr>
          <w:p w14:paraId="73554274" w14:textId="77777777" w:rsidR="00F1197D" w:rsidRPr="00520EE2" w:rsidRDefault="00000000" w:rsidP="00520EE2">
            <w:pPr>
              <w:keepNext/>
              <w:spacing w:before="20" w:after="0"/>
              <w:jc w:val="both"/>
              <w:rPr>
                <w:rFonts w:asciiTheme="majorBidi" w:hAnsiTheme="majorBidi" w:cstheme="majorBidi"/>
              </w:rPr>
            </w:pPr>
            <w:r>
              <w:rPr>
                <w:rFonts w:asciiTheme="majorBidi" w:hAnsiTheme="majorBidi" w:cstheme="majorBidi"/>
                <w:sz w:val="16"/>
              </w:rPr>
              <w:t xml:space="preserve">0.581 (0.280–0.914)</w:t>
            </w:r>
          </w:p>
        </w:tc>
        <w:tc>
          <w:tcPr>
            <w:tcW w:w="1134" w:type="dxa"/>
          </w:tcPr>
          <w:p w14:paraId="28E3553A" w14:textId="77777777" w:rsidR="00F1197D" w:rsidRPr="00520EE2" w:rsidRDefault="00000000" w:rsidP="00520EE2">
            <w:pPr>
              <w:keepNext/>
              <w:spacing w:before="20" w:after="0"/>
              <w:jc w:val="both"/>
              <w:rPr>
                <w:rFonts w:asciiTheme="majorBidi" w:hAnsiTheme="majorBidi" w:cstheme="majorBidi"/>
              </w:rPr>
            </w:pPr>
            <w:r>
              <w:rPr>
                <w:rFonts w:asciiTheme="majorBidi" w:hAnsiTheme="majorBidi" w:cstheme="majorBidi"/>
                <w:sz w:val="16"/>
              </w:rPr>
              <w:t xml:space="preserve">0.74</w:t>
            </w:r>
          </w:p>
        </w:tc>
        <w:tc>
          <w:tcPr>
            <w:tcW w:w="1928" w:type="dxa"/>
          </w:tcPr>
          <w:p w14:paraId="344959ED" w14:textId="77777777" w:rsidR="00F1197D" w:rsidRPr="00520EE2" w:rsidRDefault="00F1197D" w:rsidP="00520EE2">
            <w:pPr>
              <w:keepNext/>
              <w:spacing w:before="20" w:after="0"/>
              <w:jc w:val="both"/>
              <w:rPr>
                <w:rFonts w:asciiTheme="majorBidi" w:hAnsiTheme="majorBidi" w:cstheme="majorBidi"/>
              </w:rPr>
            </w:pPr>
          </w:p>
        </w:tc>
      </w:tr>
      <w:tr w:rsidR="00F1197D" w:rsidRPr="00520EE2" w14:paraId="19681397" w14:textId="77777777">
        <w:trPr>
          <w:cantSplit/>
          <w:jc w:val="center"/>
        </w:trPr>
        <w:tc>
          <w:tcPr>
            <w:tcW w:w="2494" w:type="dxa"/>
          </w:tcPr>
          <w:p w14:paraId="45F9060E"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Motor deficit, motor-symptom predictor removed</w:t>
            </w:r>
          </w:p>
        </w:tc>
        <w:tc>
          <w:tcPr>
            <w:tcW w:w="680" w:type="dxa"/>
          </w:tcPr>
          <w:p w14:paraId="7D6A2E8F"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30</w:t>
            </w:r>
          </w:p>
        </w:tc>
        <w:tc>
          <w:tcPr>
            <w:tcW w:w="1701" w:type="dxa"/>
          </w:tcPr>
          <w:p w14:paraId="6D891E3B"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0.709 (0.620–0.793)</w:t>
            </w:r>
          </w:p>
        </w:tc>
        <w:tc>
          <w:tcPr>
            <w:tcW w:w="1134" w:type="dxa"/>
          </w:tcPr>
          <w:p w14:paraId="4059A80F"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0.731</w:t>
            </w:r>
          </w:p>
        </w:tc>
        <w:tc>
          <w:tcPr>
            <w:tcW w:w="1701" w:type="dxa"/>
          </w:tcPr>
          <w:p w14:paraId="4A910D35"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0.710 (0.601–0.799)</w:t>
            </w:r>
          </w:p>
        </w:tc>
        <w:tc>
          <w:tcPr>
            <w:tcW w:w="1928" w:type="dxa"/>
          </w:tcPr>
          <w:p w14:paraId="39B48837"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0.711 / n.e. / 0.708</w:t>
            </w:r>
          </w:p>
        </w:tc>
        <w:tc>
          <w:tcPr>
            <w:tcW w:w="1701" w:type="dxa"/>
          </w:tcPr>
          <w:p w14:paraId="5DDA7747"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0.708 (0.512–0.882)</w:t>
            </w:r>
          </w:p>
        </w:tc>
        <w:tc>
          <w:tcPr>
            <w:tcW w:w="1134" w:type="dxa"/>
          </w:tcPr>
          <w:p w14:paraId="211EBBB5"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0.62</w:t>
            </w:r>
          </w:p>
        </w:tc>
        <w:tc>
          <w:tcPr>
            <w:tcW w:w="1928" w:type="dxa"/>
          </w:tcPr>
          <w:p w14:paraId="3313CB39" w14:textId="77777777" w:rsidR="00F1197D" w:rsidRPr="00520EE2" w:rsidRDefault="00F1197D" w:rsidP="00520EE2">
            <w:pPr>
              <w:spacing w:before="20" w:after="0"/>
              <w:jc w:val="both"/>
              <w:rPr>
                <w:rFonts w:asciiTheme="majorBidi" w:hAnsiTheme="majorBidi" w:cstheme="majorBidi"/>
              </w:rPr>
            </w:pPr>
          </w:p>
        </w:tc>
      </w:tr>
    </w:tbl>
    <w:p w14:paraId="48C43F14" w14:textId="77777777" w:rsidR="00F1197D" w:rsidRPr="00520EE2" w:rsidRDefault="00000000" w:rsidP="00520EE2">
      <w:pPr>
        <w:jc w:val="both"/>
        <w:rPr>
          <w:rFonts w:asciiTheme="majorBidi" w:hAnsiTheme="majorBidi" w:cstheme="majorBidi"/>
        </w:rPr>
      </w:pPr>
      <w:r>
        <w:rPr>
          <w:rFonts w:asciiTheme="majorBidi" w:hAnsiTheme="majorBidi" w:cstheme="majorBidi"/>
          <w:sz w:val="17"/>
        </w:rPr>
        <w:t xml:space="preserve">n.e., not evaluable. The motor-symptom sensitivity analysis uses the neurological set without the preoperative motor symptom predictor (seven predictors). Cognitive decline is reported in Table S15 (development Bologna, validation Liverpool).</w:t>
      </w:r>
    </w:p>
    <w:p w14:paraId="2BB4B716" w14:textId="77777777" w:rsidR="00F1197D" w:rsidRPr="00520EE2" w:rsidRDefault="00000000" w:rsidP="00520EE2">
      <w:pPr>
        <w:keepNext/>
        <w:jc w:val="both"/>
        <w:rPr>
          <w:rFonts w:asciiTheme="majorBidi" w:hAnsiTheme="majorBidi" w:cstheme="majorBidi"/>
        </w:rPr>
      </w:pPr>
      <w:r>
        <w:rPr>
          <w:rFonts w:asciiTheme="majorBidi" w:hAnsiTheme="majorBidi" w:cstheme="majorBidi"/>
          <w:noProof/>
        </w:rPr>
        <w:drawing>
          <wp:inline distT="0" distB="0" distL="0" distR="0" wp14:anchorId="4FD03735" wp14:editId="01E2C7BF">
            <wp:extent cx="5400000" cy="295155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figS3.png"/>
                    <pic:cNvPicPr/>
                  </pic:nvPicPr>
                  <pic:blipFill>
                    <a:blip r:embed="rId13"/>
                    <a:stretch>
                      <a:fillRect/>
                    </a:stretch>
                  </pic:blipFill>
                  <pic:spPr>
                    <a:xfrm>
                      <a:off x="0" y="0"/>
                      <a:ext cx="5400000" cy="2951553"/>
                    </a:xfrm>
                    <a:prstGeom prst="rect">
                      <a:avLst/>
                    </a:prstGeom>
                  </pic:spPr>
                </pic:pic>
              </a:graphicData>
            </a:graphic>
          </wp:inline>
        </w:drawing>
      </w:r>
    </w:p>
    <w:p w14:paraId="4EE09225" w14:textId="77777777" w:rsidR="00F1197D" w:rsidRPr="00520EE2" w:rsidRDefault="00000000" w:rsidP="00520EE2">
      <w:pPr>
        <w:spacing w:before="200"/>
        <w:jc w:val="both"/>
        <w:rPr>
          <w:rFonts w:asciiTheme="majorBidi" w:hAnsiTheme="majorBidi" w:cstheme="majorBidi"/>
        </w:rPr>
      </w:pPr>
      <w:r>
        <w:rPr>
          <w:rFonts w:asciiTheme="majorBidi" w:hAnsiTheme="majorBidi" w:cstheme="majorBidi"/>
          <w:b/>
        </w:rPr>
        <w:t xml:space="preserve">Fig. S3</w:t>
      </w:r>
      <w:r>
        <w:rPr>
          <w:rFonts w:asciiTheme="majorBidi" w:hAnsiTheme="majorBidi" w:cstheme="majorBidi"/>
          <w:sz w:val="18"/>
        </w:rPr>
        <w:t xml:space="preserve"> Heterogeneity of neurological endpoints. Nested cross-validated AUC obtained with the fixed neurological predictor set for the composite endpoint and its components, with 95% percentile bootstrap confidence intervals. The composite, motor and visual endpoints were evaluated in the modelling population (n = 231); cognitive decline was evaluated in the two centers that recorded it (Bologna and Liverpool, n = 163), and the development–validation performance of the cognitive model is reported in the main text and in Table S15. Event counts </w:t>
        <w:lastRenderedPageBreak/>
        <w:t>are those of the respective populations. Visual outcome coding was verified, and an AUC below 0.5 indicated that the fixed score ranked visual deterioration in the opposite direction from the motor deficit. New psychiatric syndromes were not modelled because only three events occurred. AUC, area under the receiver operating characteristic curve.</w:t>
      </w:r>
    </w:p>
    <w:p w14:paraId="18537667" w14:textId="77777777" w:rsidR="00F1197D" w:rsidRPr="00520EE2" w:rsidRDefault="00000000" w:rsidP="00520EE2">
      <w:pPr>
        <w:keepNext/>
        <w:spacing w:before="280"/>
        <w:jc w:val="both"/>
        <w:rPr>
          <w:rFonts w:asciiTheme="majorBidi" w:hAnsiTheme="majorBidi" w:cstheme="majorBidi"/>
        </w:rPr>
      </w:pPr>
      <w:r>
        <w:rPr>
          <w:rFonts w:asciiTheme="majorBidi" w:hAnsiTheme="majorBidi" w:cstheme="majorBidi"/>
          <w:b/>
          <w:sz w:val="24"/>
        </w:rPr>
        <w:t xml:space="preserve">Cognitive decline: development in Bologna, external validation in Liverpool</w:t>
      </w:r>
    </w:p>
    <w:p w14:paraId="54F2028B" w14:textId="77777777" w:rsidR="00F1197D" w:rsidRPr="00520EE2" w:rsidRDefault="00000000" w:rsidP="00520EE2">
      <w:pPr>
        <w:spacing w:after="120"/>
        <w:jc w:val="both"/>
        <w:rPr>
          <w:rFonts w:asciiTheme="majorBidi" w:hAnsiTheme="majorBidi" w:cstheme="majorBidi"/>
        </w:rPr>
      </w:pPr>
      <w:r>
        <w:rPr>
          <w:rFonts w:asciiTheme="majorBidi" w:hAnsiTheme="majorBidi" w:cstheme="majorBidi"/>
        </w:rPr>
        <w:t xml:space="preserve">Cognitive decline at discharge was recorded in Bologna (16 of 115, 13.9%) and Liverpool (12 of 48, 25.0%) but not in Cesena (0 of 68). The model was therefore developed in Bologna with the fixed neurological predictor set and the ridge pipeline of the other models (penalty selected within each training fold by log-loss; nested 10-fold cross-validation repeated five times; 200-replicate bootstrap optimism correction) and tested once in Liverpool. With 16 events for eight predictors (events per variable 2.0), the selected penalty was strong (C = 0.01) and all standardized odds ratios lie close to unity; the model ranks patients but its absolute risks are compressed. Internal discrimination was modest (nested cross-validated AUC 0.592, 95% CI 0.424–0.757; apparent 0.756, optimism 0.103, optimism-corrected 0.653). In Liverpool the AUC was 0.731 (95% CI 0.572–0.871), with a calibration slope of 4.03 and calibration-in-the-large of 0.71 (mean predicted risk 14.2% versus observed 25.0%; Brier 0.193 versus a null Brier of 0.188): predictions were under-dispersed and, on average, too low. Across tertiles of predicted risk in Liverpool, 0 of 16, 6 of 16 and 6 of 16 patients declined. Gradient boosting with the 25 candidate variables reached 0.579 (95% CI 0.402–0.749) on repeated five-fold cross-validation in Bologna and 0.632 (95% CI 0.433–0.822) in Liverpool (median 0.653, range 0.513–0.676 over 20 random seeds). Sensitivity analyses: replacing preoperative motor symptoms by preoperative cognitive or psychiatric symptoms gave 0.547 internally and 0.711 externally; pooling the two centers that recorded the outcome (163 patients, 28 events) gave a nested cross-validated AUC of 0.681 (95% CI 0.575–0.786; calibration slope 0.84); the reverse direction (development Liverpool, test Bologna) gave 0.580 (95% CI 0.423–0.719). For comparison, the same Bologna-to-Liverpool split gave 0.679 for the motor endpoint and 0.819 for the medical endpoint. The cognitive model is implemented in the online calculator as an exploratory model.</w:t>
      </w:r>
    </w:p>
    <w:p w14:paraId="63586004" w14:textId="77777777" w:rsidR="00F1197D" w:rsidRPr="00520EE2" w:rsidRDefault="00000000" w:rsidP="00520EE2">
      <w:pPr>
        <w:keepNext/>
        <w:spacing w:before="200"/>
        <w:jc w:val="both"/>
        <w:rPr>
          <w:rFonts w:asciiTheme="majorBidi" w:hAnsiTheme="majorBidi" w:cstheme="majorBidi"/>
        </w:rPr>
      </w:pPr>
      <w:r>
        <w:rPr>
          <w:rFonts w:asciiTheme="majorBidi" w:hAnsiTheme="majorBidi" w:cstheme="majorBidi"/>
          <w:b/>
        </w:rPr>
        <w:t xml:space="preserve">Table S15</w:t>
      </w:r>
      <w:r>
        <w:rPr>
          <w:rFonts w:asciiTheme="majorBidi" w:hAnsiTheme="majorBidi" w:cstheme="majorBidi"/>
        </w:rPr>
        <w:t xml:space="preserve"> Cognitive decline: model developed in Bologna (n = 115, 16 events) and validated in Liverpool (n = 48, 12 events)</w:t>
      </w:r>
    </w:p>
    <w:tbl>
      <w:tblPr>
        <w:tblW w:w="0" w:type="auto"/>
        <w:jc w:val="center"/>
        <w:tblBorders>
          <w:top w:val="single" w:sz="4" w:space="0" w:color="808080"/>
          <w:left w:val="nil"/>
          <w:bottom w:val="single" w:sz="4" w:space="0" w:color="808080"/>
          <w:right w:val="nil"/>
          <w:insideH w:val="single" w:sz="4" w:space="0" w:color="808080"/>
          <w:insideV w:val="nil"/>
        </w:tblBorders>
        <w:tblLayout w:type="fixed"/>
        <w:tblLook w:val="04A0" w:firstRow="1" w:lastRow="0" w:firstColumn="1" w:lastColumn="0" w:noHBand="0" w:noVBand="1"/>
      </w:tblPr>
      <w:tblGrid>
        <w:gridCol w:w="2835"/>
        <w:gridCol w:w="1701"/>
        <w:gridCol w:w="1134"/>
        <w:gridCol w:w="1134"/>
        <w:gridCol w:w="1814"/>
        <w:gridCol w:w="1701"/>
        <w:gridCol w:w="1361"/>
      </w:tblGrid>
      <w:tr w:rsidR="00F1197D" w:rsidRPr="00520EE2" w14:paraId="204B4EF4" w14:textId="77777777">
        <w:trPr>
          <w:cantSplit/>
          <w:tblHeader/>
          <w:jc w:val="center"/>
        </w:trPr>
        <w:tc>
          <w:tcPr>
            <w:tcW w:w="2835" w:type="dxa"/>
          </w:tcPr>
          <w:p w14:paraId="50686B45" w14:textId="77777777" w:rsidR="00F1197D" w:rsidRPr="00520EE2" w:rsidRDefault="00000000" w:rsidP="00520EE2">
            <w:pPr>
              <w:keepNext/>
              <w:spacing w:before="20" w:after="0"/>
              <w:jc w:val="both"/>
              <w:rPr>
                <w:rFonts w:asciiTheme="majorBidi" w:hAnsiTheme="majorBidi" w:cstheme="majorBidi"/>
              </w:rPr>
            </w:pPr>
            <w:r>
              <w:rPr>
                <w:rFonts w:asciiTheme="majorBidi" w:hAnsiTheme="majorBidi" w:cstheme="majorBidi"/>
                <w:b/>
                <w:sz w:val="16"/>
              </w:rPr>
              <w:t xml:space="preserve">Model</w:t>
            </w:r>
          </w:p>
        </w:tc>
        <w:tc>
          <w:tcPr>
            <w:tcW w:w="1701" w:type="dxa"/>
          </w:tcPr>
          <w:p w14:paraId="50E80C88" w14:textId="77777777" w:rsidR="00F1197D" w:rsidRPr="00520EE2" w:rsidRDefault="00000000" w:rsidP="00520EE2">
            <w:pPr>
              <w:keepNext/>
              <w:spacing w:before="20" w:after="0"/>
              <w:jc w:val="both"/>
              <w:rPr>
                <w:rFonts w:asciiTheme="majorBidi" w:hAnsiTheme="majorBidi" w:cstheme="majorBidi"/>
              </w:rPr>
            </w:pPr>
            <w:r>
              <w:rPr>
                <w:rFonts w:asciiTheme="majorBidi" w:hAnsiTheme="majorBidi" w:cstheme="majorBidi"/>
                <w:b/>
                <w:sz w:val="16"/>
              </w:rPr>
              <w:t xml:space="preserve">Internal CV AUC (95% CI)</w:t>
            </w:r>
          </w:p>
        </w:tc>
        <w:tc>
          <w:tcPr>
            <w:tcW w:w="1134" w:type="dxa"/>
          </w:tcPr>
          <w:p w14:paraId="7135AEC5" w14:textId="77777777" w:rsidR="00F1197D" w:rsidRPr="00520EE2" w:rsidRDefault="00000000" w:rsidP="00520EE2">
            <w:pPr>
              <w:keepNext/>
              <w:spacing w:before="20" w:after="0"/>
              <w:jc w:val="both"/>
              <w:rPr>
                <w:rFonts w:asciiTheme="majorBidi" w:hAnsiTheme="majorBidi" w:cstheme="majorBidi"/>
              </w:rPr>
            </w:pPr>
            <w:r>
              <w:rPr>
                <w:rFonts w:asciiTheme="majorBidi" w:hAnsiTheme="majorBidi" w:cstheme="majorBidi"/>
                <w:b/>
                <w:sz w:val="16"/>
              </w:rPr>
              <w:t xml:space="preserve">Optimism-corrected</w:t>
            </w:r>
          </w:p>
        </w:tc>
        <w:tc>
          <w:tcPr>
            <w:tcW w:w="1134" w:type="dxa"/>
          </w:tcPr>
          <w:p w14:paraId="337EB4F4" w14:textId="77777777" w:rsidR="00F1197D" w:rsidRPr="00520EE2" w:rsidRDefault="00000000" w:rsidP="00520EE2">
            <w:pPr>
              <w:keepNext/>
              <w:spacing w:before="20" w:after="0"/>
              <w:jc w:val="both"/>
              <w:rPr>
                <w:rFonts w:asciiTheme="majorBidi" w:hAnsiTheme="majorBidi" w:cstheme="majorBidi"/>
              </w:rPr>
            </w:pPr>
            <w:r>
              <w:rPr>
                <w:rFonts w:asciiTheme="majorBidi" w:hAnsiTheme="majorBidi" w:cstheme="majorBidi"/>
                <w:b/>
                <w:sz w:val="16"/>
              </w:rPr>
              <w:t xml:space="preserve">Internal calibration slope</w:t>
            </w:r>
          </w:p>
        </w:tc>
        <w:tc>
          <w:tcPr>
            <w:tcW w:w="1814" w:type="dxa"/>
          </w:tcPr>
          <w:p w14:paraId="1EF0B202" w14:textId="77777777" w:rsidR="00F1197D" w:rsidRPr="00520EE2" w:rsidRDefault="00000000" w:rsidP="00520EE2">
            <w:pPr>
              <w:keepNext/>
              <w:spacing w:before="20" w:after="0"/>
              <w:jc w:val="both"/>
              <w:rPr>
                <w:rFonts w:asciiTheme="majorBidi" w:hAnsiTheme="majorBidi" w:cstheme="majorBidi"/>
              </w:rPr>
            </w:pPr>
            <w:r>
              <w:rPr>
                <w:rFonts w:asciiTheme="majorBidi" w:hAnsiTheme="majorBidi" w:cstheme="majorBidi"/>
                <w:b/>
                <w:sz w:val="16"/>
              </w:rPr>
              <w:t xml:space="preserve">External AUC, Liverpool (95% CI)</w:t>
            </w:r>
          </w:p>
        </w:tc>
        <w:tc>
          <w:tcPr>
            <w:tcW w:w="1701" w:type="dxa"/>
          </w:tcPr>
          <w:p w14:paraId="12E9C781" w14:textId="77777777" w:rsidR="00F1197D" w:rsidRPr="00520EE2" w:rsidRDefault="00000000" w:rsidP="00520EE2">
            <w:pPr>
              <w:keepNext/>
              <w:spacing w:before="20" w:after="0"/>
              <w:jc w:val="both"/>
              <w:rPr>
                <w:rFonts w:asciiTheme="majorBidi" w:hAnsiTheme="majorBidi" w:cstheme="majorBidi"/>
              </w:rPr>
            </w:pPr>
            <w:r>
              <w:rPr>
                <w:rFonts w:asciiTheme="majorBidi" w:hAnsiTheme="majorBidi" w:cstheme="majorBidi"/>
                <w:b/>
                <w:sz w:val="16"/>
              </w:rPr>
              <w:t xml:space="preserve">External calibration slope / in-the-large</w:t>
            </w:r>
          </w:p>
        </w:tc>
        <w:tc>
          <w:tcPr>
            <w:tcW w:w="1361" w:type="dxa"/>
          </w:tcPr>
          <w:p w14:paraId="2D974BFF" w14:textId="77777777" w:rsidR="00F1197D" w:rsidRPr="00520EE2" w:rsidRDefault="00000000" w:rsidP="00520EE2">
            <w:pPr>
              <w:keepNext/>
              <w:spacing w:before="20" w:after="0"/>
              <w:jc w:val="both"/>
              <w:rPr>
                <w:rFonts w:asciiTheme="majorBidi" w:hAnsiTheme="majorBidi" w:cstheme="majorBidi"/>
              </w:rPr>
            </w:pPr>
            <w:r>
              <w:rPr>
                <w:rFonts w:asciiTheme="majorBidi" w:hAnsiTheme="majorBidi" w:cstheme="majorBidi"/>
                <w:b/>
                <w:sz w:val="16"/>
              </w:rPr>
              <w:t xml:space="preserve">External Brier (null)</w:t>
            </w:r>
          </w:p>
        </w:tc>
      </w:tr>
      <w:tr w:rsidR="00F1197D" w:rsidRPr="00520EE2" w14:paraId="0F438F24" w14:textId="77777777">
        <w:trPr>
          <w:cantSplit/>
          <w:jc w:val="center"/>
        </w:trPr>
        <w:tc>
          <w:tcPr>
            <w:tcW w:w="2835" w:type="dxa"/>
          </w:tcPr>
          <w:p w14:paraId="0420ADE7" w14:textId="77777777" w:rsidR="00F1197D" w:rsidRPr="00520EE2" w:rsidRDefault="00000000" w:rsidP="00520EE2">
            <w:pPr>
              <w:keepNext/>
              <w:spacing w:before="20" w:after="0"/>
              <w:jc w:val="both"/>
              <w:rPr>
                <w:rFonts w:asciiTheme="majorBidi" w:hAnsiTheme="majorBidi" w:cstheme="majorBidi"/>
              </w:rPr>
            </w:pPr>
            <w:r>
              <w:rPr>
                <w:rFonts w:asciiTheme="majorBidi" w:hAnsiTheme="majorBidi" w:cstheme="majorBidi"/>
                <w:sz w:val="16"/>
              </w:rPr>
              <w:t xml:space="preserve">Ridge, fixed neurological set (8 predictors)</w:t>
            </w:r>
          </w:p>
        </w:tc>
        <w:tc>
          <w:tcPr>
            <w:tcW w:w="1701" w:type="dxa"/>
          </w:tcPr>
          <w:p w14:paraId="74BC206D" w14:textId="77777777" w:rsidR="00F1197D" w:rsidRPr="00520EE2" w:rsidRDefault="00000000" w:rsidP="00520EE2">
            <w:pPr>
              <w:keepNext/>
              <w:spacing w:before="20" w:after="0"/>
              <w:jc w:val="both"/>
              <w:rPr>
                <w:rFonts w:asciiTheme="majorBidi" w:hAnsiTheme="majorBidi" w:cstheme="majorBidi"/>
              </w:rPr>
            </w:pPr>
            <w:r>
              <w:rPr>
                <w:rFonts w:asciiTheme="majorBidi" w:hAnsiTheme="majorBidi" w:cstheme="majorBidi"/>
                <w:sz w:val="16"/>
              </w:rPr>
              <w:t xml:space="preserve">0.592 (0.424–0.757)</w:t>
            </w:r>
          </w:p>
        </w:tc>
        <w:tc>
          <w:tcPr>
            <w:tcW w:w="1134" w:type="dxa"/>
          </w:tcPr>
          <w:p w14:paraId="7034E790" w14:textId="77777777" w:rsidR="00F1197D" w:rsidRPr="00520EE2" w:rsidRDefault="00000000" w:rsidP="00520EE2">
            <w:pPr>
              <w:keepNext/>
              <w:spacing w:before="20" w:after="0"/>
              <w:jc w:val="both"/>
              <w:rPr>
                <w:rFonts w:asciiTheme="majorBidi" w:hAnsiTheme="majorBidi" w:cstheme="majorBidi"/>
              </w:rPr>
            </w:pPr>
            <w:r>
              <w:rPr>
                <w:rFonts w:asciiTheme="majorBidi" w:hAnsiTheme="majorBidi" w:cstheme="majorBidi"/>
                <w:sz w:val="16"/>
              </w:rPr>
              <w:t xml:space="preserve">0.653</w:t>
            </w:r>
          </w:p>
        </w:tc>
        <w:tc>
          <w:tcPr>
            <w:tcW w:w="1134" w:type="dxa"/>
          </w:tcPr>
          <w:p w14:paraId="38A463CB" w14:textId="77777777" w:rsidR="00F1197D" w:rsidRPr="00520EE2" w:rsidRDefault="00000000" w:rsidP="00520EE2">
            <w:pPr>
              <w:keepNext/>
              <w:spacing w:before="20" w:after="0"/>
              <w:jc w:val="both"/>
              <w:rPr>
                <w:rFonts w:asciiTheme="majorBidi" w:hAnsiTheme="majorBidi" w:cstheme="majorBidi"/>
              </w:rPr>
            </w:pPr>
            <w:r>
              <w:rPr>
                <w:rFonts w:asciiTheme="majorBidi" w:hAnsiTheme="majorBidi" w:cstheme="majorBidi"/>
                <w:sz w:val="16"/>
              </w:rPr>
              <w:t xml:space="preserve">0.24</w:t>
            </w:r>
          </w:p>
        </w:tc>
        <w:tc>
          <w:tcPr>
            <w:tcW w:w="1814" w:type="dxa"/>
          </w:tcPr>
          <w:p w14:paraId="15952C8E" w14:textId="77777777" w:rsidR="00F1197D" w:rsidRPr="00520EE2" w:rsidRDefault="00000000" w:rsidP="00520EE2">
            <w:pPr>
              <w:keepNext/>
              <w:spacing w:before="20" w:after="0"/>
              <w:jc w:val="both"/>
              <w:rPr>
                <w:rFonts w:asciiTheme="majorBidi" w:hAnsiTheme="majorBidi" w:cstheme="majorBidi"/>
              </w:rPr>
            </w:pPr>
            <w:r>
              <w:rPr>
                <w:rFonts w:asciiTheme="majorBidi" w:hAnsiTheme="majorBidi" w:cstheme="majorBidi"/>
                <w:sz w:val="16"/>
              </w:rPr>
              <w:t xml:space="preserve">0.731 (0.572–0.871)</w:t>
            </w:r>
          </w:p>
        </w:tc>
        <w:tc>
          <w:tcPr>
            <w:tcW w:w="1701" w:type="dxa"/>
          </w:tcPr>
          <w:p w14:paraId="16DAF3D8" w14:textId="77777777" w:rsidR="00F1197D" w:rsidRPr="00520EE2" w:rsidRDefault="00000000" w:rsidP="00520EE2">
            <w:pPr>
              <w:keepNext/>
              <w:spacing w:before="20" w:after="0"/>
              <w:jc w:val="both"/>
              <w:rPr>
                <w:rFonts w:asciiTheme="majorBidi" w:hAnsiTheme="majorBidi" w:cstheme="majorBidi"/>
              </w:rPr>
            </w:pPr>
            <w:r>
              <w:rPr>
                <w:rFonts w:asciiTheme="majorBidi" w:hAnsiTheme="majorBidi" w:cstheme="majorBidi"/>
                <w:sz w:val="16"/>
              </w:rPr>
              <w:t xml:space="preserve">4.03 / 0.71</w:t>
            </w:r>
          </w:p>
        </w:tc>
        <w:tc>
          <w:tcPr>
            <w:tcW w:w="1361" w:type="dxa"/>
          </w:tcPr>
          <w:p w14:paraId="68C9580B" w14:textId="77777777" w:rsidR="00F1197D" w:rsidRPr="00520EE2" w:rsidRDefault="00000000" w:rsidP="00520EE2">
            <w:pPr>
              <w:keepNext/>
              <w:spacing w:before="20" w:after="0"/>
              <w:jc w:val="both"/>
              <w:rPr>
                <w:rFonts w:asciiTheme="majorBidi" w:hAnsiTheme="majorBidi" w:cstheme="majorBidi"/>
              </w:rPr>
            </w:pPr>
            <w:r>
              <w:rPr>
                <w:rFonts w:asciiTheme="majorBidi" w:hAnsiTheme="majorBidi" w:cstheme="majorBidi"/>
                <w:sz w:val="16"/>
              </w:rPr>
              <w:t xml:space="preserve">0.193 (0.188)</w:t>
            </w:r>
          </w:p>
        </w:tc>
      </w:tr>
      <w:tr w:rsidR="00F1197D" w:rsidRPr="00520EE2" w14:paraId="20D6DD23" w14:textId="77777777">
        <w:trPr>
          <w:cantSplit/>
          <w:jc w:val="center"/>
        </w:trPr>
        <w:tc>
          <w:tcPr>
            <w:tcW w:w="2835" w:type="dxa"/>
          </w:tcPr>
          <w:p w14:paraId="2DD71632" w14:textId="77777777" w:rsidR="00F1197D" w:rsidRPr="00520EE2" w:rsidRDefault="00000000" w:rsidP="00520EE2">
            <w:pPr>
              <w:keepNext/>
              <w:spacing w:before="20" w:after="0"/>
              <w:jc w:val="both"/>
              <w:rPr>
                <w:rFonts w:asciiTheme="majorBidi" w:hAnsiTheme="majorBidi" w:cstheme="majorBidi"/>
              </w:rPr>
            </w:pPr>
            <w:r>
              <w:rPr>
                <w:rFonts w:asciiTheme="majorBidi" w:hAnsiTheme="majorBidi" w:cstheme="majorBidi"/>
                <w:sz w:val="16"/>
              </w:rPr>
              <w:t xml:space="preserve">Ridge, cognitive or psychiatric symptoms in place of motor symptoms</w:t>
            </w:r>
          </w:p>
        </w:tc>
        <w:tc>
          <w:tcPr>
            <w:tcW w:w="1701" w:type="dxa"/>
          </w:tcPr>
          <w:p w14:paraId="2F7B45E5" w14:textId="77777777" w:rsidR="00F1197D" w:rsidRPr="00520EE2" w:rsidRDefault="00000000" w:rsidP="00520EE2">
            <w:pPr>
              <w:keepNext/>
              <w:spacing w:before="20" w:after="0"/>
              <w:jc w:val="both"/>
              <w:rPr>
                <w:rFonts w:asciiTheme="majorBidi" w:hAnsiTheme="majorBidi" w:cstheme="majorBidi"/>
              </w:rPr>
            </w:pPr>
            <w:r>
              <w:rPr>
                <w:rFonts w:asciiTheme="majorBidi" w:hAnsiTheme="majorBidi" w:cstheme="majorBidi"/>
                <w:sz w:val="16"/>
              </w:rPr>
              <w:t xml:space="preserve">0.547 (0.370–0.713)</w:t>
            </w:r>
          </w:p>
        </w:tc>
        <w:tc>
          <w:tcPr>
            <w:tcW w:w="1134" w:type="dxa"/>
          </w:tcPr>
          <w:p w14:paraId="273531D8" w14:textId="77777777" w:rsidR="00F1197D" w:rsidRPr="00520EE2" w:rsidRDefault="00000000" w:rsidP="00520EE2">
            <w:pPr>
              <w:keepNext/>
              <w:spacing w:before="20" w:after="0"/>
              <w:jc w:val="both"/>
              <w:rPr>
                <w:rFonts w:asciiTheme="majorBidi" w:hAnsiTheme="majorBidi" w:cstheme="majorBidi"/>
              </w:rPr>
            </w:pPr>
            <w:r>
              <w:rPr>
                <w:rFonts w:asciiTheme="majorBidi" w:hAnsiTheme="majorBidi" w:cstheme="majorBidi"/>
                <w:sz w:val="16"/>
              </w:rPr>
              <w:t xml:space="preserve">0.597</w:t>
            </w:r>
          </w:p>
        </w:tc>
        <w:tc>
          <w:tcPr>
            <w:tcW w:w="1134" w:type="dxa"/>
          </w:tcPr>
          <w:p w14:paraId="3EC5E22B" w14:textId="77777777" w:rsidR="00F1197D" w:rsidRPr="00520EE2" w:rsidRDefault="00000000" w:rsidP="00520EE2">
            <w:pPr>
              <w:keepNext/>
              <w:spacing w:before="20" w:after="0"/>
              <w:jc w:val="both"/>
              <w:rPr>
                <w:rFonts w:asciiTheme="majorBidi" w:hAnsiTheme="majorBidi" w:cstheme="majorBidi"/>
              </w:rPr>
            </w:pPr>
            <w:r>
              <w:rPr>
                <w:rFonts w:asciiTheme="majorBidi" w:hAnsiTheme="majorBidi" w:cstheme="majorBidi"/>
                <w:sz w:val="16"/>
              </w:rPr>
              <w:t xml:space="preserve">–</w:t>
            </w:r>
          </w:p>
        </w:tc>
        <w:tc>
          <w:tcPr>
            <w:tcW w:w="1814" w:type="dxa"/>
          </w:tcPr>
          <w:p w14:paraId="48825606" w14:textId="77777777" w:rsidR="00F1197D" w:rsidRPr="00520EE2" w:rsidRDefault="00000000" w:rsidP="00520EE2">
            <w:pPr>
              <w:keepNext/>
              <w:spacing w:before="20" w:after="0"/>
              <w:jc w:val="both"/>
              <w:rPr>
                <w:rFonts w:asciiTheme="majorBidi" w:hAnsiTheme="majorBidi" w:cstheme="majorBidi"/>
              </w:rPr>
            </w:pPr>
            <w:r>
              <w:rPr>
                <w:rFonts w:asciiTheme="majorBidi" w:hAnsiTheme="majorBidi" w:cstheme="majorBidi"/>
                <w:sz w:val="16"/>
              </w:rPr>
              <w:t xml:space="preserve">0.711 (0.551–0.853)</w:t>
            </w:r>
          </w:p>
        </w:tc>
        <w:tc>
          <w:tcPr>
            <w:tcW w:w="1701" w:type="dxa"/>
          </w:tcPr>
          <w:p w14:paraId="4B2B0C2E" w14:textId="77777777" w:rsidR="00F1197D" w:rsidRPr="00520EE2" w:rsidRDefault="00000000" w:rsidP="00520EE2">
            <w:pPr>
              <w:keepNext/>
              <w:spacing w:before="20" w:after="0"/>
              <w:jc w:val="both"/>
              <w:rPr>
                <w:rFonts w:asciiTheme="majorBidi" w:hAnsiTheme="majorBidi" w:cstheme="majorBidi"/>
              </w:rPr>
            </w:pPr>
            <w:r>
              <w:rPr>
                <w:rFonts w:asciiTheme="majorBidi" w:hAnsiTheme="majorBidi" w:cstheme="majorBidi"/>
                <w:sz w:val="16"/>
              </w:rPr>
              <w:t xml:space="preserve">27.71 / –</w:t>
            </w:r>
          </w:p>
        </w:tc>
        <w:tc>
          <w:tcPr>
            <w:tcW w:w="1361" w:type="dxa"/>
          </w:tcPr>
          <w:p w14:paraId="4D7F1F0C" w14:textId="77777777" w:rsidR="00F1197D" w:rsidRPr="00520EE2" w:rsidRDefault="00000000" w:rsidP="00520EE2">
            <w:pPr>
              <w:keepNext/>
              <w:spacing w:before="20" w:after="0"/>
              <w:jc w:val="both"/>
              <w:rPr>
                <w:rFonts w:asciiTheme="majorBidi" w:hAnsiTheme="majorBidi" w:cstheme="majorBidi"/>
              </w:rPr>
            </w:pPr>
            <w:r>
              <w:rPr>
                <w:rFonts w:asciiTheme="majorBidi" w:hAnsiTheme="majorBidi" w:cstheme="majorBidi"/>
                <w:sz w:val="16"/>
              </w:rPr>
              <w:t xml:space="preserve">–</w:t>
            </w:r>
          </w:p>
        </w:tc>
      </w:tr>
      <w:tr w:rsidR="00F1197D" w:rsidRPr="00520EE2" w14:paraId="5745070D" w14:textId="77777777">
        <w:trPr>
          <w:cantSplit/>
          <w:jc w:val="center"/>
        </w:trPr>
        <w:tc>
          <w:tcPr>
            <w:tcW w:w="2835" w:type="dxa"/>
          </w:tcPr>
          <w:p w14:paraId="6DEE5005" w14:textId="77777777" w:rsidR="00F1197D" w:rsidRPr="00520EE2" w:rsidRDefault="00000000" w:rsidP="00520EE2">
            <w:pPr>
              <w:keepNext/>
              <w:spacing w:before="20" w:after="0"/>
              <w:jc w:val="both"/>
              <w:rPr>
                <w:rFonts w:asciiTheme="majorBidi" w:hAnsiTheme="majorBidi" w:cstheme="majorBidi"/>
              </w:rPr>
            </w:pPr>
            <w:r>
              <w:rPr>
                <w:rFonts w:asciiTheme="majorBidi" w:hAnsiTheme="majorBidi" w:cstheme="majorBidi"/>
                <w:sz w:val="16"/>
              </w:rPr>
              <w:t xml:space="preserve">Gradient boosting, 25 candidate variables</w:t>
            </w:r>
          </w:p>
        </w:tc>
        <w:tc>
          <w:tcPr>
            <w:tcW w:w="1701" w:type="dxa"/>
          </w:tcPr>
          <w:p w14:paraId="6A80B485" w14:textId="77777777" w:rsidR="00F1197D" w:rsidRPr="00520EE2" w:rsidRDefault="00000000" w:rsidP="00520EE2">
            <w:pPr>
              <w:keepNext/>
              <w:spacing w:before="20" w:after="0"/>
              <w:jc w:val="both"/>
              <w:rPr>
                <w:rFonts w:asciiTheme="majorBidi" w:hAnsiTheme="majorBidi" w:cstheme="majorBidi"/>
              </w:rPr>
            </w:pPr>
            <w:r>
              <w:rPr>
                <w:rFonts w:asciiTheme="majorBidi" w:hAnsiTheme="majorBidi" w:cstheme="majorBidi"/>
                <w:sz w:val="16"/>
              </w:rPr>
              <w:t xml:space="preserve">0.579 (0.402–0.749)</w:t>
            </w:r>
          </w:p>
        </w:tc>
        <w:tc>
          <w:tcPr>
            <w:tcW w:w="1134" w:type="dxa"/>
          </w:tcPr>
          <w:p w14:paraId="669A30F3" w14:textId="77777777" w:rsidR="00F1197D" w:rsidRPr="00520EE2" w:rsidRDefault="00000000" w:rsidP="00520EE2">
            <w:pPr>
              <w:keepNext/>
              <w:spacing w:before="20" w:after="0"/>
              <w:jc w:val="both"/>
              <w:rPr>
                <w:rFonts w:asciiTheme="majorBidi" w:hAnsiTheme="majorBidi" w:cstheme="majorBidi"/>
              </w:rPr>
            </w:pPr>
            <w:r>
              <w:rPr>
                <w:rFonts w:asciiTheme="majorBidi" w:hAnsiTheme="majorBidi" w:cstheme="majorBidi"/>
                <w:sz w:val="16"/>
              </w:rPr>
              <w:t xml:space="preserve">–</w:t>
            </w:r>
          </w:p>
        </w:tc>
        <w:tc>
          <w:tcPr>
            <w:tcW w:w="1134" w:type="dxa"/>
          </w:tcPr>
          <w:p w14:paraId="4454C3ED" w14:textId="77777777" w:rsidR="00F1197D" w:rsidRPr="00520EE2" w:rsidRDefault="00000000" w:rsidP="00520EE2">
            <w:pPr>
              <w:keepNext/>
              <w:spacing w:before="20" w:after="0"/>
              <w:jc w:val="both"/>
              <w:rPr>
                <w:rFonts w:asciiTheme="majorBidi" w:hAnsiTheme="majorBidi" w:cstheme="majorBidi"/>
              </w:rPr>
            </w:pPr>
            <w:r>
              <w:rPr>
                <w:rFonts w:asciiTheme="majorBidi" w:hAnsiTheme="majorBidi" w:cstheme="majorBidi"/>
                <w:sz w:val="16"/>
              </w:rPr>
              <w:t xml:space="preserve">0.22</w:t>
            </w:r>
          </w:p>
        </w:tc>
        <w:tc>
          <w:tcPr>
            <w:tcW w:w="1814" w:type="dxa"/>
          </w:tcPr>
          <w:p w14:paraId="02ED3949" w14:textId="77777777" w:rsidR="00F1197D" w:rsidRPr="00520EE2" w:rsidRDefault="00000000" w:rsidP="00520EE2">
            <w:pPr>
              <w:keepNext/>
              <w:spacing w:before="20" w:after="0"/>
              <w:jc w:val="both"/>
              <w:rPr>
                <w:rFonts w:asciiTheme="majorBidi" w:hAnsiTheme="majorBidi" w:cstheme="majorBidi"/>
              </w:rPr>
            </w:pPr>
            <w:r>
              <w:rPr>
                <w:rFonts w:asciiTheme="majorBidi" w:hAnsiTheme="majorBidi" w:cstheme="majorBidi"/>
                <w:sz w:val="16"/>
              </w:rPr>
              <w:t xml:space="preserve">0.632 (0.433–0.822)</w:t>
            </w:r>
          </w:p>
        </w:tc>
        <w:tc>
          <w:tcPr>
            <w:tcW w:w="1701" w:type="dxa"/>
          </w:tcPr>
          <w:p w14:paraId="61BB655B" w14:textId="77777777" w:rsidR="00F1197D" w:rsidRPr="00520EE2" w:rsidRDefault="00000000" w:rsidP="00520EE2">
            <w:pPr>
              <w:keepNext/>
              <w:spacing w:before="20" w:after="0"/>
              <w:jc w:val="both"/>
              <w:rPr>
                <w:rFonts w:asciiTheme="majorBidi" w:hAnsiTheme="majorBidi" w:cstheme="majorBidi"/>
              </w:rPr>
            </w:pPr>
            <w:r>
              <w:rPr>
                <w:rFonts w:asciiTheme="majorBidi" w:hAnsiTheme="majorBidi" w:cstheme="majorBidi"/>
                <w:sz w:val="16"/>
              </w:rPr>
              <w:t xml:space="preserve">0.51 / –</w:t>
            </w:r>
          </w:p>
        </w:tc>
        <w:tc>
          <w:tcPr>
            <w:tcW w:w="1361" w:type="dxa"/>
          </w:tcPr>
          <w:p w14:paraId="6D2C4AF8" w14:textId="77777777" w:rsidR="00F1197D" w:rsidRPr="00520EE2" w:rsidRDefault="00000000" w:rsidP="00520EE2">
            <w:pPr>
              <w:keepNext/>
              <w:spacing w:before="20" w:after="0"/>
              <w:jc w:val="both"/>
              <w:rPr>
                <w:rFonts w:asciiTheme="majorBidi" w:hAnsiTheme="majorBidi" w:cstheme="majorBidi"/>
              </w:rPr>
            </w:pPr>
            <w:r>
              <w:rPr>
                <w:rFonts w:asciiTheme="majorBidi" w:hAnsiTheme="majorBidi" w:cstheme="majorBidi"/>
                <w:sz w:val="16"/>
              </w:rPr>
              <w:t xml:space="preserve">0.183 (0.188)</w:t>
            </w:r>
          </w:p>
        </w:tc>
      </w:tr>
      <w:tr w:rsidR="00F1197D" w:rsidRPr="00520EE2" w14:paraId="2EEC774C" w14:textId="77777777">
        <w:trPr>
          <w:cantSplit/>
          <w:jc w:val="center"/>
        </w:trPr>
        <w:tc>
          <w:tcPr>
            <w:tcW w:w="2835" w:type="dxa"/>
          </w:tcPr>
          <w:p w14:paraId="0E2C5A6A"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Ridge, Bologna + Liverpool pooled (n = 163, 28 events), nested CV</w:t>
            </w:r>
          </w:p>
        </w:tc>
        <w:tc>
          <w:tcPr>
            <w:tcW w:w="1701" w:type="dxa"/>
          </w:tcPr>
          <w:p w14:paraId="56953C12"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0.681 (0.575–0.786)</w:t>
            </w:r>
          </w:p>
        </w:tc>
        <w:tc>
          <w:tcPr>
            <w:tcW w:w="1134" w:type="dxa"/>
          </w:tcPr>
          <w:p w14:paraId="362E54C8"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w:t>
            </w:r>
          </w:p>
        </w:tc>
        <w:tc>
          <w:tcPr>
            <w:tcW w:w="1134" w:type="dxa"/>
          </w:tcPr>
          <w:p w14:paraId="2A77591F"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0.84</w:t>
            </w:r>
          </w:p>
        </w:tc>
        <w:tc>
          <w:tcPr>
            <w:tcW w:w="1814" w:type="dxa"/>
          </w:tcPr>
          <w:p w14:paraId="3FA2B348"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w:t>
            </w:r>
          </w:p>
        </w:tc>
        <w:tc>
          <w:tcPr>
            <w:tcW w:w="1701" w:type="dxa"/>
          </w:tcPr>
          <w:p w14:paraId="5FC4B3C3"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w:t>
            </w:r>
          </w:p>
        </w:tc>
        <w:tc>
          <w:tcPr>
            <w:tcW w:w="1361" w:type="dxa"/>
          </w:tcPr>
          <w:p w14:paraId="18311B2E"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w:t>
            </w:r>
          </w:p>
        </w:tc>
      </w:tr>
    </w:tbl>
    <w:p w14:paraId="40A9724E" w14:textId="77777777" w:rsidR="00F1197D" w:rsidRPr="00520EE2" w:rsidRDefault="00000000" w:rsidP="00520EE2">
      <w:pPr>
        <w:jc w:val="both"/>
        <w:rPr>
          <w:rFonts w:asciiTheme="majorBidi" w:hAnsiTheme="majorBidi" w:cstheme="majorBidi"/>
        </w:rPr>
      </w:pPr>
      <w:r>
        <w:rPr>
          <w:rFonts w:asciiTheme="majorBidi" w:hAnsiTheme="majorBidi" w:cstheme="majorBidi"/>
          <w:sz w:val="17"/>
        </w:rPr>
        <w:t xml:space="preserve">Internal validation: nested 10-fold cross-validation repeated five times (ridge) or repeated stratified 5-fold cross-validation (gradient boosting) within Bologna. External validation: single fit on Bologna applied to Liverpool. The internal calibration slope of the ridge model (0.24) and the external slope (4.03) both reflect the strong penalty selected with 16 events.</w:t>
      </w:r>
    </w:p>
    <w:p w14:paraId="3F92F00E" w14:textId="77777777" w:rsidR="00F1197D" w:rsidRPr="00520EE2" w:rsidRDefault="00000000" w:rsidP="00520EE2">
      <w:pPr>
        <w:keepNext/>
        <w:spacing w:before="200"/>
        <w:jc w:val="both"/>
        <w:rPr>
          <w:rFonts w:asciiTheme="majorBidi" w:hAnsiTheme="majorBidi" w:cstheme="majorBidi"/>
        </w:rPr>
      </w:pPr>
      <w:r>
        <w:rPr>
          <w:rFonts w:asciiTheme="majorBidi" w:hAnsiTheme="majorBidi" w:cstheme="majorBidi"/>
          <w:b/>
        </w:rPr>
        <w:t xml:space="preserve">Table S15 (continued)</w:t>
      </w:r>
      <w:r>
        <w:rPr>
          <w:rFonts w:asciiTheme="majorBidi" w:hAnsiTheme="majorBidi" w:cstheme="majorBidi"/>
        </w:rPr>
        <w:t xml:space="preserve"> Coefficients of the cognitive-decline model (Bologna fit) and univariable associations in the two centers that recorded the outcome</w:t>
      </w:r>
    </w:p>
    <w:tbl>
      <w:tblPr>
        <w:tblW w:w="0" w:type="auto"/>
        <w:jc w:val="center"/>
        <w:tblBorders>
          <w:top w:val="single" w:sz="4" w:space="0" w:color="808080"/>
          <w:left w:val="nil"/>
          <w:bottom w:val="single" w:sz="4" w:space="0" w:color="808080"/>
          <w:right w:val="nil"/>
          <w:insideH w:val="single" w:sz="4" w:space="0" w:color="808080"/>
          <w:insideV w:val="nil"/>
        </w:tblBorders>
        <w:tblLayout w:type="fixed"/>
        <w:tblLook w:val="04A0" w:firstRow="1" w:lastRow="0" w:firstColumn="1" w:lastColumn="0" w:noHBand="0" w:noVBand="1"/>
      </w:tblPr>
      <w:tblGrid>
        <w:gridCol w:w="2494"/>
        <w:gridCol w:w="907"/>
        <w:gridCol w:w="907"/>
        <w:gridCol w:w="1474"/>
        <w:gridCol w:w="1474"/>
        <w:gridCol w:w="1474"/>
        <w:gridCol w:w="1814"/>
      </w:tblGrid>
      <w:tr w:rsidR="00F1197D" w:rsidRPr="00520EE2" w14:paraId="751113FE" w14:textId="77777777">
        <w:trPr>
          <w:cantSplit/>
          <w:tblHeader/>
          <w:jc w:val="center"/>
        </w:trPr>
        <w:tc>
          <w:tcPr>
            <w:tcW w:w="2494" w:type="dxa"/>
          </w:tcPr>
          <w:p w14:paraId="03101B23"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b/>
                <w:sz w:val="16"/>
              </w:rPr>
              <w:t xml:space="preserve">Predictor</w:t>
            </w:r>
          </w:p>
        </w:tc>
        <w:tc>
          <w:tcPr>
            <w:tcW w:w="907" w:type="dxa"/>
          </w:tcPr>
          <w:p w14:paraId="1BEDBD39"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b/>
                <w:sz w:val="16"/>
              </w:rPr>
              <w:t xml:space="preserve">Mean</w:t>
            </w:r>
          </w:p>
        </w:tc>
        <w:tc>
          <w:tcPr>
            <w:tcW w:w="907" w:type="dxa"/>
          </w:tcPr>
          <w:p w14:paraId="0A80ED55"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b/>
                <w:sz w:val="16"/>
              </w:rPr>
              <w:t xml:space="preserve">SD</w:t>
            </w:r>
          </w:p>
        </w:tc>
        <w:tc>
          <w:tcPr>
            <w:tcW w:w="1474" w:type="dxa"/>
          </w:tcPr>
          <w:p w14:paraId="0F1D9426"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b/>
                <w:sz w:val="16"/>
              </w:rPr>
              <w:t xml:space="preserve">Standardized coefficient</w:t>
            </w:r>
          </w:p>
        </w:tc>
        <w:tc>
          <w:tcPr>
            <w:tcW w:w="1474" w:type="dxa"/>
          </w:tcPr>
          <w:p w14:paraId="7CC9271B"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b/>
                <w:sz w:val="16"/>
              </w:rPr>
              <w:t xml:space="preserve">Standardized OR per 1 SD</w:t>
            </w:r>
          </w:p>
        </w:tc>
        <w:tc>
          <w:tcPr>
            <w:tcW w:w="1474" w:type="dxa"/>
          </w:tcPr>
          <w:p w14:paraId="4BEE2494"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b/>
                <w:sz w:val="16"/>
              </w:rPr>
              <w:t xml:space="preserve">Raw-scale coefficient</w:t>
            </w:r>
          </w:p>
        </w:tc>
        <w:tc>
          <w:tcPr>
            <w:tcW w:w="1814" w:type="dxa"/>
          </w:tcPr>
          <w:p w14:paraId="09FE1FA8"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b/>
                <w:sz w:val="16"/>
              </w:rPr>
              <w:t xml:space="preserve">Univariable standardized OR (n = 163)</w:t>
            </w:r>
          </w:p>
        </w:tc>
      </w:tr>
      <w:tr w:rsidR="00F1197D" w:rsidRPr="00520EE2" w14:paraId="61F3990E" w14:textId="77777777">
        <w:trPr>
          <w:cantSplit/>
          <w:jc w:val="center"/>
        </w:trPr>
        <w:tc>
          <w:tcPr>
            <w:tcW w:w="2494" w:type="dxa"/>
          </w:tcPr>
          <w:p w14:paraId="2B38FEAC"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Age</w:t>
            </w:r>
          </w:p>
        </w:tc>
        <w:tc>
          <w:tcPr>
            <w:tcW w:w="907" w:type="dxa"/>
          </w:tcPr>
          <w:p w14:paraId="448EC8A7"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60.97</w:t>
            </w:r>
          </w:p>
        </w:tc>
        <w:tc>
          <w:tcPr>
            <w:tcW w:w="907" w:type="dxa"/>
          </w:tcPr>
          <w:p w14:paraId="34B4830A"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12.60</w:t>
            </w:r>
          </w:p>
        </w:tc>
        <w:tc>
          <w:tcPr>
            <w:tcW w:w="1474" w:type="dxa"/>
          </w:tcPr>
          <w:p w14:paraId="0C13DE58"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0.0576</w:t>
            </w:r>
          </w:p>
        </w:tc>
        <w:tc>
          <w:tcPr>
            <w:tcW w:w="1474" w:type="dxa"/>
          </w:tcPr>
          <w:p w14:paraId="714582EC"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1.059</w:t>
            </w:r>
          </w:p>
        </w:tc>
        <w:tc>
          <w:tcPr>
            <w:tcW w:w="1474" w:type="dxa"/>
          </w:tcPr>
          <w:p w14:paraId="12BC9757"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0.0046</w:t>
            </w:r>
          </w:p>
        </w:tc>
        <w:tc>
          <w:tcPr>
            <w:tcW w:w="1814" w:type="dxa"/>
          </w:tcPr>
          <w:p w14:paraId="6806A4F7"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2.08</w:t>
            </w:r>
          </w:p>
        </w:tc>
      </w:tr>
      <w:tr w:rsidR="00F1197D" w:rsidRPr="00520EE2" w14:paraId="40F770B3" w14:textId="77777777">
        <w:trPr>
          <w:cantSplit/>
          <w:jc w:val="center"/>
        </w:trPr>
        <w:tc>
          <w:tcPr>
            <w:tcW w:w="2494" w:type="dxa"/>
          </w:tcPr>
          <w:p w14:paraId="59439B8E"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lastRenderedPageBreak/>
              <w:t>Charlson Comorbidity Index</w:t>
            </w:r>
          </w:p>
        </w:tc>
        <w:tc>
          <w:tcPr>
            <w:tcW w:w="907" w:type="dxa"/>
          </w:tcPr>
          <w:p w14:paraId="11B37EE4"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2.82</w:t>
            </w:r>
          </w:p>
        </w:tc>
        <w:tc>
          <w:tcPr>
            <w:tcW w:w="907" w:type="dxa"/>
          </w:tcPr>
          <w:p w14:paraId="2E179E50"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1.67</w:t>
            </w:r>
          </w:p>
        </w:tc>
        <w:tc>
          <w:tcPr>
            <w:tcW w:w="1474" w:type="dxa"/>
          </w:tcPr>
          <w:p w14:paraId="5B21205A"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0.0305</w:t>
            </w:r>
          </w:p>
        </w:tc>
        <w:tc>
          <w:tcPr>
            <w:tcW w:w="1474" w:type="dxa"/>
          </w:tcPr>
          <w:p w14:paraId="20E30CDD"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1.031</w:t>
            </w:r>
          </w:p>
        </w:tc>
        <w:tc>
          <w:tcPr>
            <w:tcW w:w="1474" w:type="dxa"/>
          </w:tcPr>
          <w:p w14:paraId="417150E7"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0.0183</w:t>
            </w:r>
          </w:p>
        </w:tc>
        <w:tc>
          <w:tcPr>
            <w:tcW w:w="1814" w:type="dxa"/>
          </w:tcPr>
          <w:p w14:paraId="333986DC"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1.40</w:t>
            </w:r>
          </w:p>
        </w:tc>
      </w:tr>
      <w:tr w:rsidR="00F1197D" w:rsidRPr="00520EE2" w14:paraId="045938B4" w14:textId="77777777">
        <w:trPr>
          <w:cantSplit/>
          <w:jc w:val="center"/>
        </w:trPr>
        <w:tc>
          <w:tcPr>
            <w:tcW w:w="2494" w:type="dxa"/>
          </w:tcPr>
          <w:p w14:paraId="6FAB6781"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Preoperative KPS</w:t>
            </w:r>
          </w:p>
        </w:tc>
        <w:tc>
          <w:tcPr>
            <w:tcW w:w="907" w:type="dxa"/>
          </w:tcPr>
          <w:p w14:paraId="1DAEAFF5"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78.96</w:t>
            </w:r>
          </w:p>
        </w:tc>
        <w:tc>
          <w:tcPr>
            <w:tcW w:w="907" w:type="dxa"/>
          </w:tcPr>
          <w:p w14:paraId="51A119A7"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11.60</w:t>
            </w:r>
          </w:p>
        </w:tc>
        <w:tc>
          <w:tcPr>
            <w:tcW w:w="1474" w:type="dxa"/>
          </w:tcPr>
          <w:p w14:paraId="2C61F8BB"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−0.0718</w:t>
            </w:r>
          </w:p>
        </w:tc>
        <w:tc>
          <w:tcPr>
            <w:tcW w:w="1474" w:type="dxa"/>
          </w:tcPr>
          <w:p w14:paraId="458FE856"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0.931</w:t>
            </w:r>
          </w:p>
        </w:tc>
        <w:tc>
          <w:tcPr>
            <w:tcW w:w="1474" w:type="dxa"/>
          </w:tcPr>
          <w:p w14:paraId="3CD1133E"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−0.0062</w:t>
            </w:r>
          </w:p>
        </w:tc>
        <w:tc>
          <w:tcPr>
            <w:tcW w:w="1814" w:type="dxa"/>
          </w:tcPr>
          <w:p w14:paraId="3BDC0FDC"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0.56</w:t>
            </w:r>
          </w:p>
        </w:tc>
      </w:tr>
      <w:tr w:rsidR="00F1197D" w:rsidRPr="00520EE2" w14:paraId="2E92059D" w14:textId="77777777">
        <w:trPr>
          <w:cantSplit/>
          <w:jc w:val="center"/>
        </w:trPr>
        <w:tc>
          <w:tcPr>
            <w:tcW w:w="2494" w:type="dxa"/>
          </w:tcPr>
          <w:p w14:paraId="6DE0F355"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Preoperative motor symptoms</w:t>
            </w:r>
          </w:p>
        </w:tc>
        <w:tc>
          <w:tcPr>
            <w:tcW w:w="907" w:type="dxa"/>
          </w:tcPr>
          <w:p w14:paraId="69E3E895"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0.28</w:t>
            </w:r>
          </w:p>
        </w:tc>
        <w:tc>
          <w:tcPr>
            <w:tcW w:w="907" w:type="dxa"/>
          </w:tcPr>
          <w:p w14:paraId="675E7AC3"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0.45</w:t>
            </w:r>
          </w:p>
        </w:tc>
        <w:tc>
          <w:tcPr>
            <w:tcW w:w="1474" w:type="dxa"/>
          </w:tcPr>
          <w:p w14:paraId="2E98747D"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0.0648</w:t>
            </w:r>
          </w:p>
        </w:tc>
        <w:tc>
          <w:tcPr>
            <w:tcW w:w="1474" w:type="dxa"/>
          </w:tcPr>
          <w:p w14:paraId="29B9BD99"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1.067</w:t>
            </w:r>
          </w:p>
        </w:tc>
        <w:tc>
          <w:tcPr>
            <w:tcW w:w="1474" w:type="dxa"/>
          </w:tcPr>
          <w:p w14:paraId="55AB566C"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0.1446</w:t>
            </w:r>
          </w:p>
        </w:tc>
        <w:tc>
          <w:tcPr>
            <w:tcW w:w="1814" w:type="dxa"/>
          </w:tcPr>
          <w:p w14:paraId="291F3DC9"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1.48</w:t>
            </w:r>
          </w:p>
        </w:tc>
      </w:tr>
      <w:tr w:rsidR="00F1197D" w:rsidRPr="00520EE2" w14:paraId="13D21D60" w14:textId="77777777">
        <w:trPr>
          <w:cantSplit/>
          <w:jc w:val="center"/>
        </w:trPr>
        <w:tc>
          <w:tcPr>
            <w:tcW w:w="2494" w:type="dxa"/>
          </w:tcPr>
          <w:p w14:paraId="32EE175A"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Maximum axial tumor diameter</w:t>
            </w:r>
          </w:p>
        </w:tc>
        <w:tc>
          <w:tcPr>
            <w:tcW w:w="907" w:type="dxa"/>
          </w:tcPr>
          <w:p w14:paraId="73029DD3"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33.71</w:t>
            </w:r>
          </w:p>
        </w:tc>
        <w:tc>
          <w:tcPr>
            <w:tcW w:w="907" w:type="dxa"/>
          </w:tcPr>
          <w:p w14:paraId="466DA874"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12.41</w:t>
            </w:r>
          </w:p>
        </w:tc>
        <w:tc>
          <w:tcPr>
            <w:tcW w:w="1474" w:type="dxa"/>
          </w:tcPr>
          <w:p w14:paraId="77E44D45"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0.0387</w:t>
            </w:r>
          </w:p>
        </w:tc>
        <w:tc>
          <w:tcPr>
            <w:tcW w:w="1474" w:type="dxa"/>
          </w:tcPr>
          <w:p w14:paraId="0C7535D3"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1.039</w:t>
            </w:r>
          </w:p>
        </w:tc>
        <w:tc>
          <w:tcPr>
            <w:tcW w:w="1474" w:type="dxa"/>
          </w:tcPr>
          <w:p w14:paraId="079E8665"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0.0031</w:t>
            </w:r>
          </w:p>
        </w:tc>
        <w:tc>
          <w:tcPr>
            <w:tcW w:w="1814" w:type="dxa"/>
          </w:tcPr>
          <w:p w14:paraId="679680A5"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1.50</w:t>
            </w:r>
          </w:p>
        </w:tc>
      </w:tr>
      <w:tr w:rsidR="00F1197D" w:rsidRPr="00520EE2" w14:paraId="353B1E4F" w14:textId="77777777">
        <w:trPr>
          <w:cantSplit/>
          <w:jc w:val="center"/>
        </w:trPr>
        <w:tc>
          <w:tcPr>
            <w:tcW w:w="2494" w:type="dxa"/>
          </w:tcPr>
          <w:p w14:paraId="7EBDA0C5"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Vessel encasement grade</w:t>
            </w:r>
          </w:p>
        </w:tc>
        <w:tc>
          <w:tcPr>
            <w:tcW w:w="907" w:type="dxa"/>
          </w:tcPr>
          <w:p w14:paraId="4BCDAEE9"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1.87</w:t>
            </w:r>
          </w:p>
        </w:tc>
        <w:tc>
          <w:tcPr>
            <w:tcW w:w="907" w:type="dxa"/>
          </w:tcPr>
          <w:p w14:paraId="2CBBF889"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1.33</w:t>
            </w:r>
          </w:p>
        </w:tc>
        <w:tc>
          <w:tcPr>
            <w:tcW w:w="1474" w:type="dxa"/>
          </w:tcPr>
          <w:p w14:paraId="423A7C15"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−0.0003</w:t>
            </w:r>
          </w:p>
        </w:tc>
        <w:tc>
          <w:tcPr>
            <w:tcW w:w="1474" w:type="dxa"/>
          </w:tcPr>
          <w:p w14:paraId="58B70313"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1.000</w:t>
            </w:r>
          </w:p>
        </w:tc>
        <w:tc>
          <w:tcPr>
            <w:tcW w:w="1474" w:type="dxa"/>
          </w:tcPr>
          <w:p w14:paraId="7FFDDABF"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−0.0002</w:t>
            </w:r>
          </w:p>
        </w:tc>
        <w:tc>
          <w:tcPr>
            <w:tcW w:w="1814" w:type="dxa"/>
          </w:tcPr>
          <w:p w14:paraId="48BDD257"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1.32</w:t>
            </w:r>
          </w:p>
        </w:tc>
      </w:tr>
      <w:tr w:rsidR="00F1197D" w:rsidRPr="00520EE2" w14:paraId="37EF35F6" w14:textId="77777777">
        <w:trPr>
          <w:cantSplit/>
          <w:jc w:val="center"/>
        </w:trPr>
        <w:tc>
          <w:tcPr>
            <w:tcW w:w="2494" w:type="dxa"/>
          </w:tcPr>
          <w:p w14:paraId="38069A36"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ICA/carotid siphon involvement</w:t>
            </w:r>
          </w:p>
        </w:tc>
        <w:tc>
          <w:tcPr>
            <w:tcW w:w="907" w:type="dxa"/>
          </w:tcPr>
          <w:p w14:paraId="7056D777"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0.72</w:t>
            </w:r>
          </w:p>
        </w:tc>
        <w:tc>
          <w:tcPr>
            <w:tcW w:w="907" w:type="dxa"/>
          </w:tcPr>
          <w:p w14:paraId="4E94E5DE"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0.45</w:t>
            </w:r>
          </w:p>
        </w:tc>
        <w:tc>
          <w:tcPr>
            <w:tcW w:w="1474" w:type="dxa"/>
          </w:tcPr>
          <w:p w14:paraId="4143563B"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0.0065</w:t>
            </w:r>
          </w:p>
        </w:tc>
        <w:tc>
          <w:tcPr>
            <w:tcW w:w="1474" w:type="dxa"/>
          </w:tcPr>
          <w:p w14:paraId="4F4FF471"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1.007</w:t>
            </w:r>
          </w:p>
        </w:tc>
        <w:tc>
          <w:tcPr>
            <w:tcW w:w="1474" w:type="dxa"/>
          </w:tcPr>
          <w:p w14:paraId="4961792E"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0.0145</w:t>
            </w:r>
          </w:p>
        </w:tc>
        <w:tc>
          <w:tcPr>
            <w:tcW w:w="1814" w:type="dxa"/>
          </w:tcPr>
          <w:p w14:paraId="3B72A34B"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1.66</w:t>
            </w:r>
          </w:p>
        </w:tc>
      </w:tr>
      <w:tr w:rsidR="00F1197D" w:rsidRPr="00520EE2" w14:paraId="78A0A843" w14:textId="77777777">
        <w:trPr>
          <w:cantSplit/>
          <w:jc w:val="center"/>
        </w:trPr>
        <w:tc>
          <w:tcPr>
            <w:tcW w:w="2494" w:type="dxa"/>
          </w:tcPr>
          <w:p w14:paraId="6EF5DD4E"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Cavernous sinus involvement</w:t>
            </w:r>
          </w:p>
        </w:tc>
        <w:tc>
          <w:tcPr>
            <w:tcW w:w="907" w:type="dxa"/>
          </w:tcPr>
          <w:p w14:paraId="6937E95A"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0.17</w:t>
            </w:r>
          </w:p>
        </w:tc>
        <w:tc>
          <w:tcPr>
            <w:tcW w:w="907" w:type="dxa"/>
          </w:tcPr>
          <w:p w14:paraId="210010D1"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0.38</w:t>
            </w:r>
          </w:p>
        </w:tc>
        <w:tc>
          <w:tcPr>
            <w:tcW w:w="1474" w:type="dxa"/>
          </w:tcPr>
          <w:p w14:paraId="1A91E3B7"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0.0314</w:t>
            </w:r>
          </w:p>
        </w:tc>
        <w:tc>
          <w:tcPr>
            <w:tcW w:w="1474" w:type="dxa"/>
          </w:tcPr>
          <w:p w14:paraId="69D9A963"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1.032</w:t>
            </w:r>
          </w:p>
        </w:tc>
        <w:tc>
          <w:tcPr>
            <w:tcW w:w="1474" w:type="dxa"/>
          </w:tcPr>
          <w:p w14:paraId="5E4426DC"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0.0829</w:t>
            </w:r>
          </w:p>
        </w:tc>
        <w:tc>
          <w:tcPr>
            <w:tcW w:w="1814" w:type="dxa"/>
          </w:tcPr>
          <w:p w14:paraId="7793B556"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1.54</w:t>
            </w:r>
          </w:p>
        </w:tc>
      </w:tr>
      <w:tr w:rsidR="00F1197D" w:rsidRPr="00520EE2" w14:paraId="250AE7F7" w14:textId="77777777">
        <w:trPr>
          <w:cantSplit/>
          <w:jc w:val="center"/>
        </w:trPr>
        <w:tc>
          <w:tcPr>
            <w:tcW w:w="2494" w:type="dxa"/>
          </w:tcPr>
          <w:p w14:paraId="4664147D"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Intercept (raw scale)</w:t>
            </w:r>
          </w:p>
        </w:tc>
        <w:tc>
          <w:tcPr>
            <w:tcW w:w="907" w:type="dxa"/>
          </w:tcPr>
          <w:p w14:paraId="0872ECE2" w14:textId="77777777" w:rsidR="00F1197D" w:rsidRPr="00520EE2" w:rsidRDefault="00F1197D" w:rsidP="00520EE2">
            <w:pPr>
              <w:spacing w:before="20" w:after="0"/>
              <w:jc w:val="both"/>
              <w:rPr>
                <w:rFonts w:asciiTheme="majorBidi" w:hAnsiTheme="majorBidi" w:cstheme="majorBidi"/>
              </w:rPr>
            </w:pPr>
          </w:p>
        </w:tc>
        <w:tc>
          <w:tcPr>
            <w:tcW w:w="907" w:type="dxa"/>
          </w:tcPr>
          <w:p w14:paraId="3BF65C0A" w14:textId="77777777" w:rsidR="00F1197D" w:rsidRPr="00520EE2" w:rsidRDefault="00F1197D" w:rsidP="00520EE2">
            <w:pPr>
              <w:spacing w:before="20" w:after="0"/>
              <w:jc w:val="both"/>
              <w:rPr>
                <w:rFonts w:asciiTheme="majorBidi" w:hAnsiTheme="majorBidi" w:cstheme="majorBidi"/>
              </w:rPr>
            </w:pPr>
          </w:p>
        </w:tc>
        <w:tc>
          <w:tcPr>
            <w:tcW w:w="1474" w:type="dxa"/>
          </w:tcPr>
          <w:p w14:paraId="7535BF7A"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−1.8321</w:t>
            </w:r>
          </w:p>
        </w:tc>
        <w:tc>
          <w:tcPr>
            <w:tcW w:w="1474" w:type="dxa"/>
          </w:tcPr>
          <w:p w14:paraId="29FF8EFA" w14:textId="77777777" w:rsidR="00F1197D" w:rsidRPr="00520EE2" w:rsidRDefault="00F1197D" w:rsidP="00520EE2">
            <w:pPr>
              <w:spacing w:before="20" w:after="0"/>
              <w:jc w:val="both"/>
              <w:rPr>
                <w:rFonts w:asciiTheme="majorBidi" w:hAnsiTheme="majorBidi" w:cstheme="majorBidi"/>
              </w:rPr>
            </w:pPr>
          </w:p>
        </w:tc>
        <w:tc>
          <w:tcPr>
            <w:tcW w:w="1474" w:type="dxa"/>
          </w:tcPr>
          <w:p w14:paraId="4C1CD6A0"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−1.8432</w:t>
            </w:r>
          </w:p>
        </w:tc>
        <w:tc>
          <w:tcPr>
            <w:tcW w:w="1814" w:type="dxa"/>
          </w:tcPr>
          <w:p w14:paraId="09628EBF" w14:textId="77777777" w:rsidR="00F1197D" w:rsidRPr="00520EE2" w:rsidRDefault="00F1197D" w:rsidP="00520EE2">
            <w:pPr>
              <w:spacing w:before="20" w:after="0"/>
              <w:jc w:val="both"/>
              <w:rPr>
                <w:rFonts w:asciiTheme="majorBidi" w:hAnsiTheme="majorBidi" w:cstheme="majorBidi"/>
              </w:rPr>
            </w:pPr>
          </w:p>
        </w:tc>
      </w:tr>
    </w:tbl>
    <w:p w14:paraId="2E71B983" w14:textId="77777777" w:rsidR="00F1197D" w:rsidRPr="00520EE2" w:rsidRDefault="00000000" w:rsidP="00520EE2">
      <w:pPr>
        <w:jc w:val="both"/>
        <w:rPr>
          <w:rFonts w:asciiTheme="majorBidi" w:hAnsiTheme="majorBidi" w:cstheme="majorBidi"/>
        </w:rPr>
      </w:pPr>
      <w:r>
        <w:rPr>
          <w:rFonts w:asciiTheme="majorBidi" w:hAnsiTheme="majorBidi" w:cstheme="majorBidi"/>
          <w:sz w:val="17"/>
        </w:rPr>
        <w:t xml:space="preserve">Means and SDs are those of the Bologna development cohort (standardization constants). logit = intercept + Σ raw coefficient × raw value; p = 1 / (1 + exp(−logit)). Univariable standardized odds ratios are descriptive (unpenalized, Bologna + Liverpool) and are not part of the model.</w:t>
      </w:r>
    </w:p>
    <w:p w14:paraId="5BE694B4" w14:textId="77777777" w:rsidR="00F1197D" w:rsidRPr="00520EE2" w:rsidRDefault="00000000" w:rsidP="00520EE2">
      <w:pPr>
        <w:keepNext/>
        <w:spacing w:before="200"/>
        <w:jc w:val="both"/>
        <w:rPr>
          <w:rFonts w:asciiTheme="majorBidi" w:hAnsiTheme="majorBidi" w:cstheme="majorBidi"/>
        </w:rPr>
      </w:pPr>
      <w:r>
        <w:rPr>
          <w:rFonts w:asciiTheme="majorBidi" w:hAnsiTheme="majorBidi" w:cstheme="majorBidi"/>
          <w:b/>
        </w:rPr>
        <w:t xml:space="preserve">Table S15 (continued)</w:t>
      </w:r>
      <w:r>
        <w:rPr>
          <w:rFonts w:asciiTheme="majorBidi" w:hAnsiTheme="majorBidi" w:cstheme="majorBidi"/>
        </w:rPr>
        <w:t xml:space="preserve"> Operating characteristics of the cognitive-decline model in Liverpool (n = 48, 12 events)</w:t>
      </w:r>
    </w:p>
    <w:tbl>
      <w:tblPr>
        <w:tblW w:w="0" w:type="auto"/>
        <w:jc w:val="center"/>
        <w:tblBorders>
          <w:top w:val="single" w:sz="4" w:space="0" w:color="808080"/>
          <w:left w:val="nil"/>
          <w:bottom w:val="single" w:sz="4" w:space="0" w:color="808080"/>
          <w:right w:val="nil"/>
          <w:insideH w:val="single" w:sz="4" w:space="0" w:color="808080"/>
          <w:insideV w:val="nil"/>
        </w:tblBorders>
        <w:tblLayout w:type="fixed"/>
        <w:tblLook w:val="04A0" w:firstRow="1" w:lastRow="0" w:firstColumn="1" w:lastColumn="0" w:noHBand="0" w:noVBand="1"/>
      </w:tblPr>
      <w:tblGrid>
        <w:gridCol w:w="1247"/>
        <w:gridCol w:w="1020"/>
        <w:gridCol w:w="1361"/>
        <w:gridCol w:w="1361"/>
        <w:gridCol w:w="1134"/>
        <w:gridCol w:w="1134"/>
        <w:gridCol w:w="1247"/>
      </w:tblGrid>
      <w:tr w:rsidR="00F1197D" w:rsidRPr="00520EE2" w14:paraId="50F66869" w14:textId="77777777">
        <w:trPr>
          <w:cantSplit/>
          <w:tblHeader/>
          <w:jc w:val="center"/>
        </w:trPr>
        <w:tc>
          <w:tcPr>
            <w:tcW w:w="1247" w:type="dxa"/>
          </w:tcPr>
          <w:p w14:paraId="37E3AD7C"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b/>
                <w:sz w:val="16"/>
              </w:rPr>
              <w:t xml:space="preserve">Threshold</w:t>
            </w:r>
          </w:p>
        </w:tc>
        <w:tc>
          <w:tcPr>
            <w:tcW w:w="1020" w:type="dxa"/>
          </w:tcPr>
          <w:p w14:paraId="34833DB2"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b/>
                <w:sz w:val="16"/>
              </w:rPr>
              <w:t xml:space="preserve">Flagged</w:t>
            </w:r>
          </w:p>
        </w:tc>
        <w:tc>
          <w:tcPr>
            <w:tcW w:w="1361" w:type="dxa"/>
          </w:tcPr>
          <w:p w14:paraId="29E2B2BA"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b/>
                <w:sz w:val="16"/>
              </w:rPr>
              <w:t xml:space="preserve">Sensitivity (%)</w:t>
            </w:r>
          </w:p>
        </w:tc>
        <w:tc>
          <w:tcPr>
            <w:tcW w:w="1361" w:type="dxa"/>
          </w:tcPr>
          <w:p w14:paraId="78EF53F9"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b/>
                <w:sz w:val="16"/>
              </w:rPr>
              <w:t xml:space="preserve">Specificity (%)</w:t>
            </w:r>
          </w:p>
        </w:tc>
        <w:tc>
          <w:tcPr>
            <w:tcW w:w="1134" w:type="dxa"/>
          </w:tcPr>
          <w:p w14:paraId="10755F76"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b/>
                <w:sz w:val="16"/>
              </w:rPr>
              <w:t xml:space="preserve">PPV (%)</w:t>
            </w:r>
          </w:p>
        </w:tc>
        <w:tc>
          <w:tcPr>
            <w:tcW w:w="1134" w:type="dxa"/>
          </w:tcPr>
          <w:p w14:paraId="01DBE9D8"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b/>
                <w:sz w:val="16"/>
              </w:rPr>
              <w:t xml:space="preserve">NPV (%)</w:t>
            </w:r>
          </w:p>
        </w:tc>
        <w:tc>
          <w:tcPr>
            <w:tcW w:w="1247" w:type="dxa"/>
          </w:tcPr>
          <w:p w14:paraId="6CA6AAE1"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b/>
                <w:sz w:val="16"/>
              </w:rPr>
              <w:t xml:space="preserve">Missed events</w:t>
            </w:r>
          </w:p>
        </w:tc>
      </w:tr>
      <w:tr w:rsidR="00F1197D" w:rsidRPr="00520EE2" w14:paraId="610D1C20" w14:textId="77777777">
        <w:trPr>
          <w:cantSplit/>
          <w:jc w:val="center"/>
        </w:trPr>
        <w:tc>
          <w:tcPr>
            <w:tcW w:w="1247" w:type="dxa"/>
          </w:tcPr>
          <w:p w14:paraId="1810597E"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5.0%</w:t>
            </w:r>
          </w:p>
        </w:tc>
        <w:tc>
          <w:tcPr>
            <w:tcW w:w="1020" w:type="dxa"/>
          </w:tcPr>
          <w:p w14:paraId="4645E5FA"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48</w:t>
            </w:r>
          </w:p>
        </w:tc>
        <w:tc>
          <w:tcPr>
            <w:tcW w:w="1361" w:type="dxa"/>
          </w:tcPr>
          <w:p w14:paraId="0294924C"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100.0</w:t>
            </w:r>
          </w:p>
        </w:tc>
        <w:tc>
          <w:tcPr>
            <w:tcW w:w="1361" w:type="dxa"/>
          </w:tcPr>
          <w:p w14:paraId="18BD255C"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0.0</w:t>
            </w:r>
          </w:p>
        </w:tc>
        <w:tc>
          <w:tcPr>
            <w:tcW w:w="1134" w:type="dxa"/>
          </w:tcPr>
          <w:p w14:paraId="2B4EF34C"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25.0</w:t>
            </w:r>
          </w:p>
        </w:tc>
        <w:tc>
          <w:tcPr>
            <w:tcW w:w="1134" w:type="dxa"/>
          </w:tcPr>
          <w:p w14:paraId="0ED86FEC"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w:t>
            </w:r>
          </w:p>
        </w:tc>
        <w:tc>
          <w:tcPr>
            <w:tcW w:w="1247" w:type="dxa"/>
          </w:tcPr>
          <w:p w14:paraId="204A64E3"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0</w:t>
            </w:r>
          </w:p>
        </w:tc>
      </w:tr>
      <w:tr w:rsidR="00F1197D" w:rsidRPr="00520EE2" w14:paraId="5D7D8352" w14:textId="77777777">
        <w:trPr>
          <w:cantSplit/>
          <w:jc w:val="center"/>
        </w:trPr>
        <w:tc>
          <w:tcPr>
            <w:tcW w:w="1247" w:type="dxa"/>
          </w:tcPr>
          <w:p w14:paraId="4EFCD24A"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7.5%</w:t>
            </w:r>
          </w:p>
        </w:tc>
        <w:tc>
          <w:tcPr>
            <w:tcW w:w="1020" w:type="dxa"/>
          </w:tcPr>
          <w:p w14:paraId="541C327B"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48</w:t>
            </w:r>
          </w:p>
        </w:tc>
        <w:tc>
          <w:tcPr>
            <w:tcW w:w="1361" w:type="dxa"/>
          </w:tcPr>
          <w:p w14:paraId="58C96B1B"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100.0</w:t>
            </w:r>
          </w:p>
        </w:tc>
        <w:tc>
          <w:tcPr>
            <w:tcW w:w="1361" w:type="dxa"/>
          </w:tcPr>
          <w:p w14:paraId="421EBD28"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0.0</w:t>
            </w:r>
          </w:p>
        </w:tc>
        <w:tc>
          <w:tcPr>
            <w:tcW w:w="1134" w:type="dxa"/>
          </w:tcPr>
          <w:p w14:paraId="304B72E9"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25.0</w:t>
            </w:r>
          </w:p>
        </w:tc>
        <w:tc>
          <w:tcPr>
            <w:tcW w:w="1134" w:type="dxa"/>
          </w:tcPr>
          <w:p w14:paraId="59842424"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w:t>
            </w:r>
          </w:p>
        </w:tc>
        <w:tc>
          <w:tcPr>
            <w:tcW w:w="1247" w:type="dxa"/>
          </w:tcPr>
          <w:p w14:paraId="3D6B6E91"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0</w:t>
            </w:r>
          </w:p>
        </w:tc>
      </w:tr>
      <w:tr w:rsidR="00F1197D" w:rsidRPr="00520EE2" w14:paraId="27EC14DA" w14:textId="77777777">
        <w:trPr>
          <w:cantSplit/>
          <w:jc w:val="center"/>
        </w:trPr>
        <w:tc>
          <w:tcPr>
            <w:tcW w:w="1247" w:type="dxa"/>
          </w:tcPr>
          <w:p w14:paraId="3323C80B"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10.0%</w:t>
            </w:r>
          </w:p>
        </w:tc>
        <w:tc>
          <w:tcPr>
            <w:tcW w:w="1020" w:type="dxa"/>
          </w:tcPr>
          <w:p w14:paraId="7EBE0D02"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47</w:t>
            </w:r>
          </w:p>
        </w:tc>
        <w:tc>
          <w:tcPr>
            <w:tcW w:w="1361" w:type="dxa"/>
          </w:tcPr>
          <w:p w14:paraId="5C05FCB6"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100.0</w:t>
            </w:r>
          </w:p>
        </w:tc>
        <w:tc>
          <w:tcPr>
            <w:tcW w:w="1361" w:type="dxa"/>
          </w:tcPr>
          <w:p w14:paraId="6CBCBD0A"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2.8</w:t>
            </w:r>
          </w:p>
        </w:tc>
        <w:tc>
          <w:tcPr>
            <w:tcW w:w="1134" w:type="dxa"/>
          </w:tcPr>
          <w:p w14:paraId="1FAD0A31"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25.5</w:t>
            </w:r>
          </w:p>
        </w:tc>
        <w:tc>
          <w:tcPr>
            <w:tcW w:w="1134" w:type="dxa"/>
          </w:tcPr>
          <w:p w14:paraId="4C6CC04F"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100.0</w:t>
            </w:r>
          </w:p>
        </w:tc>
        <w:tc>
          <w:tcPr>
            <w:tcW w:w="1247" w:type="dxa"/>
          </w:tcPr>
          <w:p w14:paraId="031A6D9F"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0</w:t>
            </w:r>
          </w:p>
        </w:tc>
      </w:tr>
      <w:tr w:rsidR="00F1197D" w:rsidRPr="00520EE2" w14:paraId="7FAD80EF" w14:textId="77777777">
        <w:trPr>
          <w:cantSplit/>
          <w:jc w:val="center"/>
        </w:trPr>
        <w:tc>
          <w:tcPr>
            <w:tcW w:w="1247" w:type="dxa"/>
          </w:tcPr>
          <w:p w14:paraId="26E8A97E"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12.5%</w:t>
            </w:r>
          </w:p>
        </w:tc>
        <w:tc>
          <w:tcPr>
            <w:tcW w:w="1020" w:type="dxa"/>
          </w:tcPr>
          <w:p w14:paraId="46BB1D64"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32</w:t>
            </w:r>
          </w:p>
        </w:tc>
        <w:tc>
          <w:tcPr>
            <w:tcW w:w="1361" w:type="dxa"/>
          </w:tcPr>
          <w:p w14:paraId="13635E45"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100.0</w:t>
            </w:r>
          </w:p>
        </w:tc>
        <w:tc>
          <w:tcPr>
            <w:tcW w:w="1361" w:type="dxa"/>
          </w:tcPr>
          <w:p w14:paraId="662447D8"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44.4</w:t>
            </w:r>
          </w:p>
        </w:tc>
        <w:tc>
          <w:tcPr>
            <w:tcW w:w="1134" w:type="dxa"/>
          </w:tcPr>
          <w:p w14:paraId="18E50DF3"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37.5</w:t>
            </w:r>
          </w:p>
        </w:tc>
        <w:tc>
          <w:tcPr>
            <w:tcW w:w="1134" w:type="dxa"/>
          </w:tcPr>
          <w:p w14:paraId="2654ED02"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100.0</w:t>
            </w:r>
          </w:p>
        </w:tc>
        <w:tc>
          <w:tcPr>
            <w:tcW w:w="1247" w:type="dxa"/>
          </w:tcPr>
          <w:p w14:paraId="23153561"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0</w:t>
            </w:r>
          </w:p>
        </w:tc>
      </w:tr>
      <w:tr w:rsidR="00F1197D" w:rsidRPr="00520EE2" w14:paraId="0C8795FB" w14:textId="77777777">
        <w:trPr>
          <w:cantSplit/>
          <w:jc w:val="center"/>
        </w:trPr>
        <w:tc>
          <w:tcPr>
            <w:tcW w:w="1247" w:type="dxa"/>
          </w:tcPr>
          <w:p w14:paraId="3E384197"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15.0%</w:t>
            </w:r>
          </w:p>
        </w:tc>
        <w:tc>
          <w:tcPr>
            <w:tcW w:w="1020" w:type="dxa"/>
          </w:tcPr>
          <w:p w14:paraId="0F3925EF"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18</w:t>
            </w:r>
          </w:p>
        </w:tc>
        <w:tc>
          <w:tcPr>
            <w:tcW w:w="1361" w:type="dxa"/>
          </w:tcPr>
          <w:p w14:paraId="1E7100C4"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50.0</w:t>
            </w:r>
          </w:p>
        </w:tc>
        <w:tc>
          <w:tcPr>
            <w:tcW w:w="1361" w:type="dxa"/>
          </w:tcPr>
          <w:p w14:paraId="703728DB"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66.7</w:t>
            </w:r>
          </w:p>
        </w:tc>
        <w:tc>
          <w:tcPr>
            <w:tcW w:w="1134" w:type="dxa"/>
          </w:tcPr>
          <w:p w14:paraId="0F27489B"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33.3</w:t>
            </w:r>
          </w:p>
        </w:tc>
        <w:tc>
          <w:tcPr>
            <w:tcW w:w="1134" w:type="dxa"/>
          </w:tcPr>
          <w:p w14:paraId="71191D20"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80.0</w:t>
            </w:r>
          </w:p>
        </w:tc>
        <w:tc>
          <w:tcPr>
            <w:tcW w:w="1247" w:type="dxa"/>
          </w:tcPr>
          <w:p w14:paraId="6B7F4504"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6</w:t>
            </w:r>
          </w:p>
        </w:tc>
      </w:tr>
      <w:tr w:rsidR="00F1197D" w:rsidRPr="00520EE2" w14:paraId="7AAAC4CD" w14:textId="77777777">
        <w:trPr>
          <w:cantSplit/>
          <w:jc w:val="center"/>
        </w:trPr>
        <w:tc>
          <w:tcPr>
            <w:tcW w:w="1247" w:type="dxa"/>
          </w:tcPr>
          <w:p w14:paraId="48916479"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20.0%</w:t>
            </w:r>
          </w:p>
        </w:tc>
        <w:tc>
          <w:tcPr>
            <w:tcW w:w="1020" w:type="dxa"/>
          </w:tcPr>
          <w:p w14:paraId="0CC848D5"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1</w:t>
            </w:r>
          </w:p>
        </w:tc>
        <w:tc>
          <w:tcPr>
            <w:tcW w:w="1361" w:type="dxa"/>
          </w:tcPr>
          <w:p w14:paraId="7A9EC2CE"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8.3</w:t>
            </w:r>
          </w:p>
        </w:tc>
        <w:tc>
          <w:tcPr>
            <w:tcW w:w="1361" w:type="dxa"/>
          </w:tcPr>
          <w:p w14:paraId="37A45837"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100.0</w:t>
            </w:r>
          </w:p>
        </w:tc>
        <w:tc>
          <w:tcPr>
            <w:tcW w:w="1134" w:type="dxa"/>
          </w:tcPr>
          <w:p w14:paraId="36D907BA"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100.0</w:t>
            </w:r>
          </w:p>
        </w:tc>
        <w:tc>
          <w:tcPr>
            <w:tcW w:w="1134" w:type="dxa"/>
          </w:tcPr>
          <w:p w14:paraId="3F0A4AEE"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76.6</w:t>
            </w:r>
          </w:p>
        </w:tc>
        <w:tc>
          <w:tcPr>
            <w:tcW w:w="1247" w:type="dxa"/>
          </w:tcPr>
          <w:p w14:paraId="08E95692"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11</w:t>
            </w:r>
          </w:p>
        </w:tc>
      </w:tr>
      <w:tr w:rsidR="00F1197D" w:rsidRPr="00520EE2" w14:paraId="71A90497" w14:textId="77777777">
        <w:trPr>
          <w:cantSplit/>
          <w:jc w:val="center"/>
        </w:trPr>
        <w:tc>
          <w:tcPr>
            <w:tcW w:w="1247" w:type="dxa"/>
          </w:tcPr>
          <w:p w14:paraId="044CDB4C"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25.0%</w:t>
            </w:r>
          </w:p>
        </w:tc>
        <w:tc>
          <w:tcPr>
            <w:tcW w:w="1020" w:type="dxa"/>
          </w:tcPr>
          <w:p w14:paraId="1385989A"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0</w:t>
            </w:r>
          </w:p>
        </w:tc>
        <w:tc>
          <w:tcPr>
            <w:tcW w:w="1361" w:type="dxa"/>
          </w:tcPr>
          <w:p w14:paraId="073C02F2"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0.0</w:t>
            </w:r>
          </w:p>
        </w:tc>
        <w:tc>
          <w:tcPr>
            <w:tcW w:w="1361" w:type="dxa"/>
          </w:tcPr>
          <w:p w14:paraId="2449BDD4"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100.0</w:t>
            </w:r>
          </w:p>
        </w:tc>
        <w:tc>
          <w:tcPr>
            <w:tcW w:w="1134" w:type="dxa"/>
          </w:tcPr>
          <w:p w14:paraId="3C044588"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w:t>
            </w:r>
          </w:p>
        </w:tc>
        <w:tc>
          <w:tcPr>
            <w:tcW w:w="1134" w:type="dxa"/>
          </w:tcPr>
          <w:p w14:paraId="0AEC523E"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75.0</w:t>
            </w:r>
          </w:p>
        </w:tc>
        <w:tc>
          <w:tcPr>
            <w:tcW w:w="1247" w:type="dxa"/>
          </w:tcPr>
          <w:p w14:paraId="271BD437"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12</w:t>
            </w:r>
          </w:p>
        </w:tc>
      </w:tr>
      <w:tr w:rsidR="00F1197D" w:rsidRPr="00520EE2" w14:paraId="7E3AE95E" w14:textId="77777777">
        <w:trPr>
          <w:cantSplit/>
          <w:jc w:val="center"/>
        </w:trPr>
        <w:tc>
          <w:tcPr>
            <w:tcW w:w="1247" w:type="dxa"/>
          </w:tcPr>
          <w:p w14:paraId="7C22010C"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30.0%</w:t>
            </w:r>
          </w:p>
        </w:tc>
        <w:tc>
          <w:tcPr>
            <w:tcW w:w="1020" w:type="dxa"/>
          </w:tcPr>
          <w:p w14:paraId="3F8F34A7"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0</w:t>
            </w:r>
          </w:p>
        </w:tc>
        <w:tc>
          <w:tcPr>
            <w:tcW w:w="1361" w:type="dxa"/>
          </w:tcPr>
          <w:p w14:paraId="73E3B7EB"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0.0</w:t>
            </w:r>
          </w:p>
        </w:tc>
        <w:tc>
          <w:tcPr>
            <w:tcW w:w="1361" w:type="dxa"/>
          </w:tcPr>
          <w:p w14:paraId="021396A1"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100.0</w:t>
            </w:r>
          </w:p>
        </w:tc>
        <w:tc>
          <w:tcPr>
            <w:tcW w:w="1134" w:type="dxa"/>
          </w:tcPr>
          <w:p w14:paraId="44865350"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w:t>
            </w:r>
          </w:p>
        </w:tc>
        <w:tc>
          <w:tcPr>
            <w:tcW w:w="1134" w:type="dxa"/>
          </w:tcPr>
          <w:p w14:paraId="70370013"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75.0</w:t>
            </w:r>
          </w:p>
        </w:tc>
        <w:tc>
          <w:tcPr>
            <w:tcW w:w="1247" w:type="dxa"/>
          </w:tcPr>
          <w:p w14:paraId="090ACBD9"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12</w:t>
            </w:r>
          </w:p>
        </w:tc>
      </w:tr>
    </w:tbl>
    <w:p w14:paraId="3517BB6D" w14:textId="77777777" w:rsidR="00F1197D" w:rsidRPr="00520EE2" w:rsidRDefault="00000000" w:rsidP="00520EE2">
      <w:pPr>
        <w:jc w:val="both"/>
        <w:rPr>
          <w:rFonts w:asciiTheme="majorBidi" w:hAnsiTheme="majorBidi" w:cstheme="majorBidi"/>
        </w:rPr>
      </w:pPr>
      <w:r>
        <w:rPr>
          <w:rFonts w:asciiTheme="majorBidi" w:hAnsiTheme="majorBidi" w:cstheme="majorBidi"/>
          <w:sz w:val="17"/>
        </w:rPr>
        <w:t xml:space="preserve">Because the predictions are compressed (all between roughly 10% and 20%), the useful thresholds are narrow; at 12.5% the model flagged 32 of 48 patients and missed none of the 12 events.</w:t>
      </w:r>
    </w:p>
    <w:p w14:paraId="6A7E1D3C" w14:textId="77777777" w:rsidR="00F1197D" w:rsidRPr="00520EE2" w:rsidRDefault="00000000" w:rsidP="00520EE2">
      <w:pPr>
        <w:keepNext/>
        <w:spacing w:before="280"/>
        <w:jc w:val="both"/>
        <w:rPr>
          <w:rFonts w:asciiTheme="majorBidi" w:hAnsiTheme="majorBidi" w:cstheme="majorBidi"/>
        </w:rPr>
      </w:pPr>
      <w:r>
        <w:rPr>
          <w:rFonts w:asciiTheme="majorBidi" w:hAnsiTheme="majorBidi" w:cstheme="majorBidi"/>
          <w:b/>
          <w:sz w:val="24"/>
        </w:rPr>
        <w:t xml:space="preserve">ASA physical status: removed from the systemic predictor set</w:t>
      </w:r>
    </w:p>
    <w:p w14:paraId="0334826F" w14:textId="77777777" w:rsidR="00F1197D" w:rsidRPr="00520EE2" w:rsidRDefault="00000000" w:rsidP="00520EE2">
      <w:pPr>
        <w:spacing w:after="120"/>
        <w:jc w:val="both"/>
        <w:rPr>
          <w:rFonts w:asciiTheme="majorBidi" w:hAnsiTheme="majorBidi" w:cstheme="majorBidi"/>
        </w:rPr>
      </w:pPr>
      <w:r>
        <w:rPr>
          <w:rFonts w:asciiTheme="majorBidi" w:hAnsiTheme="majorBidi" w:cstheme="majorBidi"/>
        </w:rPr>
        <w:t xml:space="preserve">ASA class was part of the pre-specified systemic set. In the medical model it received an inverse coefficient (standardized OR 0.69 per SD in the ridge model; unpenalized OR 0.51 per class, 95% CI 0.27–0.96, adjusted for the other seven predictors), which would lower the predicted risk as the ASA class rises and is clinically implausible. The data explain the sign. The observed medical complication rate did not rise with ASA class (class I 23.5% (4/17); class II 17.0% (16/94); class III 11.9% (13/109); class IV 27.3% (3/11)), and ASA had no association on its own (OR 0.83 per class, 95% CI 0.50–1.38, p = 0.48). It overlapped with age and the Charlson index (Spearman ρ 0.41 and 0.39; mean Charlson index 0.9 in class I and 3.8 in class IV), so that once these were in the model the remaining ASA signal ran in the opposite direction. Grading also differed between centers (class III–IV in 43.5% of Bologna, 80.9% of Cesena and 31.2% of Liverpool patients; class IV only in Cesena and Liverpool), and three Bologna patients coded ASA I had cardiorespiratory disease recorded. Adjustment for center did not remove the inverse association (OR 0.53 per class, 95% CI 0.26–1.08). ASA was therefore removed from the systemic set; the medical, surgical and composite models in the main text and in Tables S9–S12 use the remaining seven predictors. The pre-specified eight-variable medical model is reported in Table S16 as a sensitivity analysis: without ASA, internal discrimination was slightly lower (0.755 versus 0.773) and discrimination across centers and in Liverpool slightly higher (0.768 versus 0.749; 0.847 versus 0.822).</w:t>
      </w:r>
    </w:p>
    <w:p w14:paraId="107C8490" w14:textId="77777777" w:rsidR="00F1197D" w:rsidRPr="00520EE2" w:rsidRDefault="00000000" w:rsidP="00520EE2">
      <w:pPr>
        <w:keepNext/>
        <w:spacing w:before="200"/>
        <w:jc w:val="both"/>
        <w:rPr>
          <w:rFonts w:asciiTheme="majorBidi" w:hAnsiTheme="majorBidi" w:cstheme="majorBidi"/>
        </w:rPr>
      </w:pPr>
      <w:r>
        <w:rPr>
          <w:rFonts w:asciiTheme="majorBidi" w:hAnsiTheme="majorBidi" w:cstheme="majorBidi"/>
          <w:b/>
        </w:rPr>
        <w:lastRenderedPageBreak/>
        <w:t>Table S16</w:t>
      </w:r>
      <w:r>
        <w:rPr>
          <w:rFonts w:asciiTheme="majorBidi" w:hAnsiTheme="majorBidi" w:cstheme="majorBidi"/>
        </w:rPr>
        <w:t xml:space="preserve"> Medical model: final seven-variable set versus the pre-specified set with ASA (n = 231)</w:t>
      </w:r>
    </w:p>
    <w:tbl>
      <w:tblPr>
        <w:tblW w:w="0" w:type="auto"/>
        <w:jc w:val="center"/>
        <w:tblBorders>
          <w:top w:val="single" w:sz="4" w:space="0" w:color="808080"/>
          <w:left w:val="nil"/>
          <w:bottom w:val="single" w:sz="4" w:space="0" w:color="808080"/>
          <w:right w:val="nil"/>
          <w:insideH w:val="single" w:sz="4" w:space="0" w:color="808080"/>
          <w:insideV w:val="nil"/>
        </w:tblBorders>
        <w:tblLayout w:type="fixed"/>
        <w:tblLook w:val="04A0" w:firstRow="1" w:lastRow="0" w:firstColumn="1" w:lastColumn="0" w:noHBand="0" w:noVBand="1"/>
      </w:tblPr>
      <w:tblGrid>
        <w:gridCol w:w="2494"/>
        <w:gridCol w:w="1814"/>
        <w:gridCol w:w="1247"/>
        <w:gridCol w:w="1247"/>
        <w:gridCol w:w="1814"/>
        <w:gridCol w:w="2041"/>
        <w:gridCol w:w="1814"/>
        <w:gridCol w:w="1247"/>
      </w:tblGrid>
      <w:tr w:rsidR="00F1197D" w:rsidRPr="00520EE2" w14:paraId="149080A8" w14:textId="77777777">
        <w:trPr>
          <w:cantSplit/>
          <w:tblHeader/>
          <w:jc w:val="center"/>
        </w:trPr>
        <w:tc>
          <w:tcPr>
            <w:tcW w:w="2494" w:type="dxa"/>
          </w:tcPr>
          <w:p w14:paraId="13F6508C" w14:textId="77777777" w:rsidR="00F1197D" w:rsidRPr="00520EE2" w:rsidRDefault="00000000" w:rsidP="00520EE2">
            <w:pPr>
              <w:keepNext/>
              <w:spacing w:before="20" w:after="0"/>
              <w:jc w:val="both"/>
              <w:rPr>
                <w:rFonts w:asciiTheme="majorBidi" w:hAnsiTheme="majorBidi" w:cstheme="majorBidi"/>
              </w:rPr>
            </w:pPr>
            <w:r>
              <w:rPr>
                <w:rFonts w:asciiTheme="majorBidi" w:hAnsiTheme="majorBidi" w:cstheme="majorBidi"/>
                <w:b/>
                <w:sz w:val="16"/>
              </w:rPr>
              <w:t xml:space="preserve">Model</w:t>
            </w:r>
          </w:p>
        </w:tc>
        <w:tc>
          <w:tcPr>
            <w:tcW w:w="1814" w:type="dxa"/>
          </w:tcPr>
          <w:p w14:paraId="6B7CD93B" w14:textId="77777777" w:rsidR="00F1197D" w:rsidRPr="00520EE2" w:rsidRDefault="00000000" w:rsidP="00520EE2">
            <w:pPr>
              <w:keepNext/>
              <w:spacing w:before="20" w:after="0"/>
              <w:jc w:val="both"/>
              <w:rPr>
                <w:rFonts w:asciiTheme="majorBidi" w:hAnsiTheme="majorBidi" w:cstheme="majorBidi"/>
              </w:rPr>
            </w:pPr>
            <w:r>
              <w:rPr>
                <w:rFonts w:asciiTheme="majorBidi" w:hAnsiTheme="majorBidi" w:cstheme="majorBidi"/>
                <w:b/>
                <w:sz w:val="16"/>
              </w:rPr>
              <w:t xml:space="preserve">Internal CV AUC (95% CI)</w:t>
            </w:r>
          </w:p>
        </w:tc>
        <w:tc>
          <w:tcPr>
            <w:tcW w:w="1247" w:type="dxa"/>
          </w:tcPr>
          <w:p w14:paraId="2FA6AC7D" w14:textId="77777777" w:rsidR="00F1197D" w:rsidRPr="00520EE2" w:rsidRDefault="00000000" w:rsidP="00520EE2">
            <w:pPr>
              <w:keepNext/>
              <w:spacing w:before="20" w:after="0"/>
              <w:jc w:val="both"/>
              <w:rPr>
                <w:rFonts w:asciiTheme="majorBidi" w:hAnsiTheme="majorBidi" w:cstheme="majorBidi"/>
              </w:rPr>
            </w:pPr>
            <w:r>
              <w:rPr>
                <w:rFonts w:asciiTheme="majorBidi" w:hAnsiTheme="majorBidi" w:cstheme="majorBidi"/>
                <w:b/>
                <w:sz w:val="16"/>
              </w:rPr>
              <w:t xml:space="preserve">Optimism-corrected</w:t>
            </w:r>
          </w:p>
        </w:tc>
        <w:tc>
          <w:tcPr>
            <w:tcW w:w="1247" w:type="dxa"/>
          </w:tcPr>
          <w:p w14:paraId="2833FB39" w14:textId="77777777" w:rsidR="00F1197D" w:rsidRPr="00520EE2" w:rsidRDefault="00000000" w:rsidP="00520EE2">
            <w:pPr>
              <w:keepNext/>
              <w:spacing w:before="20" w:after="0"/>
              <w:jc w:val="both"/>
              <w:rPr>
                <w:rFonts w:asciiTheme="majorBidi" w:hAnsiTheme="majorBidi" w:cstheme="majorBidi"/>
              </w:rPr>
            </w:pPr>
            <w:r>
              <w:rPr>
                <w:rFonts w:asciiTheme="majorBidi" w:hAnsiTheme="majorBidi" w:cstheme="majorBidi"/>
                <w:b/>
                <w:sz w:val="16"/>
              </w:rPr>
              <w:t xml:space="preserve">Calibration slope</w:t>
            </w:r>
          </w:p>
        </w:tc>
        <w:tc>
          <w:tcPr>
            <w:tcW w:w="1814" w:type="dxa"/>
          </w:tcPr>
          <w:p w14:paraId="6D397BF1" w14:textId="77777777" w:rsidR="00F1197D" w:rsidRPr="00520EE2" w:rsidRDefault="00000000" w:rsidP="00520EE2">
            <w:pPr>
              <w:keepNext/>
              <w:spacing w:before="20" w:after="0"/>
              <w:jc w:val="both"/>
              <w:rPr>
                <w:rFonts w:asciiTheme="majorBidi" w:hAnsiTheme="majorBidi" w:cstheme="majorBidi"/>
              </w:rPr>
            </w:pPr>
            <w:r>
              <w:rPr>
                <w:rFonts w:asciiTheme="majorBidi" w:hAnsiTheme="majorBidi" w:cstheme="majorBidi"/>
                <w:b/>
                <w:sz w:val="16"/>
              </w:rPr>
              <w:t xml:space="preserve">IECV pooled AUC (95% CI)</w:t>
            </w:r>
          </w:p>
        </w:tc>
        <w:tc>
          <w:tcPr>
            <w:tcW w:w="2041" w:type="dxa"/>
          </w:tcPr>
          <w:p w14:paraId="5154BC45" w14:textId="77777777" w:rsidR="00F1197D" w:rsidRPr="00520EE2" w:rsidRDefault="00000000" w:rsidP="00520EE2">
            <w:pPr>
              <w:keepNext/>
              <w:spacing w:before="20" w:after="0"/>
              <w:jc w:val="both"/>
              <w:rPr>
                <w:rFonts w:asciiTheme="majorBidi" w:hAnsiTheme="majorBidi" w:cstheme="majorBidi"/>
              </w:rPr>
            </w:pPr>
            <w:r>
              <w:rPr>
                <w:rFonts w:asciiTheme="majorBidi" w:hAnsiTheme="majorBidi" w:cstheme="majorBidi"/>
                <w:b/>
                <w:sz w:val="16"/>
              </w:rPr>
              <w:t xml:space="preserve">Held-out AUC Bologna / Cesena / Liverpool</w:t>
            </w:r>
          </w:p>
        </w:tc>
        <w:tc>
          <w:tcPr>
            <w:tcW w:w="1814" w:type="dxa"/>
          </w:tcPr>
          <w:p w14:paraId="3AC77650" w14:textId="77777777" w:rsidR="00F1197D" w:rsidRPr="00520EE2" w:rsidRDefault="00000000" w:rsidP="00520EE2">
            <w:pPr>
              <w:keepNext/>
              <w:spacing w:before="20" w:after="0"/>
              <w:jc w:val="both"/>
              <w:rPr>
                <w:rFonts w:asciiTheme="majorBidi" w:hAnsiTheme="majorBidi" w:cstheme="majorBidi"/>
              </w:rPr>
            </w:pPr>
            <w:r>
              <w:rPr>
                <w:rFonts w:asciiTheme="majorBidi" w:hAnsiTheme="majorBidi" w:cstheme="majorBidi"/>
                <w:b/>
                <w:sz w:val="16"/>
              </w:rPr>
              <w:t xml:space="preserve">External AUC (95% CI)</w:t>
            </w:r>
          </w:p>
        </w:tc>
        <w:tc>
          <w:tcPr>
            <w:tcW w:w="1247" w:type="dxa"/>
          </w:tcPr>
          <w:p w14:paraId="1112AD56" w14:textId="77777777" w:rsidR="00F1197D" w:rsidRPr="00520EE2" w:rsidRDefault="00000000" w:rsidP="00520EE2">
            <w:pPr>
              <w:keepNext/>
              <w:spacing w:before="20" w:after="0"/>
              <w:jc w:val="both"/>
              <w:rPr>
                <w:rFonts w:asciiTheme="majorBidi" w:hAnsiTheme="majorBidi" w:cstheme="majorBidi"/>
              </w:rPr>
            </w:pPr>
            <w:r>
              <w:rPr>
                <w:rFonts w:asciiTheme="majorBidi" w:hAnsiTheme="majorBidi" w:cstheme="majorBidi"/>
                <w:b/>
                <w:sz w:val="16"/>
              </w:rPr>
              <w:t xml:space="preserve">External calibration slope</w:t>
            </w:r>
          </w:p>
        </w:tc>
      </w:tr>
      <w:tr w:rsidR="00F1197D" w:rsidRPr="00520EE2" w14:paraId="31ECA4F7" w14:textId="77777777">
        <w:trPr>
          <w:cantSplit/>
          <w:jc w:val="center"/>
        </w:trPr>
        <w:tc>
          <w:tcPr>
            <w:tcW w:w="2494" w:type="dxa"/>
          </w:tcPr>
          <w:p w14:paraId="06A45A4B" w14:textId="77777777" w:rsidR="00F1197D" w:rsidRPr="00520EE2" w:rsidRDefault="00000000" w:rsidP="00520EE2">
            <w:pPr>
              <w:keepNext/>
              <w:spacing w:before="20" w:after="0"/>
              <w:jc w:val="both"/>
              <w:rPr>
                <w:rFonts w:asciiTheme="majorBidi" w:hAnsiTheme="majorBidi" w:cstheme="majorBidi"/>
              </w:rPr>
            </w:pPr>
            <w:r>
              <w:rPr>
                <w:rFonts w:asciiTheme="majorBidi" w:hAnsiTheme="majorBidi" w:cstheme="majorBidi"/>
                <w:sz w:val="16"/>
              </w:rPr>
              <w:t xml:space="preserve">Pre-specified set with ASA (8 predictors; sensitivity analysis)</w:t>
            </w:r>
          </w:p>
        </w:tc>
        <w:tc>
          <w:tcPr>
            <w:tcW w:w="1814" w:type="dxa"/>
          </w:tcPr>
          <w:p w14:paraId="6A2897A1" w14:textId="77777777" w:rsidR="00F1197D" w:rsidRPr="00520EE2" w:rsidRDefault="00000000" w:rsidP="00520EE2">
            <w:pPr>
              <w:keepNext/>
              <w:spacing w:before="20" w:after="0"/>
              <w:jc w:val="both"/>
              <w:rPr>
                <w:rFonts w:asciiTheme="majorBidi" w:hAnsiTheme="majorBidi" w:cstheme="majorBidi"/>
              </w:rPr>
            </w:pPr>
            <w:r>
              <w:rPr>
                <w:rFonts w:asciiTheme="majorBidi" w:hAnsiTheme="majorBidi" w:cstheme="majorBidi"/>
                <w:sz w:val="16"/>
              </w:rPr>
              <w:t xml:space="preserve">0.773 (0.685–0.856)</w:t>
            </w:r>
          </w:p>
        </w:tc>
        <w:tc>
          <w:tcPr>
            <w:tcW w:w="1247" w:type="dxa"/>
          </w:tcPr>
          <w:p w14:paraId="324DF805" w14:textId="77777777" w:rsidR="00F1197D" w:rsidRPr="00520EE2" w:rsidRDefault="00000000" w:rsidP="00520EE2">
            <w:pPr>
              <w:keepNext/>
              <w:spacing w:before="20" w:after="0"/>
              <w:jc w:val="both"/>
              <w:rPr>
                <w:rFonts w:asciiTheme="majorBidi" w:hAnsiTheme="majorBidi" w:cstheme="majorBidi"/>
              </w:rPr>
            </w:pPr>
            <w:r>
              <w:rPr>
                <w:rFonts w:asciiTheme="majorBidi" w:hAnsiTheme="majorBidi" w:cstheme="majorBidi"/>
                <w:sz w:val="16"/>
              </w:rPr>
              <w:t xml:space="preserve">0.788</w:t>
            </w:r>
          </w:p>
        </w:tc>
        <w:tc>
          <w:tcPr>
            <w:tcW w:w="1247" w:type="dxa"/>
          </w:tcPr>
          <w:p w14:paraId="7430AD4F" w14:textId="77777777" w:rsidR="00F1197D" w:rsidRPr="00520EE2" w:rsidRDefault="00000000" w:rsidP="00520EE2">
            <w:pPr>
              <w:keepNext/>
              <w:spacing w:before="20" w:after="0"/>
              <w:jc w:val="both"/>
              <w:rPr>
                <w:rFonts w:asciiTheme="majorBidi" w:hAnsiTheme="majorBidi" w:cstheme="majorBidi"/>
              </w:rPr>
            </w:pPr>
            <w:r>
              <w:rPr>
                <w:rFonts w:asciiTheme="majorBidi" w:hAnsiTheme="majorBidi" w:cstheme="majorBidi"/>
                <w:sz w:val="16"/>
              </w:rPr>
              <w:t xml:space="preserve">1.03</w:t>
            </w:r>
          </w:p>
        </w:tc>
        <w:tc>
          <w:tcPr>
            <w:tcW w:w="1814" w:type="dxa"/>
          </w:tcPr>
          <w:p w14:paraId="0A759335" w14:textId="77777777" w:rsidR="00F1197D" w:rsidRPr="00520EE2" w:rsidRDefault="00000000" w:rsidP="00520EE2">
            <w:pPr>
              <w:keepNext/>
              <w:spacing w:before="20" w:after="0"/>
              <w:jc w:val="both"/>
              <w:rPr>
                <w:rFonts w:asciiTheme="majorBidi" w:hAnsiTheme="majorBidi" w:cstheme="majorBidi"/>
              </w:rPr>
            </w:pPr>
            <w:r>
              <w:rPr>
                <w:rFonts w:asciiTheme="majorBidi" w:hAnsiTheme="majorBidi" w:cstheme="majorBidi"/>
                <w:sz w:val="16"/>
              </w:rPr>
              <w:t xml:space="preserve">0.749 (0.646–0.831)</w:t>
            </w:r>
          </w:p>
        </w:tc>
        <w:tc>
          <w:tcPr>
            <w:tcW w:w="2041" w:type="dxa"/>
          </w:tcPr>
          <w:p w14:paraId="5B9D141F" w14:textId="77777777" w:rsidR="00F1197D" w:rsidRPr="00520EE2" w:rsidRDefault="00000000" w:rsidP="00520EE2">
            <w:pPr>
              <w:keepNext/>
              <w:spacing w:before="20" w:after="0"/>
              <w:jc w:val="both"/>
              <w:rPr>
                <w:rFonts w:asciiTheme="majorBidi" w:hAnsiTheme="majorBidi" w:cstheme="majorBidi"/>
              </w:rPr>
            </w:pPr>
            <w:r>
              <w:rPr>
                <w:rFonts w:asciiTheme="majorBidi" w:hAnsiTheme="majorBidi" w:cstheme="majorBidi"/>
                <w:sz w:val="16"/>
              </w:rPr>
              <w:t xml:space="preserve">0.739 / 0.752 / 0.822</w:t>
            </w:r>
          </w:p>
        </w:tc>
        <w:tc>
          <w:tcPr>
            <w:tcW w:w="1814" w:type="dxa"/>
          </w:tcPr>
          <w:p w14:paraId="3419C81F" w14:textId="77777777" w:rsidR="00F1197D" w:rsidRPr="00520EE2" w:rsidRDefault="00000000" w:rsidP="00520EE2">
            <w:pPr>
              <w:keepNext/>
              <w:spacing w:before="20" w:after="0"/>
              <w:jc w:val="both"/>
              <w:rPr>
                <w:rFonts w:asciiTheme="majorBidi" w:hAnsiTheme="majorBidi" w:cstheme="majorBidi"/>
              </w:rPr>
            </w:pPr>
            <w:r>
              <w:rPr>
                <w:rFonts w:asciiTheme="majorBidi" w:hAnsiTheme="majorBidi" w:cstheme="majorBidi"/>
                <w:sz w:val="16"/>
              </w:rPr>
              <w:t xml:space="preserve">0.822 (0.607–0.969)</w:t>
            </w:r>
          </w:p>
        </w:tc>
        <w:tc>
          <w:tcPr>
            <w:tcW w:w="1247" w:type="dxa"/>
          </w:tcPr>
          <w:p w14:paraId="5C1F2573" w14:textId="77777777" w:rsidR="00F1197D" w:rsidRPr="00520EE2" w:rsidRDefault="00000000" w:rsidP="00520EE2">
            <w:pPr>
              <w:keepNext/>
              <w:spacing w:before="20" w:after="0"/>
              <w:jc w:val="both"/>
              <w:rPr>
                <w:rFonts w:asciiTheme="majorBidi" w:hAnsiTheme="majorBidi" w:cstheme="majorBidi"/>
              </w:rPr>
            </w:pPr>
            <w:r>
              <w:rPr>
                <w:rFonts w:asciiTheme="majorBidi" w:hAnsiTheme="majorBidi" w:cstheme="majorBidi"/>
                <w:sz w:val="16"/>
              </w:rPr>
              <w:t xml:space="preserve">1.08</w:t>
            </w:r>
          </w:p>
        </w:tc>
      </w:tr>
      <w:tr w:rsidR="00F1197D" w:rsidRPr="00520EE2" w14:paraId="18211676" w14:textId="77777777">
        <w:trPr>
          <w:cantSplit/>
          <w:jc w:val="center"/>
        </w:trPr>
        <w:tc>
          <w:tcPr>
            <w:tcW w:w="2494" w:type="dxa"/>
          </w:tcPr>
          <w:p w14:paraId="5E8158B1"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Final set without ASA (7 predictors)</w:t>
            </w:r>
          </w:p>
        </w:tc>
        <w:tc>
          <w:tcPr>
            <w:tcW w:w="1814" w:type="dxa"/>
          </w:tcPr>
          <w:p w14:paraId="23346AA6"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0.755 (0.667–0.838)</w:t>
            </w:r>
          </w:p>
        </w:tc>
        <w:tc>
          <w:tcPr>
            <w:tcW w:w="1247" w:type="dxa"/>
          </w:tcPr>
          <w:p w14:paraId="2CEC2ECF"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0.772</w:t>
            </w:r>
          </w:p>
        </w:tc>
        <w:tc>
          <w:tcPr>
            <w:tcW w:w="1247" w:type="dxa"/>
          </w:tcPr>
          <w:p w14:paraId="7BCC8021"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1.04</w:t>
            </w:r>
          </w:p>
        </w:tc>
        <w:tc>
          <w:tcPr>
            <w:tcW w:w="1814" w:type="dxa"/>
          </w:tcPr>
          <w:p w14:paraId="6F5C7662"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0.768 (0.665–0.846)</w:t>
            </w:r>
          </w:p>
        </w:tc>
        <w:tc>
          <w:tcPr>
            <w:tcW w:w="2041" w:type="dxa"/>
          </w:tcPr>
          <w:p w14:paraId="49368C4E"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0.760 / 0.728 / 0.847</w:t>
            </w:r>
          </w:p>
        </w:tc>
        <w:tc>
          <w:tcPr>
            <w:tcW w:w="1814" w:type="dxa"/>
          </w:tcPr>
          <w:p w14:paraId="4CB16C2B"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0.847 (0.641–0.972)</w:t>
            </w:r>
          </w:p>
        </w:tc>
        <w:tc>
          <w:tcPr>
            <w:tcW w:w="1247" w:type="dxa"/>
          </w:tcPr>
          <w:p w14:paraId="4D8F93AC" w14:textId="77777777" w:rsidR="00F1197D" w:rsidRPr="00520EE2" w:rsidRDefault="00000000" w:rsidP="00520EE2">
            <w:pPr>
              <w:spacing w:before="20" w:after="0"/>
              <w:jc w:val="both"/>
              <w:rPr>
                <w:rFonts w:asciiTheme="majorBidi" w:hAnsiTheme="majorBidi" w:cstheme="majorBidi"/>
              </w:rPr>
            </w:pPr>
            <w:r>
              <w:rPr>
                <w:rFonts w:asciiTheme="majorBidi" w:hAnsiTheme="majorBidi" w:cstheme="majorBidi"/>
                <w:sz w:val="16"/>
              </w:rPr>
              <w:t xml:space="preserve">1.25</w:t>
            </w:r>
          </w:p>
        </w:tc>
      </w:tr>
    </w:tbl>
    <w:p w14:paraId="486772B3" w14:textId="77777777" w:rsidR="00BC7117" w:rsidRPr="00520EE2" w:rsidRDefault="00BC7117" w:rsidP="00520EE2">
      <w:pPr>
        <w:jc w:val="both"/>
        <w:rPr>
          <w:rFonts w:asciiTheme="majorBidi" w:hAnsiTheme="majorBidi" w:cstheme="majorBidi"/>
        </w:rPr>
      </w:pPr>
    </w:p>
    <w:sectPr w:rsidR="00BC7117" w:rsidRPr="00520EE2" w:rsidSect="00034616">
      <w:footerReference w:type="default" r:id="rId14"/>
      <w:pgSz w:w="15840" w:h="12240" w:orient="landscape"/>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1277035" w14:textId="77777777" w:rsidR="00F27BB9" w:rsidRDefault="00F27BB9">
      <w:pPr>
        <w:spacing w:after="0" w:line="240" w:lineRule="auto"/>
      </w:pPr>
      <w:r>
        <w:separator/>
      </w:r>
    </w:p>
  </w:endnote>
  <w:endnote w:type="continuationSeparator" w:id="0">
    <w:p w14:paraId="2B30D2DF" w14:textId="77777777" w:rsidR="00F27BB9" w:rsidRDefault="00F27B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97EBE64" w14:textId="77777777" w:rsidR="00F1197D" w:rsidRDefault="00000000">
    <w:pPr>
      <w:pStyle w:val="Footer"/>
      <w:jc w:val="center"/>
    </w:pPr>
    <w:r>
      <w:rPr>
        <w:sz w:val="16"/>
      </w:rPr>
      <w:t xml:space="preserve">Online Resource 3 – page </w:t>
    </w:r>
    <w:r>
      <w:rPr>
        <w:sz w:val="16"/>
      </w:rPr>
      <w:fldChar w:fldCharType="begin"/>
    </w:r>
    <w:r>
      <w:rPr>
        <w:sz w:val="16"/>
      </w:rPr>
      <w:instrText>PAGE</w:instrText>
    </w:r>
    <w:r>
      <w:rPr>
        <w:sz w:val="16"/>
      </w:rPr>
      <w:fldChar w:fldCharType="separate"/>
    </w:r>
    <w:r w:rsidR="003D5025">
      <w:rPr>
        <w:noProof/>
        <w:sz w:val="16"/>
      </w:rPr>
      <w:t>1</w:t>
    </w:r>
    <w:r>
      <w:rPr>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1411253" w14:textId="77777777" w:rsidR="00F1197D" w:rsidRDefault="00000000">
    <w:pPr>
      <w:pStyle w:val="Footer"/>
      <w:jc w:val="center"/>
    </w:pPr>
    <w:r>
      <w:rPr>
        <w:sz w:val="16"/>
      </w:rPr>
      <w:t xml:space="preserve">Online Resource 3 – page </w:t>
    </w:r>
    <w:r>
      <w:rPr>
        <w:sz w:val="16"/>
      </w:rPr>
      <w:fldChar w:fldCharType="begin"/>
    </w:r>
    <w:r>
      <w:rPr>
        <w:sz w:val="16"/>
      </w:rPr>
      <w:instrText>PAGE</w:instrText>
    </w:r>
    <w:r>
      <w:rPr>
        <w:sz w:val="16"/>
      </w:rPr>
      <w:fldChar w:fldCharType="separate"/>
    </w:r>
    <w:r w:rsidR="003D5025">
      <w:rPr>
        <w:noProof/>
        <w:sz w:val="16"/>
      </w:rPr>
      <w:t>2</w:t>
    </w:r>
    <w:r>
      <w:rPr>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82C4DDC" w14:textId="77777777" w:rsidR="00F1197D" w:rsidRDefault="00000000">
    <w:pPr>
      <w:pStyle w:val="Footer"/>
      <w:jc w:val="center"/>
    </w:pPr>
    <w:r>
      <w:rPr>
        <w:sz w:val="16"/>
      </w:rPr>
      <w:t xml:space="preserve">Online Resource 3 – page </w:t>
    </w:r>
    <w:r>
      <w:rPr>
        <w:sz w:val="16"/>
      </w:rPr>
      <w:fldChar w:fldCharType="begin"/>
    </w:r>
    <w:r>
      <w:rPr>
        <w:sz w:val="16"/>
      </w:rPr>
      <w:instrText>PAGE</w:instrText>
    </w:r>
    <w:r>
      <w:rPr>
        <w:sz w:val="16"/>
      </w:rPr>
      <w:fldChar w:fldCharType="separate"/>
    </w:r>
    <w:r w:rsidR="003D5025">
      <w:rPr>
        <w:noProof/>
        <w:sz w:val="16"/>
      </w:rPr>
      <w:t>3</w:t>
    </w:r>
    <w:r>
      <w:rPr>
        <w:sz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ADDE7DC" w14:textId="77777777" w:rsidR="00F1197D" w:rsidRDefault="00000000">
    <w:pPr>
      <w:pStyle w:val="Footer"/>
      <w:jc w:val="center"/>
    </w:pPr>
    <w:r>
      <w:rPr>
        <w:sz w:val="16"/>
      </w:rPr>
      <w:t xml:space="preserve">Online Resource 3 – page </w:t>
    </w:r>
    <w:r>
      <w:rPr>
        <w:sz w:val="16"/>
      </w:rPr>
      <w:fldChar w:fldCharType="begin"/>
    </w:r>
    <w:r>
      <w:rPr>
        <w:sz w:val="16"/>
      </w:rPr>
      <w:instrText>PAGE</w:instrText>
    </w:r>
    <w:r>
      <w:rPr>
        <w:sz w:val="16"/>
      </w:rPr>
      <w:fldChar w:fldCharType="separate"/>
    </w:r>
    <w:r w:rsidR="003D5025">
      <w:rPr>
        <w:noProof/>
        <w:sz w:val="16"/>
      </w:rPr>
      <w:t>6</w:t>
    </w:r>
    <w:r>
      <w:rPr>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8955718" w14:textId="77777777" w:rsidR="00F27BB9" w:rsidRDefault="00F27BB9">
      <w:pPr>
        <w:spacing w:after="0" w:line="240" w:lineRule="auto"/>
      </w:pPr>
      <w:r>
        <w:separator/>
      </w:r>
    </w:p>
  </w:footnote>
  <w:footnote w:type="continuationSeparator" w:id="0">
    <w:p w14:paraId="79E2A8D7" w14:textId="77777777" w:rsidR="00F27BB9" w:rsidRDefault="00F27BB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70843058">
    <w:abstractNumId w:val="8"/>
  </w:num>
  <w:num w:numId="2" w16cid:durableId="687174098">
    <w:abstractNumId w:val="6"/>
  </w:num>
  <w:num w:numId="3" w16cid:durableId="1240214741">
    <w:abstractNumId w:val="5"/>
  </w:num>
  <w:num w:numId="4" w16cid:durableId="72972112">
    <w:abstractNumId w:val="4"/>
  </w:num>
  <w:num w:numId="5" w16cid:durableId="1089930163">
    <w:abstractNumId w:val="7"/>
  </w:num>
  <w:num w:numId="6" w16cid:durableId="356389032">
    <w:abstractNumId w:val="3"/>
  </w:num>
  <w:num w:numId="7" w16cid:durableId="1003898539">
    <w:abstractNumId w:val="2"/>
  </w:num>
  <w:num w:numId="8" w16cid:durableId="1558322245">
    <w:abstractNumId w:val="1"/>
  </w:num>
  <w:num w:numId="9" w16cid:durableId="206714368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3"/>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373"/>
    <w:rsid w:val="00034616"/>
    <w:rsid w:val="0006063C"/>
    <w:rsid w:val="0015074B"/>
    <w:rsid w:val="0029639D"/>
    <w:rsid w:val="00326F90"/>
    <w:rsid w:val="003D4A30"/>
    <w:rsid w:val="003D5025"/>
    <w:rsid w:val="00403459"/>
    <w:rsid w:val="00520EE2"/>
    <w:rsid w:val="007169FE"/>
    <w:rsid w:val="008A73E2"/>
    <w:rsid w:val="00AA1D8D"/>
    <w:rsid w:val="00B47730"/>
    <w:rsid w:val="00BC7117"/>
    <w:rsid w:val="00CB0664"/>
    <w:rsid w:val="00F1197D"/>
    <w:rsid w:val="00F27BB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CF64DB5"/>
  <w14:defaultImageDpi w14:val="300"/>
  <w15:docId w15:val="{8AE6211D-C2AB-024E-829B-EFABD4ABE5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eastAsia="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3D502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oa.bendorziv@studio.unibo.it" TargetMode="External"/><Relationship Id="rId13"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 Id="rId17"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4550</Words>
  <Characters>26076</Characters>
  <Application>Microsoft Office Word</Application>
  <DocSecurity>0</DocSecurity>
  <Lines>1241</Lines>
  <Paragraphs>1093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29533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Noa Ben Dor</cp:lastModifiedBy>
  <cp:revision>5</cp:revision>
  <dcterms:created xsi:type="dcterms:W3CDTF">2013-12-23T23:15:00Z</dcterms:created>
  <dcterms:modified xsi:type="dcterms:W3CDTF">2026-09-25T19:08:00Z</dcterms:modified>
  <cp:category/>
</cp:coreProperties>
</file>