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1" w:name="supplementary-information-for"/>
    <w:p>
      <w:pPr>
        <w:pStyle w:val="Heading1"/>
        <w:spacing w:before="160" w:after="80" w:line="276" w:lineRule="auto"/>
      </w:pPr>
      <w:r>
        <w:t xml:space="preserve">Supplementary Information for</w:t>
      </w:r>
    </w:p>
    <w:p>
      <w:pPr>
        <w:pStyle w:val="FirstParagraph"/>
        <w:spacing w:before="40" w:after="200" w:line="480" w:lineRule="auto"/>
        <w:rPr>
          <w:sz w:val="22"/>
        </w:rPr>
      </w:pPr>
      <w:r>
        <w:rPr>
          <w:rFonts w:ascii="Cambria" w:hAnsi="Cambria"/>
          <w:b/>
          <w:bCs/>
          <w:sz w:val="22"/>
        </w:rPr>
        <w:t xml:space="preserve">Regional synchrony amplifies the fire signal in global CO₂ growth rate</w:t>
      </w:r>
    </w:p>
    <w:p>
      <w:pPr>
        <w:pStyle w:val="BodyText"/>
        <w:spacing w:before="40" w:after="200" w:line="480" w:lineRule="auto"/>
        <w:rPr>
          <w:sz w:val="22"/>
        </w:rPr>
      </w:pPr>
      <w:r>
        <w:rPr>
          <w:rFonts w:ascii="Cambria" w:hAnsi="Cambria"/>
          <w:sz w:val="22"/>
        </w:rPr>
        <w:t xml:space="preserve">Sudhanshu Pandey</w:t>
      </w:r>
      <w:r>
        <w:rPr>
          <w:rFonts w:ascii="Cambria" w:hAnsi="Cambria"/>
          <w:sz w:val="22"/>
          <w:vertAlign w:val="superscript"/>
        </w:rPr>
        <w:t xml:space="preserve">1,*</w:t>
      </w:r>
      <w:r>
        <w:rPr>
          <w:rFonts w:ascii="Cambria" w:hAnsi="Cambria"/>
          <w:sz w:val="22"/>
        </w:rPr>
        <w:t xml:space="preserve">, Kevin W. Bowman</w:t>
      </w:r>
      <w:r>
        <w:rPr>
          <w:rFonts w:ascii="Cambria" w:hAnsi="Cambria"/>
          <w:sz w:val="22"/>
          <w:vertAlign w:val="superscript"/>
        </w:rPr>
        <w:t xml:space="preserve">1</w:t>
      </w:r>
      <w:r>
        <w:rPr>
          <w:rFonts w:ascii="Cambria" w:hAnsi="Cambria"/>
          <w:sz w:val="22"/>
        </w:rPr>
        <w:t xml:space="preserve">, Jeongmin Yun</w:t>
      </w:r>
      <w:r>
        <w:rPr>
          <w:rFonts w:ascii="Cambria" w:hAnsi="Cambria"/>
          <w:sz w:val="22"/>
          <w:vertAlign w:val="superscript"/>
        </w:rPr>
        <w:t xml:space="preserve">1</w:t>
      </w:r>
      <w:r>
        <w:rPr>
          <w:rFonts w:ascii="Cambria" w:hAnsi="Cambria"/>
          <w:sz w:val="22"/>
        </w:rPr>
        <w:t xml:space="preserve">, Junjie Liu</w:t>
      </w:r>
      <w:r>
        <w:rPr>
          <w:rFonts w:ascii="Cambria" w:hAnsi="Cambria"/>
          <w:sz w:val="22"/>
          <w:vertAlign w:val="superscript"/>
        </w:rPr>
        <w:t xml:space="preserve">1</w:t>
      </w:r>
      <w:r>
        <w:rPr>
          <w:rFonts w:ascii="Cambria" w:hAnsi="Cambria"/>
          <w:sz w:val="22"/>
        </w:rPr>
        <w:t xml:space="preserve">, A. Anthony Bloom</w:t>
      </w:r>
      <w:r>
        <w:rPr>
          <w:rFonts w:ascii="Cambria" w:hAnsi="Cambria"/>
          <w:sz w:val="22"/>
          <w:vertAlign w:val="superscript"/>
        </w:rPr>
        <w:t xml:space="preserve">1</w:t>
      </w:r>
      <w:r>
        <w:rPr>
          <w:rFonts w:ascii="Cambria" w:hAnsi="Cambria"/>
          <w:sz w:val="22"/>
        </w:rPr>
        <w:t xml:space="preserve">, James T. Randerson</w:t>
      </w:r>
      <w:r>
        <w:rPr>
          <w:rFonts w:ascii="Cambria" w:hAnsi="Cambria"/>
          <w:sz w:val="22"/>
          <w:vertAlign w:val="superscript"/>
        </w:rPr>
        <w:t xml:space="preserve">2</w:t>
      </w:r>
    </w:p>
    <w:p>
      <w:pPr>
        <w:pStyle w:val="BodyText"/>
        <w:spacing w:before="40" w:after="200" w:line="480" w:lineRule="auto"/>
        <w:rPr>
          <w:sz w:val="22"/>
        </w:rPr>
      </w:pPr>
      <w:r>
        <w:rPr>
          <w:rFonts w:ascii="Cambria" w:hAnsi="Cambria"/>
          <w:sz w:val="22"/>
          <w:vertAlign w:val="superscript"/>
        </w:rPr>
        <w:t xml:space="preserve">1</w:t>
      </w:r>
      <w:r>
        <w:rPr>
          <w:rFonts w:ascii="Cambria" w:hAnsi="Cambria"/>
          <w:sz w:val="22"/>
        </w:rPr>
        <w:t xml:space="preserve">NASA Jet Propulsion Laboratory, California Institute of Technology, Pasadena, CA 91109, USA</w:t>
      </w:r>
    </w:p>
    <w:p>
      <w:pPr>
        <w:pStyle w:val="BodyText"/>
        <w:spacing w:before="40" w:after="200" w:line="480" w:lineRule="auto"/>
        <w:rPr>
          <w:sz w:val="22"/>
        </w:rPr>
      </w:pPr>
      <w:r>
        <w:rPr>
          <w:rFonts w:ascii="Cambria" w:hAnsi="Cambria"/>
          <w:sz w:val="22"/>
          <w:vertAlign w:val="superscript"/>
        </w:rPr>
        <w:t xml:space="preserve">2</w:t>
      </w:r>
      <w:r>
        <w:rPr>
          <w:rFonts w:ascii="Cambria" w:hAnsi="Cambria"/>
          <w:sz w:val="22"/>
        </w:rPr>
        <w:t xml:space="preserve">Department of Earth System Science, University of California, Irvine, CA 92697, USA</w:t>
      </w:r>
    </w:p>
    <w:p>
      <w:pPr>
        <w:pStyle w:val="BodyText"/>
        <w:spacing w:before="40" w:after="200" w:line="480" w:lineRule="auto"/>
        <w:rPr>
          <w:sz w:val="22"/>
        </w:rPr>
      </w:pPr>
      <w:r>
        <w:rPr>
          <w:rFonts w:ascii="Cambria" w:hAnsi="Cambria"/>
          <w:sz w:val="22"/>
          <w:vertAlign w:val="superscript"/>
        </w:rPr>
        <w:t xml:space="preserve">*</w:t>
      </w:r>
      <w:r>
        <w:rPr>
          <w:rFonts w:ascii="Cambria" w:hAnsi="Cambria"/>
          <w:sz w:val="22"/>
        </w:rPr>
        <w:t xml:space="preserve">Correspondence: sudhanshu.pandey@jpl.nasa.gov</w:t>
      </w:r>
    </w:p>
    <w:p>
      <w:pPr>
        <w:spacing w:before="40" w:after="200" w:line="480" w:lineRule="auto"/>
        <w:rPr>
          <w:sz w:val="22"/>
        </w:rPr>
      </w:pPr>
      <w:r>
        <w:rPr>
          <w:rFonts w:ascii="Cambria" w:hAnsi="Cambria"/>
          <w:sz w:val="22"/>
        </w:rPr>
        <w:pict>
          <v:rect style="width:0;height:1.5pt" o:hralign="center" o:hrstd="t" o:hr="t"/>
        </w:pict>
      </w:r>
    </w:p>
    <w:bookmarkStart w:id="21" w:name="X069bdb890dbcb411c1ef31fe2c7ee592395739b"/>
    <w:p>
      <w:pPr>
        <w:pStyle w:val="Heading2"/>
        <w:spacing w:before="160" w:after="80" w:line="276" w:lineRule="auto"/>
      </w:pPr>
      <w:r>
        <w:t xml:space="preserve">Supplementary Note 1 | Robustness of regional fire synchronization</w:t>
      </w:r>
    </w:p>
    <w:p>
      <w:pPr>
        <w:pStyle w:val="FirstParagraph"/>
        <w:spacing w:before="40" w:after="200" w:line="480" w:lineRule="auto"/>
        <w:rPr>
          <w:sz w:val="22"/>
        </w:rPr>
      </w:pPr>
      <w:r>
        <w:rPr>
          <w:rFonts w:ascii="Cambria" w:hAnsi="Cambria"/>
          <w:sz w:val="22"/>
        </w:rPr>
        <w:t xml:space="preserve">The main result uses annual carbon emissions from the Global Fire Emissions Database (GFED), so these tests ask how far it depends on that choice: they vary the time over which emissions are aggregated, replace modelled carbon with the burned area it is derived from, and repeat the comparison in an alternative emissions product. Cross-region reinforcement appears in all three.</w:t>
      </w:r>
    </w:p>
    <w:bookmarkStart w:id="12" w:name="Xe4a8f861ab76cbbcd63ff7586dab5d580ba22d2"/>
    <w:p>
      <w:pPr>
        <w:pStyle w:val="Heading3"/>
        <w:spacing w:before="160" w:after="80" w:line="276" w:lineRule="auto"/>
      </w:pPr>
      <w:r>
        <w:t xml:space="preserve">1A. Seasonal timing of the cross-region covariance</w:t>
      </w:r>
    </w:p>
    <w:p>
      <w:pPr>
        <w:pStyle w:val="FirstParagraph"/>
        <w:spacing w:before="40" w:after="200" w:line="480" w:lineRule="auto"/>
        <w:rPr>
          <w:sz w:val="22"/>
        </w:rPr>
      </w:pPr>
      <w:r>
        <w:rPr>
          <w:rFonts w:ascii="Cambria" w:hAnsi="Cambria"/>
          <w:sz w:val="22"/>
        </w:rPr>
        <w:t xml:space="preserve">Synchronization is measured here from annual totals, even though the 14 regions burn in different months: an annual total carries the covariance between emissions that occur in different months, which a same-month comparison leaves out, so fire seasons that never overlap can still reinforce one another within a year. Repeating the two-window variance decomposition on monthly emissions and on emissions summed over meteorological seasons (DJF, MAM, JJA and SON) shows how much this matters. The covariance contribution to the increase in global fire variance is largest for annual sums, 84%, and smaller at the seasonal and monthly scales (Supplementary Fig. 1a); coherence, the mean pairwise cross-region correlation (Methods), likewise increases most for annual sums, from −0.03 to +0.15 (Supplementary Fig. 1b).</w:t>
      </w:r>
    </w:p>
    <w:p>
      <w:pPr>
        <w:pStyle w:val="BodyText"/>
        <w:spacing w:before="40" w:after="200" w:line="480" w:lineRule="auto"/>
        <w:rPr>
          <w:sz w:val="22"/>
        </w:rPr>
      </w:pPr>
      <w:r>
        <w:rPr>
          <w:rFonts w:ascii="Cambria" w:hAnsi="Cambria"/>
          <w:sz w:val="22"/>
        </w:rPr>
        <w:t xml:space="preserve">A second calculation asks how the recent cross-region covariance is distributed in time. Regions whose fire seasons barely overlap can still covary strongly in their annual totals: Boreal Asia burns mainly in April–July and Southeast Asia in January–April (Supplementary Table 2), yet their annual anomalies reinforced one another in 2015–2024 (</w:t>
      </w:r>
      <w:r>
        <w:rPr>
          <w:rFonts w:ascii="Cambria" w:hAnsi="Cambria"/>
          <w:i/>
          <w:iCs/>
          <w:sz w:val="22"/>
        </w:rPr>
        <w:t xml:space="preserve">r</w:t>
      </w:r>
      <w:r>
        <w:rPr>
          <w:rFonts w:ascii="Cambria" w:hAnsi="Cambria"/>
          <w:sz w:val="22"/>
        </w:rPr>
        <w:t xml:space="preserve"> </w:t>
      </w:r>
      <w:r>
        <w:rPr>
          <w:rFonts w:ascii="Cambria" w:hAnsi="Cambria"/>
          <w:sz w:val="22"/>
        </w:rPr>
        <w:t xml:space="preserve">= +0.75, against −0.34 in 2001–2010). Across all region pairs, emissions in the same month supply 5.8% of the covariance of calendar-year totals; in December–November totals, which assign December to the following year’s DJF, emissions in the same meteorological season supply 31% and emissions in different seasons the remaining 69%. The two shares rest on different annual bases, and a region pair can contribute to both the same-season and the different-season term. The exact shares depend on how the monthly and seasonal series are detrended: detrending each calendar month or season separately, which also reproduces the annual covariance exactly, gives 1.2% and 19%, but emissions in different seasons still supply most of the covariance. Regional fire synchronization is therefore same-year reinforcement among seasonally separated fires rather than globally simultaneous burning.</w:t>
      </w:r>
    </w:p>
    <w:p>
      <w:pPr>
        <w:pStyle w:val="BodyText"/>
        <w:spacing w:before="40" w:after="120" w:line="480" w:lineRule="auto"/>
        <w:jc w:val="center"/>
        <w:rPr>
          <w:sz w:val="22"/>
        </w:rPr>
        <w:pBdr>
          <w:bottom w:val="single" w:sz="4" w:space="6" w:color="AAAAAA"/>
        </w:pBdr>
      </w:pPr>
      <w:r>
        <w:drawing>
          <wp:inline>
            <wp:extent cx="6332220" cy="2525739"/>
            <wp:effectExtent b="0" l="0" r="0" t="0"/>
            <wp:docPr descr="" title="" id="10" name="Picture"/>
            <a:graphic>
              <a:graphicData uri="http://schemas.openxmlformats.org/drawingml/2006/picture">
                <pic:pic>
                  <pic:nvPicPr>
                    <pic:cNvPr descr="/mnt/data3/pandeysu/tmp_pandey/tmp.Hv0Aiv9d4e/si/figs/SuppFig1_aggregation_scales.png" id="11" name="Picture"/>
                    <pic:cNvPicPr>
                      <a:picLocks noChangeArrowheads="1" noChangeAspect="1"/>
                    </pic:cNvPicPr>
                  </pic:nvPicPr>
                  <pic:blipFill>
                    <a:blip r:embed="rId9"/>
                    <a:stretch>
                      <a:fillRect/>
                    </a:stretch>
                  </pic:blipFill>
                  <pic:spPr bwMode="auto">
                    <a:xfrm>
                      <a:off x="0" y="0"/>
                      <a:ext cx="6332220" cy="2525739"/>
                    </a:xfrm>
                    <a:prstGeom prst="rect">
                      <a:avLst/>
                    </a:prstGeom>
                    <a:noFill/>
                    <a:ln w="9525">
                      <a:noFill/>
                      <a:headEnd/>
                      <a:tailEnd/>
                    </a:ln>
                  </pic:spPr>
                </pic:pic>
              </a:graphicData>
            </a:graphic>
          </wp:inline>
        </w:drawing>
      </w:r>
    </w:p>
    <w:p>
      <w:pPr>
        <w:pStyle w:val="BodyText"/>
        <w:spacing w:before="40" w:after="200" w:line="480" w:lineRule="auto"/>
        <w:rPr>
          <w:sz w:val="22"/>
        </w:rPr>
      </w:pPr>
      <w:r>
        <w:rPr>
          <w:rFonts w:ascii="Cambria" w:hAnsi="Cambria"/>
          <w:b/>
          <w:bCs/>
          <w:sz w:val="22"/>
        </w:rPr>
        <w:t xml:space="preserve">Supplementary Fig. 1 | Synchronization across aggregation scales.</w:t>
      </w:r>
      <w:r>
        <w:rPr>
          <w:rFonts w:ascii="Cambria" w:hAnsi="Cambria"/>
          <w:sz w:val="22"/>
        </w:rPr>
        <w:t xml:space="preserve"> </w:t>
      </w:r>
      <w:r>
        <w:rPr>
          <w:rFonts w:ascii="Cambria" w:hAnsi="Cambria"/>
          <w:b/>
          <w:bCs/>
          <w:sz w:val="22"/>
        </w:rPr>
        <w:t xml:space="preserve">a,</w:t>
      </w:r>
      <w:r>
        <w:rPr>
          <w:rFonts w:ascii="Cambria" w:hAnsi="Cambria"/>
          <w:sz w:val="22"/>
        </w:rPr>
        <w:t xml:space="preserve"> </w:t>
      </w:r>
      <w:r>
        <w:rPr>
          <w:rFonts w:ascii="Cambria" w:hAnsi="Cambria"/>
          <w:sz w:val="22"/>
        </w:rPr>
        <w:t xml:space="preserve">Covariance contribution to the change in global fire variance between 2001–2010 and 2015–2024 when regional emissions are aggregated monthly, to fixed meteorological seasons (DJF, MAM, JJA and SON) or annually.</w:t>
      </w:r>
      <w:r>
        <w:rPr>
          <w:rFonts w:ascii="Cambria" w:hAnsi="Cambria"/>
          <w:sz w:val="22"/>
        </w:rPr>
        <w:t xml:space="preserve"> </w:t>
      </w:r>
      <w:r>
        <w:rPr>
          <w:rFonts w:ascii="Cambria" w:hAnsi="Cambria"/>
          <w:b/>
          <w:bCs/>
          <w:sz w:val="22"/>
        </w:rPr>
        <w:t xml:space="preserve">b,</w:t>
      </w:r>
      <w:r>
        <w:rPr>
          <w:rFonts w:ascii="Cambria" w:hAnsi="Cambria"/>
          <w:sz w:val="22"/>
        </w:rPr>
        <w:t xml:space="preserve"> </w:t>
      </w:r>
      <w:r>
        <w:rPr>
          <w:rFonts w:ascii="Cambria" w:hAnsi="Cambria"/>
          <w:sz w:val="22"/>
        </w:rPr>
        <w:t xml:space="preserve">Coherence (mean pairwise cross-region correlation) of within-window detrended anomalies at the three aggregation scales; blue bars, 2001–2010; red bars, 2015–2024. Seasonal values use December–November years, with December assigned to the following year’s DJF; monthly and annual values use calendar years.</w:t>
      </w:r>
    </w:p>
    <w:bookmarkEnd w:id="12"/>
    <w:bookmarkStart w:id="16" w:name="X1a44e954f22c00e74d5a7ae792b3de8efd20bd0"/>
    <w:p>
      <w:pPr>
        <w:pStyle w:val="Heading3"/>
        <w:spacing w:before="160" w:after="80" w:line="276" w:lineRule="auto"/>
      </w:pPr>
      <w:r>
        <w:t xml:space="preserve">1B. Sensitivity to using burned area instead of fire carbon</w:t>
      </w:r>
    </w:p>
    <w:p>
      <w:pPr>
        <w:pStyle w:val="FirstParagraph"/>
        <w:spacing w:before="40" w:after="200" w:line="480" w:lineRule="auto"/>
        <w:rPr>
          <w:sz w:val="22"/>
        </w:rPr>
      </w:pPr>
      <w:r>
        <w:rPr>
          <w:rFonts w:ascii="Cambria" w:hAnsi="Cambria"/>
          <w:sz w:val="22"/>
        </w:rPr>
        <w:t xml:space="preserve">In GFED, fire-carbon emissions are burned area multiplied by modelled fuel consumption. Repeating the analysis on the burned area alone tests whether the synchronization is already present in the extent of burning, before that conversion. The coherence of burned area rose by about as much as that of fire carbon (Supplementary Fig. 2a), and global burned area declined between the windows while its year-to-year variability rose (Supplementary Fig. 2b). The synchronization therefore appears in the extent of burning itself rather than in the modelling that converts it to carbon, although the amplification of variability was stronger for carbon than for burned area (Supplementary Table 4).</w:t>
      </w:r>
    </w:p>
    <w:p>
      <w:pPr>
        <w:pStyle w:val="BodyText"/>
        <w:spacing w:before="40" w:after="200" w:line="480" w:lineRule="auto"/>
        <w:rPr>
          <w:sz w:val="22"/>
        </w:rPr>
      </w:pPr>
      <w:r>
        <w:rPr>
          <w:rFonts w:ascii="Cambria" w:hAnsi="Cambria"/>
          <w:sz w:val="22"/>
        </w:rPr>
        <w:t xml:space="preserve">Regional annual burned area is the GFED5.1 ecosystem burned-area field</w:t>
      </w:r>
      <w:r>
        <w:rPr>
          <w:rFonts w:ascii="Cambria" w:hAnsi="Cambria"/>
          <w:sz w:val="22"/>
          <w:vertAlign w:val="superscript"/>
        </w:rPr>
        <w:t xml:space="preserve">1</w:t>
      </w:r>
      <w:r>
        <w:rPr>
          <w:rFonts w:ascii="Cambria" w:hAnsi="Cambria"/>
          <w:sz w:val="22"/>
        </w:rPr>
        <w:t xml:space="preserve"> </w:t>
      </w:r>
      <w:r>
        <w:rPr>
          <w:rFonts w:ascii="Cambria" w:hAnsi="Cambria"/>
          <w:sz w:val="22"/>
        </w:rPr>
        <w:t xml:space="preserve">summed over each basis region for 2002–2022, with GFED5NRT</w:t>
      </w:r>
      <w:r>
        <w:rPr>
          <w:rFonts w:ascii="Cambria" w:hAnsi="Cambria"/>
          <w:sz w:val="22"/>
          <w:vertAlign w:val="superscript"/>
        </w:rPr>
        <w:t xml:space="preserve">2,3</w:t>
      </w:r>
      <w:r>
        <w:rPr>
          <w:rFonts w:ascii="Cambria" w:hAnsi="Cambria"/>
          <w:sz w:val="22"/>
        </w:rPr>
        <w:t xml:space="preserve"> </w:t>
      </w:r>
      <w:r>
        <w:rPr>
          <w:rFonts w:ascii="Cambria" w:hAnsi="Cambria"/>
          <w:sz w:val="22"/>
        </w:rPr>
        <w:t xml:space="preserve">for 2023–2024 and the GFED5 archive</w:t>
      </w:r>
      <w:r>
        <w:rPr>
          <w:rFonts w:ascii="Cambria" w:hAnsi="Cambria"/>
          <w:sz w:val="22"/>
          <w:vertAlign w:val="superscript"/>
        </w:rPr>
        <w:t xml:space="preserve">4</w:t>
      </w:r>
      <w:r>
        <w:rPr>
          <w:rFonts w:ascii="Cambria" w:hAnsi="Cambria"/>
          <w:sz w:val="22"/>
        </w:rPr>
        <w:t xml:space="preserve"> </w:t>
      </w:r>
      <w:r>
        <w:rPr>
          <w:rFonts w:ascii="Cambria" w:hAnsi="Cambria"/>
          <w:sz w:val="22"/>
        </w:rPr>
        <w:t xml:space="preserve">for 2001 rescaled to GFED5.1 by region-specific factors from the 2002–2020 overlap; all factors are within 5% of one, and the rescaling moves the early-window coherence by 0.002.</w:t>
      </w:r>
    </w:p>
    <w:p>
      <w:pPr>
        <w:pStyle w:val="BodyText"/>
        <w:spacing w:before="40" w:after="120" w:line="480" w:lineRule="auto"/>
        <w:jc w:val="center"/>
        <w:rPr>
          <w:sz w:val="22"/>
        </w:rPr>
        <w:pBdr>
          <w:bottom w:val="single" w:sz="4" w:space="6" w:color="AAAAAA"/>
        </w:pBdr>
      </w:pPr>
      <w:r>
        <w:drawing>
          <wp:inline>
            <wp:extent cx="6332220" cy="2323203"/>
            <wp:effectExtent b="0" l="0" r="0" t="0"/>
            <wp:docPr descr="" title="" id="14" name="Picture"/>
            <a:graphic>
              <a:graphicData uri="http://schemas.openxmlformats.org/drawingml/2006/picture">
                <pic:pic>
                  <pic:nvPicPr>
                    <pic:cNvPr descr="/mnt/data3/pandeysu/tmp_pandey/tmp.Hv0Aiv9d4e/si/figs/SuppFig2_burned_area_synchronization.png" id="15" name="Picture"/>
                    <pic:cNvPicPr>
                      <a:picLocks noChangeArrowheads="1" noChangeAspect="1"/>
                    </pic:cNvPicPr>
                  </pic:nvPicPr>
                  <pic:blipFill>
                    <a:blip r:embed="rId13"/>
                    <a:stretch>
                      <a:fillRect/>
                    </a:stretch>
                  </pic:blipFill>
                  <pic:spPr bwMode="auto">
                    <a:xfrm>
                      <a:off x="0" y="0"/>
                      <a:ext cx="6332220" cy="2323203"/>
                    </a:xfrm>
                    <a:prstGeom prst="rect">
                      <a:avLst/>
                    </a:prstGeom>
                    <a:noFill/>
                    <a:ln w="9525">
                      <a:noFill/>
                      <a:headEnd/>
                      <a:tailEnd/>
                    </a:ln>
                  </pic:spPr>
                </pic:pic>
              </a:graphicData>
            </a:graphic>
          </wp:inline>
        </w:drawing>
      </w:r>
    </w:p>
    <w:p>
      <w:pPr>
        <w:pStyle w:val="BodyText"/>
        <w:spacing w:before="40" w:after="200" w:line="480" w:lineRule="auto"/>
        <w:rPr>
          <w:sz w:val="22"/>
        </w:rPr>
      </w:pPr>
      <w:r>
        <w:rPr>
          <w:rFonts w:ascii="Cambria" w:hAnsi="Cambria"/>
          <w:b/>
          <w:bCs/>
          <w:sz w:val="22"/>
        </w:rPr>
        <w:t xml:space="preserve">Supplementary Fig. 2 | Regional synchronization in GFED burned area and fire carbon.</w:t>
      </w:r>
      <w:r>
        <w:rPr>
          <w:rFonts w:ascii="Cambria" w:hAnsi="Cambria"/>
          <w:sz w:val="22"/>
        </w:rPr>
        <w:t xml:space="preserve"> </w:t>
      </w:r>
      <w:r>
        <w:rPr>
          <w:rFonts w:ascii="Cambria" w:hAnsi="Cambria"/>
          <w:b/>
          <w:bCs/>
          <w:sz w:val="22"/>
        </w:rPr>
        <w:t xml:space="preserve">a,</w:t>
      </w:r>
      <w:r>
        <w:rPr>
          <w:rFonts w:ascii="Cambria" w:hAnsi="Cambria"/>
          <w:sz w:val="22"/>
        </w:rPr>
        <w:t xml:space="preserve"> </w:t>
      </w:r>
      <w:r>
        <w:rPr>
          <w:rFonts w:ascii="Cambria" w:hAnsi="Cambria"/>
          <w:sz w:val="22"/>
        </w:rPr>
        <w:t xml:space="preserve">Coherence (mean pairwise cross-region correlation) of within-window detrended annual anomalies in trailing ten-year windows ending 2010–2024, for burned area (grey) and fire-carbon emissions (orange); dashed lines mark the windows ending in 2010 and 2024.</w:t>
      </w:r>
      <w:r>
        <w:rPr>
          <w:rFonts w:ascii="Cambria" w:hAnsi="Cambria"/>
          <w:sz w:val="22"/>
        </w:rPr>
        <w:t xml:space="preserve"> </w:t>
      </w:r>
      <w:r>
        <w:rPr>
          <w:rFonts w:ascii="Cambria" w:hAnsi="Cambria"/>
          <w:b/>
          <w:bCs/>
          <w:sz w:val="22"/>
        </w:rPr>
        <w:t xml:space="preserve">b,</w:t>
      </w:r>
      <w:r>
        <w:rPr>
          <w:rFonts w:ascii="Cambria" w:hAnsi="Cambria"/>
          <w:sz w:val="22"/>
        </w:rPr>
        <w:t xml:space="preserve"> </w:t>
      </w:r>
      <w:r>
        <w:rPr>
          <w:rFonts w:ascii="Cambria" w:hAnsi="Cambria"/>
          <w:sz w:val="22"/>
        </w:rPr>
        <w:t xml:space="preserve">Ratio of the 2015–2024 to the 2001–2010 value for the mean global level and for the detrended standard deviation of the global total; the dotted line marks no change.</w:t>
      </w:r>
    </w:p>
    <w:bookmarkEnd w:id="16"/>
    <w:bookmarkStart w:id="20" w:name="c.-sensitivity-to-the-emissions-product"/>
    <w:p>
      <w:pPr>
        <w:pStyle w:val="Heading3"/>
        <w:spacing w:before="160" w:after="80" w:line="276" w:lineRule="auto"/>
      </w:pPr>
      <w:r>
        <w:t xml:space="preserve">1C. Sensitivity to the emissions product</w:t>
      </w:r>
    </w:p>
    <w:p>
      <w:pPr>
        <w:pStyle w:val="FirstParagraph"/>
        <w:spacing w:before="40" w:after="200" w:line="480" w:lineRule="auto"/>
        <w:rPr>
          <w:sz w:val="22"/>
        </w:rPr>
      </w:pPr>
      <w:r>
        <w:rPr>
          <w:rFonts w:ascii="Cambria" w:hAnsi="Cambria"/>
          <w:sz w:val="22"/>
        </w:rPr>
        <w:t xml:space="preserve">The Global Fire Assimilation System (GFAS) estimates emissions from satellite fire radiative power rather than from GFED’s fuel and combustion modelling</w:t>
      </w:r>
      <w:r>
        <w:rPr>
          <w:rFonts w:ascii="Cambria" w:hAnsi="Cambria"/>
          <w:sz w:val="22"/>
          <w:vertAlign w:val="superscript"/>
        </w:rPr>
        <w:t xml:space="preserve">1</w:t>
      </w:r>
      <w:r>
        <w:rPr>
          <w:rFonts w:ascii="Cambria" w:hAnsi="Cambria"/>
          <w:sz w:val="22"/>
        </w:rPr>
        <w:t xml:space="preserve">, and so tests whether the reinforcement depends on how emissions are derived; its conversion factors were calibrated against an earlier GFED version</w:t>
      </w:r>
      <w:r>
        <w:rPr>
          <w:rFonts w:ascii="Cambria" w:hAnsi="Cambria"/>
          <w:sz w:val="22"/>
          <w:vertAlign w:val="superscript"/>
        </w:rPr>
        <w:t xml:space="preserve">5</w:t>
      </w:r>
      <w:r>
        <w:rPr>
          <w:rFonts w:ascii="Cambria" w:hAnsi="Cambria"/>
          <w:sz w:val="22"/>
        </w:rPr>
        <w:t xml:space="preserve">. Over its available comparison windows, 2003–2010 and 2015–2024, GFAS reproduces the change from negative to positive cross-region covariance (−0.024 to +0.020 PgC² yr⁻²) and a similar covariance share of the change in global fire variance (Supplementary Fig. 3c); GFED restricted to finalized years, 2001–2010 against 2015–2022, retains the same sign change (Supplementary Fig. 3c,d). GFAS coherence, which weights all region pairs equally, remains −0.01 in both windows.</w:t>
      </w:r>
    </w:p>
    <w:p>
      <w:pPr>
        <w:pStyle w:val="BodyText"/>
        <w:spacing w:before="40" w:after="200" w:line="480" w:lineRule="auto"/>
        <w:rPr>
          <w:sz w:val="22"/>
        </w:rPr>
      </w:pPr>
      <w:r>
        <w:rPr>
          <w:rFonts w:ascii="Cambria" w:hAnsi="Cambria"/>
          <w:sz w:val="22"/>
        </w:rPr>
        <w:t xml:space="preserve">The reinforcement that carries the main result is therefore reproduced by GFAS, whereas the broader rise in pairwise coherence is not: in GFAS the reinforcement is concentrated in the high-variance regions rather than spread across all pairs. Both products draw on active-fire information from the Moderate Resolution Imaging Spectroradiometer (MODIS), so this comparison does not independently test satellite fire detection.</w:t>
      </w:r>
    </w:p>
    <w:p>
      <w:pPr>
        <w:pStyle w:val="BodyText"/>
        <w:spacing w:before="40" w:after="120" w:line="480" w:lineRule="auto"/>
        <w:jc w:val="center"/>
        <w:rPr>
          <w:sz w:val="22"/>
        </w:rPr>
        <w:pBdr>
          <w:bottom w:val="single" w:sz="4" w:space="6" w:color="AAAAAA"/>
        </w:pBdr>
      </w:pPr>
      <w:r>
        <w:drawing>
          <wp:inline>
            <wp:extent cx="6332220" cy="4854900"/>
            <wp:effectExtent b="0" l="0" r="0" t="0"/>
            <wp:docPr descr="" title="" id="18" name="Picture"/>
            <a:graphic>
              <a:graphicData uri="http://schemas.openxmlformats.org/drawingml/2006/picture">
                <pic:pic>
                  <pic:nvPicPr>
                    <pic:cNvPr descr="/mnt/data3/pandeysu/tmp_pandey/tmp.Hv0Aiv9d4e/si/figs/SuppFig3_fire_products.png" id="19" name="Picture"/>
                    <pic:cNvPicPr>
                      <a:picLocks noChangeArrowheads="1" noChangeAspect="1"/>
                    </pic:cNvPicPr>
                  </pic:nvPicPr>
                  <pic:blipFill>
                    <a:blip r:embed="rId17"/>
                    <a:stretch>
                      <a:fillRect/>
                    </a:stretch>
                  </pic:blipFill>
                  <pic:spPr bwMode="auto">
                    <a:xfrm>
                      <a:off x="0" y="0"/>
                      <a:ext cx="6332220" cy="4854900"/>
                    </a:xfrm>
                    <a:prstGeom prst="rect">
                      <a:avLst/>
                    </a:prstGeom>
                    <a:noFill/>
                    <a:ln w="9525">
                      <a:noFill/>
                      <a:headEnd/>
                      <a:tailEnd/>
                    </a:ln>
                  </pic:spPr>
                </pic:pic>
              </a:graphicData>
            </a:graphic>
          </wp:inline>
        </w:drawing>
      </w:r>
    </w:p>
    <w:p>
      <w:pPr>
        <w:pStyle w:val="BodyText"/>
        <w:spacing w:before="40" w:after="200" w:line="480" w:lineRule="auto"/>
        <w:rPr>
          <w:sz w:val="22"/>
        </w:rPr>
      </w:pPr>
      <w:r>
        <w:rPr>
          <w:rFonts w:ascii="Cambria" w:hAnsi="Cambria"/>
          <w:b/>
          <w:bCs/>
          <w:sz w:val="22"/>
        </w:rPr>
        <w:t xml:space="preserve">Supplementary Fig. 3 | Fire-product and sensor-transition sensitivity.</w:t>
      </w:r>
      <w:r>
        <w:rPr>
          <w:rFonts w:ascii="Cambria" w:hAnsi="Cambria"/>
          <w:sz w:val="22"/>
        </w:rPr>
        <w:t xml:space="preserve"> </w:t>
      </w:r>
      <w:r>
        <w:rPr>
          <w:rFonts w:ascii="Cambria" w:hAnsi="Cambria"/>
          <w:b/>
          <w:bCs/>
          <w:sz w:val="22"/>
        </w:rPr>
        <w:t xml:space="preserve">a,</w:t>
      </w:r>
      <w:r>
        <w:rPr>
          <w:rFonts w:ascii="Cambria" w:hAnsi="Cambria"/>
          <w:sz w:val="22"/>
        </w:rPr>
        <w:t xml:space="preserve"> </w:t>
      </w:r>
      <w:r>
        <w:rPr>
          <w:rFonts w:ascii="Cambria" w:hAnsi="Cambria"/>
          <w:sz w:val="22"/>
        </w:rPr>
        <w:t xml:space="preserve">Product coverage; the dashed line separates finalized GFED through 2022 from the near-real-time (NRT) extension, and the open symbol marks the preliminary full-year 2025 GFED5NRT value.</w:t>
      </w:r>
      <w:r>
        <w:rPr>
          <w:rFonts w:ascii="Cambria" w:hAnsi="Cambria"/>
          <w:sz w:val="22"/>
        </w:rPr>
        <w:t xml:space="preserve"> </w:t>
      </w:r>
      <w:r>
        <w:rPr>
          <w:rFonts w:ascii="Cambria" w:hAnsi="Cambria"/>
          <w:b/>
          <w:bCs/>
          <w:sz w:val="22"/>
        </w:rPr>
        <w:t xml:space="preserve">b,</w:t>
      </w:r>
      <w:r>
        <w:rPr>
          <w:rFonts w:ascii="Cambria" w:hAnsi="Cambria"/>
          <w:sz w:val="22"/>
        </w:rPr>
        <w:t xml:space="preserve"> </w:t>
      </w:r>
      <w:r>
        <w:rPr>
          <w:rFonts w:ascii="Cambria" w:hAnsi="Cambria"/>
          <w:sz w:val="22"/>
        </w:rPr>
        <w:t xml:space="preserve">Early and recent global fire interannual variability; blue bars, early window; red bars, recent window.</w:t>
      </w:r>
      <w:r>
        <w:rPr>
          <w:rFonts w:ascii="Cambria" w:hAnsi="Cambria"/>
          <w:sz w:val="22"/>
        </w:rPr>
        <w:t xml:space="preserve"> </w:t>
      </w:r>
      <w:r>
        <w:rPr>
          <w:rFonts w:ascii="Cambria" w:hAnsi="Cambria"/>
          <w:b/>
          <w:bCs/>
          <w:sz w:val="22"/>
        </w:rPr>
        <w:t xml:space="preserve">c,</w:t>
      </w:r>
      <w:r>
        <w:rPr>
          <w:rFonts w:ascii="Cambria" w:hAnsi="Cambria"/>
          <w:sz w:val="22"/>
        </w:rPr>
        <w:t xml:space="preserve"> </w:t>
      </w:r>
      <w:r>
        <w:rPr>
          <w:rFonts w:ascii="Cambria" w:hAnsi="Cambria"/>
          <w:sz w:val="22"/>
        </w:rPr>
        <w:t xml:space="preserve">Cross-region covariance contribution over each product’s available comparison windows; the dashed line marks 100%, where the covariance term alone would account for the entire change in global variance.</w:t>
      </w:r>
      <w:r>
        <w:rPr>
          <w:rFonts w:ascii="Cambria" w:hAnsi="Cambria"/>
          <w:sz w:val="22"/>
        </w:rPr>
        <w:t xml:space="preserve"> </w:t>
      </w:r>
      <w:r>
        <w:rPr>
          <w:rFonts w:ascii="Cambria" w:hAnsi="Cambria"/>
          <w:b/>
          <w:bCs/>
          <w:sz w:val="22"/>
        </w:rPr>
        <w:t xml:space="preserve">d,</w:t>
      </w:r>
      <w:r>
        <w:rPr>
          <w:rFonts w:ascii="Cambria" w:hAnsi="Cambria"/>
          <w:sz w:val="22"/>
        </w:rPr>
        <w:t xml:space="preserve"> </w:t>
      </w:r>
      <w:r>
        <w:rPr>
          <w:rFonts w:ascii="Cambria" w:hAnsi="Cambria"/>
          <w:sz w:val="22"/>
        </w:rPr>
        <w:t xml:space="preserve">Coherence (mean pairwise cross-region correlation); colours as in</w:t>
      </w:r>
      <w:r>
        <w:rPr>
          <w:rFonts w:ascii="Cambria" w:hAnsi="Cambria"/>
          <w:sz w:val="22"/>
        </w:rPr>
        <w:t xml:space="preserve"> </w:t>
      </w:r>
      <w:r>
        <w:rPr>
          <w:rFonts w:ascii="Cambria" w:hAnsi="Cambria"/>
          <w:b/>
          <w:bCs/>
          <w:sz w:val="22"/>
        </w:rPr>
        <w:t xml:space="preserve">b</w:t>
      </w:r>
      <w:r>
        <w:rPr>
          <w:rFonts w:ascii="Cambria" w:hAnsi="Cambria"/>
          <w:sz w:val="22"/>
        </w:rPr>
        <w:t xml:space="preserve">. GFED uses 2001–2010 versus 2015–2024, GFAS 2003–2010 versus 2015–2024, and</w:t>
      </w:r>
      <w:r>
        <w:rPr>
          <w:rFonts w:ascii="Cambria" w:hAnsi="Cambria"/>
          <w:sz w:val="22"/>
        </w:rPr>
        <w:t xml:space="preserve"> </w:t>
      </w:r>
      <w:r>
        <w:rPr>
          <w:rFonts w:ascii="Cambria" w:hAnsi="Cambria"/>
          <w:sz w:val="22"/>
        </w:rPr>
        <w:t xml:space="preserve">“GFED excl. 2023–24”</w:t>
      </w:r>
      <w:r>
        <w:rPr>
          <w:rFonts w:ascii="Cambria" w:hAnsi="Cambria"/>
          <w:sz w:val="22"/>
        </w:rPr>
        <w:t xml:space="preserve"> </w:t>
      </w:r>
      <w:r>
        <w:rPr>
          <w:rFonts w:ascii="Cambria" w:hAnsi="Cambria"/>
          <w:sz w:val="22"/>
        </w:rPr>
        <w:t xml:space="preserve">compares 2001–2010 with 2015–2022, excluding the near-real-time years informed by the Visible Infrared Imaging Radiometer Suite (VIIRS)</w:t>
      </w:r>
      <w:r>
        <w:rPr>
          <w:rFonts w:ascii="Cambria" w:hAnsi="Cambria"/>
          <w:sz w:val="22"/>
          <w:vertAlign w:val="superscript"/>
        </w:rPr>
        <w:t xml:space="preserve">2</w:t>
      </w:r>
      <w:r>
        <w:rPr>
          <w:rFonts w:ascii="Cambria" w:hAnsi="Cambria"/>
          <w:sz w:val="22"/>
        </w:rPr>
        <w:t xml:space="preserve">.</w:t>
      </w:r>
    </w:p>
    <w:bookmarkEnd w:id="20"/>
    <w:bookmarkEnd w:id="21"/>
    <w:bookmarkStart w:id="30" w:name="X3a206f2d1271080a52035654a81d1395fa14996"/>
    <w:p>
      <w:pPr>
        <w:pStyle w:val="Heading2"/>
        <w:spacing w:before="160" w:after="80" w:line="276" w:lineRule="auto"/>
      </w:pPr>
      <w:r>
        <w:t xml:space="preserve">Supplementary Note 2 | Atmospheric constraints and the fire–CO₂ association</w:t>
      </w:r>
    </w:p>
    <w:bookmarkStart w:id="28" w:name="X638e80591df32cab55a75dea536e3e66d1a9f1b"/>
    <w:p>
      <w:pPr>
        <w:pStyle w:val="Heading3"/>
        <w:spacing w:before="160" w:after="80" w:line="276" w:lineRule="auto"/>
      </w:pPr>
      <w:r>
        <w:t xml:space="preserve">2A. CO-constrained fire estimates and alternative growth-rate records</w:t>
      </w:r>
    </w:p>
    <w:p>
      <w:pPr>
        <w:pStyle w:val="FirstParagraph"/>
        <w:spacing w:before="40" w:after="200" w:line="480" w:lineRule="auto"/>
        <w:rPr>
          <w:sz w:val="22"/>
        </w:rPr>
      </w:pPr>
      <w:r>
        <w:rPr>
          <w:rFonts w:ascii="Cambria" w:hAnsi="Cambria"/>
          <w:sz w:val="22"/>
        </w:rPr>
        <w:t xml:space="preserve">Atmospheric carbon monoxide (CO) constrains fire emissions without depending on fuel-consumption modelling. For 2019–2024, fire-CO₂ estimates constrained by CO from the TROPOspheric Monitoring Instrument (TROPOMI)</w:t>
      </w:r>
      <w:r>
        <w:rPr>
          <w:rFonts w:ascii="Cambria" w:hAnsi="Cambria"/>
          <w:sz w:val="22"/>
          <w:vertAlign w:val="superscript"/>
        </w:rPr>
        <w:t xml:space="preserve">6</w:t>
      </w:r>
      <w:r>
        <w:rPr>
          <w:rFonts w:ascii="Cambria" w:hAnsi="Cambria"/>
          <w:sz w:val="22"/>
        </w:rPr>
        <w:t xml:space="preserve"> </w:t>
      </w:r>
      <w:r>
        <w:rPr>
          <w:rFonts w:ascii="Cambria" w:hAnsi="Cambria"/>
          <w:sz w:val="22"/>
        </w:rPr>
        <w:t xml:space="preserve">reproduce GFED’s regional anomaly structure (Supplementary Fig. 4b) together with its recent cross-region coherence and covariance share, whether the inversion starts from the Quick Fire Emissions Dataset (QFED) or the GFAS fire prior (Supplementary Table 3A). Both priors take their year-to-year variation from satellite fire radiative power rather than from GFED burned area, so the priors’ anomaly timing comes from satellite fire detections rather than from GFED, although GFED’s 2023–2024 near-real-time values also draw on active-fire detections. These comparisons are of timing rather than of absolute emissions, which the products do not share; the estimates retain some dependence on their priors and on the CO-to-CO₂ conversion (Methods), and six years test the recent synchronized state rather than the change from the early decade. GFED and GFAS track one another year by year (Supplementary Fig. 5).</w:t>
      </w:r>
    </w:p>
    <w:p>
      <w:pPr>
        <w:pStyle w:val="BodyText"/>
        <w:spacing w:before="40" w:after="200" w:line="480" w:lineRule="auto"/>
        <w:rPr>
          <w:sz w:val="22"/>
        </w:rPr>
      </w:pPr>
      <w:r>
        <w:rPr>
          <w:rFonts w:ascii="Cambria" w:hAnsi="Cambria"/>
          <w:sz w:val="22"/>
        </w:rPr>
        <w:t xml:space="preserve">The recent fire–growth association is likewise a property of the atmospheric record rather than of one inversion or one observing system (Supplementary Fig. 4a). It holds for each of the six fixed Global Carbon Budget 2025 in situ inversions (CarboScope, NISMON-insitu, CarbonTracker, CarbonTracker Europe, MIROC4-ACTM and the University of Edinburgh inversion)</w:t>
      </w:r>
      <w:r>
        <w:rPr>
          <w:rFonts w:ascii="Cambria" w:hAnsi="Cambria"/>
          <w:sz w:val="22"/>
          <w:vertAlign w:val="superscript"/>
        </w:rPr>
        <w:t xml:space="preserve">7</w:t>
      </w:r>
      <w:r>
        <w:rPr>
          <w:rFonts w:ascii="Cambria" w:hAnsi="Cambria"/>
          <w:sz w:val="22"/>
        </w:rPr>
        <w:t xml:space="preserve">, for their median and for the satellite-derived estimates of Growth Rate Estimation from Satellite Observations (GRESO; Supplementary Table 3A)</w:t>
      </w:r>
      <w:r>
        <w:rPr>
          <w:rFonts w:ascii="Cambria" w:hAnsi="Cambria"/>
          <w:sz w:val="22"/>
          <w:vertAlign w:val="superscript"/>
        </w:rPr>
        <w:t xml:space="preserve">8,9</w:t>
      </w:r>
      <w:r>
        <w:rPr>
          <w:rFonts w:ascii="Cambria" w:hAnsi="Cambria"/>
          <w:sz w:val="22"/>
        </w:rPr>
        <w:t xml:space="preserve">, and for the marine-boundary-layer estimate of the National Oceanic and Atmospheric Administration (NOAA; Supplementary Fig. 4a).</w:t>
      </w:r>
    </w:p>
    <w:p>
      <w:pPr>
        <w:pStyle w:val="BodyText"/>
        <w:spacing w:before="40" w:after="120" w:line="480" w:lineRule="auto"/>
        <w:jc w:val="center"/>
        <w:rPr>
          <w:sz w:val="22"/>
        </w:rPr>
        <w:pBdr>
          <w:bottom w:val="single" w:sz="4" w:space="6" w:color="AAAAAA"/>
        </w:pBdr>
      </w:pPr>
      <w:r>
        <w:drawing>
          <wp:inline>
            <wp:extent cx="6332220" cy="2746145"/>
            <wp:effectExtent b="0" l="0" r="0" t="0"/>
            <wp:docPr descr="" title="" id="23" name="Picture"/>
            <a:graphic>
              <a:graphicData uri="http://schemas.openxmlformats.org/drawingml/2006/picture">
                <pic:pic>
                  <pic:nvPicPr>
                    <pic:cNvPr descr="/mnt/data3/pandeysu/tmp_pandey/tmp.Hv0Aiv9d4e/si/figs/SuppFig4_atmospheric_targets.png" id="24" name="Picture"/>
                    <pic:cNvPicPr>
                      <a:picLocks noChangeArrowheads="1" noChangeAspect="1"/>
                    </pic:cNvPicPr>
                  </pic:nvPicPr>
                  <pic:blipFill>
                    <a:blip r:embed="rId22"/>
                    <a:stretch>
                      <a:fillRect/>
                    </a:stretch>
                  </pic:blipFill>
                  <pic:spPr bwMode="auto">
                    <a:xfrm>
                      <a:off x="0" y="0"/>
                      <a:ext cx="6332220" cy="2746145"/>
                    </a:xfrm>
                    <a:prstGeom prst="rect">
                      <a:avLst/>
                    </a:prstGeom>
                    <a:noFill/>
                    <a:ln w="9525">
                      <a:noFill/>
                      <a:headEnd/>
                      <a:tailEnd/>
                    </a:ln>
                  </pic:spPr>
                </pic:pic>
              </a:graphicData>
            </a:graphic>
          </wp:inline>
        </w:drawing>
      </w:r>
    </w:p>
    <w:p>
      <w:pPr>
        <w:pStyle w:val="BodyText"/>
        <w:spacing w:before="40" w:after="200" w:line="480" w:lineRule="auto"/>
        <w:rPr>
          <w:sz w:val="22"/>
        </w:rPr>
      </w:pPr>
      <w:r>
        <w:rPr>
          <w:rFonts w:ascii="Cambria" w:hAnsi="Cambria"/>
          <w:b/>
          <w:bCs/>
          <w:sz w:val="22"/>
        </w:rPr>
        <w:t xml:space="preserve">Supplementary Fig. 4 | Atmospheric targets and the CO-constrained fire check.</w:t>
      </w:r>
      <w:r>
        <w:rPr>
          <w:rFonts w:ascii="Cambria" w:hAnsi="Cambria"/>
          <w:sz w:val="22"/>
        </w:rPr>
        <w:t xml:space="preserve"> </w:t>
      </w:r>
      <w:r>
        <w:rPr>
          <w:rFonts w:ascii="Cambria" w:hAnsi="Cambria"/>
          <w:b/>
          <w:bCs/>
          <w:sz w:val="22"/>
        </w:rPr>
        <w:t xml:space="preserve">a,</w:t>
      </w:r>
      <w:r>
        <w:rPr>
          <w:rFonts w:ascii="Cambria" w:hAnsi="Cambria"/>
          <w:sz w:val="22"/>
        </w:rPr>
        <w:t xml:space="preserve"> </w:t>
      </w:r>
      <w:r>
        <w:rPr>
          <w:rFonts w:ascii="Cambria" w:hAnsi="Cambria"/>
          <w:sz w:val="22"/>
        </w:rPr>
        <w:t xml:space="preserve">Early and recent detrended fire–target correlations for the six fixed inversion members, their median, the NOAA marine-boundary-layer (MBL) growth target and the satellite growth rate from the Orbiting Carbon Observatory-2 alone (OCO-2 v11.3r; labelled GRESO), available only for the recent window; the GRESO series of main Fig. 3 is the mean of OCO-2 and the Greenhouse gases Observing SATellite (GOSAT).</w:t>
      </w:r>
      <w:r>
        <w:rPr>
          <w:rFonts w:ascii="Cambria" w:hAnsi="Cambria"/>
          <w:sz w:val="22"/>
        </w:rPr>
        <w:t xml:space="preserve"> </w:t>
      </w:r>
      <w:r>
        <w:rPr>
          <w:rFonts w:ascii="Cambria" w:hAnsi="Cambria"/>
          <w:b/>
          <w:bCs/>
          <w:sz w:val="22"/>
        </w:rPr>
        <w:t xml:space="preserve">b,</w:t>
      </w:r>
      <w:r>
        <w:rPr>
          <w:rFonts w:ascii="Cambria" w:hAnsi="Cambria"/>
          <w:sz w:val="22"/>
        </w:rPr>
        <w:t xml:space="preserve"> </w:t>
      </w:r>
      <w:r>
        <w:rPr>
          <w:rFonts w:ascii="Cambria" w:hAnsi="Cambria"/>
          <w:sz w:val="22"/>
        </w:rPr>
        <w:t xml:space="preserve">Standardized detrended regional fire anomalies from GFED and from the TROPOMI CO inversions (mean of the QFED- and GFAS-prior runs), 14 regions over 2019–2024, each series detrended over 2019–2024 and divided by its own standard deviation; dashed line, 1:1.</w:t>
      </w:r>
    </w:p>
    <w:p>
      <w:pPr>
        <w:pStyle w:val="BodyText"/>
        <w:spacing w:before="40" w:after="120" w:line="480" w:lineRule="auto"/>
        <w:jc w:val="center"/>
        <w:rPr>
          <w:sz w:val="22"/>
        </w:rPr>
        <w:pBdr>
          <w:bottom w:val="single" w:sz="4" w:space="6" w:color="AAAAAA"/>
        </w:pBdr>
      </w:pPr>
      <w:r>
        <w:drawing>
          <wp:inline>
            <wp:extent cx="6332220" cy="2251720"/>
            <wp:effectExtent b="0" l="0" r="0" t="0"/>
            <wp:docPr descr="" title="" id="26" name="Picture"/>
            <a:graphic>
              <a:graphicData uri="http://schemas.openxmlformats.org/drawingml/2006/picture">
                <pic:pic>
                  <pic:nvPicPr>
                    <pic:cNvPr descr="/mnt/data3/pandeysu/tmp_pandey/tmp.Hv0Aiv9d4e/si/figs/SuppFig5_product_timeseries.png" id="27" name="Picture"/>
                    <pic:cNvPicPr>
                      <a:picLocks noChangeArrowheads="1" noChangeAspect="1"/>
                    </pic:cNvPicPr>
                  </pic:nvPicPr>
                  <pic:blipFill>
                    <a:blip r:embed="rId25"/>
                    <a:stretch>
                      <a:fillRect/>
                    </a:stretch>
                  </pic:blipFill>
                  <pic:spPr bwMode="auto">
                    <a:xfrm>
                      <a:off x="0" y="0"/>
                      <a:ext cx="6332220" cy="2251720"/>
                    </a:xfrm>
                    <a:prstGeom prst="rect">
                      <a:avLst/>
                    </a:prstGeom>
                    <a:noFill/>
                    <a:ln w="9525">
                      <a:noFill/>
                      <a:headEnd/>
                      <a:tailEnd/>
                    </a:ln>
                  </pic:spPr>
                </pic:pic>
              </a:graphicData>
            </a:graphic>
          </wp:inline>
        </w:drawing>
      </w:r>
    </w:p>
    <w:p>
      <w:pPr>
        <w:pStyle w:val="BodyText"/>
        <w:spacing w:before="40" w:after="200" w:line="480" w:lineRule="auto"/>
        <w:rPr>
          <w:sz w:val="22"/>
        </w:rPr>
      </w:pPr>
      <w:r>
        <w:rPr>
          <w:rFonts w:ascii="Cambria" w:hAnsi="Cambria"/>
          <w:b/>
          <w:bCs/>
          <w:sz w:val="22"/>
        </w:rPr>
        <w:t xml:space="preserve">Supplementary Fig. 5 | Standardized global fire anomalies from two inventories.</w:t>
      </w:r>
      <w:r>
        <w:rPr>
          <w:rFonts w:ascii="Cambria" w:hAnsi="Cambria"/>
          <w:sz w:val="22"/>
        </w:rPr>
        <w:t xml:space="preserve"> </w:t>
      </w:r>
      <w:r>
        <w:rPr>
          <w:rFonts w:ascii="Cambria" w:hAnsi="Cambria"/>
          <w:sz w:val="22"/>
        </w:rPr>
        <w:t xml:space="preserve">Annual anomalies for GFED5.1 with its near-real-time extension (orange circles) and GFAS (purple squares). Each series is detrended over its available years within 2001–2024 and divided by its own detrended standard deviation; GFAS begins in 2003. Blue and red shading marks 2001–2010 and 2015–2024. The comparison is of timing, not of absolute emissions.</w:t>
      </w:r>
    </w:p>
    <w:bookmarkEnd w:id="28"/>
    <w:bookmarkStart w:id="29" w:name="X4ea6bab3a5aa5474a4c85a0ee616f28a979116f"/>
    <w:p>
      <w:pPr>
        <w:pStyle w:val="Heading3"/>
        <w:spacing w:before="160" w:after="80" w:line="276" w:lineRule="auto"/>
      </w:pPr>
      <w:r>
        <w:t xml:space="preserve">2B. Decomposition of the change in growth-rate variance</w:t>
      </w:r>
    </w:p>
    <w:p>
      <w:pPr>
        <w:pStyle w:val="FirstParagraph"/>
        <w:spacing w:before="40" w:after="200" w:line="480" w:lineRule="auto"/>
        <w:rPr>
          <w:sz w:val="22"/>
        </w:rPr>
      </w:pPr>
      <w:r>
        <w:rPr>
          <w:rFonts w:ascii="Cambria" w:hAnsi="Cambria"/>
          <w:sz w:val="22"/>
        </w:rPr>
        <w:t xml:space="preserve">Subtracting the fire flux from CO₂ growth lowers the recent growth variance by far more than fire’s own share of that variance (main Fig. 3d). Let</w:t>
      </w:r>
      <w:r>
        <w:rPr>
          <w:rFonts w:ascii="Cambria" w:hAnsi="Cambria"/>
          <w:sz w:val="22"/>
        </w:rPr>
        <w:t xml:space="preserve"> </w:t>
      </w:r>
      <w:r>
        <w:rPr>
          <w:rFonts w:ascii="Cambria" w:hAnsi="Cambria"/>
          <w:i/>
          <w:iCs/>
          <w:sz w:val="22"/>
        </w:rPr>
        <w:t xml:space="preserve">F</w:t>
      </w:r>
      <w:r>
        <w:rPr>
          <w:rFonts w:ascii="Cambria" w:hAnsi="Cambria"/>
          <w:sz w:val="22"/>
        </w:rPr>
        <w:t xml:space="preserve"> </w:t>
      </w:r>
      <w:r>
        <w:rPr>
          <w:rFonts w:ascii="Cambria" w:hAnsi="Cambria"/>
          <w:sz w:val="22"/>
        </w:rPr>
        <w:t xml:space="preserve">be the detrended GFED fire anomaly,</w:t>
      </w:r>
      <w:r>
        <w:rPr>
          <w:rFonts w:ascii="Cambria" w:hAnsi="Cambria"/>
          <w:sz w:val="22"/>
        </w:rPr>
        <w:t xml:space="preserve"> </w:t>
      </w:r>
      <w:r>
        <w:rPr>
          <w:rFonts w:ascii="Cambria" w:hAnsi="Cambria"/>
          <w:i/>
          <w:iCs/>
          <w:sz w:val="22"/>
        </w:rPr>
        <w:t xml:space="preserve">G</w:t>
      </w:r>
      <w:r>
        <w:rPr>
          <w:rFonts w:ascii="Cambria" w:hAnsi="Cambria"/>
          <w:sz w:val="22"/>
        </w:rPr>
        <w:t xml:space="preserve"> </w:t>
      </w:r>
      <w:r>
        <w:rPr>
          <w:rFonts w:ascii="Cambria" w:hAnsi="Cambria"/>
          <w:sz w:val="22"/>
        </w:rPr>
        <w:t xml:space="preserve">the detrended growth anomaly from the median of the six fixed inversions and</w:t>
      </w:r>
      <w:r>
        <w:rPr>
          <w:rFonts w:ascii="Cambria" w:hAnsi="Cambria"/>
          <w:sz w:val="22"/>
        </w:rPr>
        <w:t xml:space="preserve"> </w:t>
      </w:r>
      <w:r>
        <w:rPr>
          <w:rFonts w:ascii="Cambria" w:hAnsi="Cambria"/>
          <w:i/>
          <w:iCs/>
          <w:sz w:val="22"/>
        </w:rPr>
        <w:t xml:space="preserve">N</w:t>
      </w:r>
      <w:r>
        <w:rPr>
          <w:rFonts w:ascii="Cambria" w:hAnsi="Cambria"/>
          <w:sz w:val="22"/>
        </w:rPr>
        <w:t xml:space="preserve"> </w:t>
      </w:r>
      <w:r>
        <w:rPr>
          <w:rFonts w:ascii="Cambria" w:hAnsi="Cambria"/>
          <w:sz w:val="22"/>
        </w:rPr>
        <w:t xml:space="preserve">=</w:t>
      </w:r>
      <w:r>
        <w:rPr>
          <w:rFonts w:ascii="Cambria" w:hAnsi="Cambria"/>
          <w:sz w:val="22"/>
        </w:rPr>
        <w:t xml:space="preserve"> </w:t>
      </w:r>
      <w:r>
        <w:rPr>
          <w:rFonts w:ascii="Cambria" w:hAnsi="Cambria"/>
          <w:i/>
          <w:iCs/>
          <w:sz w:val="22"/>
        </w:rPr>
        <w:t xml:space="preserve">G</w:t>
      </w:r>
      <w:r>
        <w:rPr>
          <w:rFonts w:ascii="Cambria" w:hAnsi="Cambria"/>
          <w:sz w:val="22"/>
        </w:rPr>
        <w:t xml:space="preserve"> </w:t>
      </w:r>
      <w:r>
        <w:rPr>
          <w:rFonts w:ascii="Cambria" w:hAnsi="Cambria"/>
          <w:sz w:val="22"/>
        </w:rPr>
        <w:t xml:space="preserve">−</w:t>
      </w:r>
      <w:r>
        <w:rPr>
          <w:rFonts w:ascii="Cambria" w:hAnsi="Cambria"/>
          <w:sz w:val="22"/>
        </w:rPr>
        <w:t xml:space="preserve"> </w:t>
      </w:r>
      <w:r>
        <w:rPr>
          <w:rFonts w:ascii="Cambria" w:hAnsi="Cambria"/>
          <w:i/>
          <w:iCs/>
          <w:sz w:val="22"/>
        </w:rPr>
        <w:t xml:space="preserve">F</w:t>
      </w:r>
      <w:r>
        <w:rPr>
          <w:rFonts w:ascii="Cambria" w:hAnsi="Cambria"/>
          <w:sz w:val="22"/>
        </w:rPr>
        <w:t xml:space="preserve"> </w:t>
      </w:r>
      <w:r>
        <w:rPr>
          <w:rFonts w:ascii="Cambria" w:hAnsi="Cambria"/>
          <w:sz w:val="22"/>
        </w:rPr>
        <w:t xml:space="preserve">the remainder. Fire and the remainder covaried in 2015–2024 (</w:t>
      </w:r>
      <w:r>
        <w:rPr>
          <w:rFonts w:ascii="Cambria" w:hAnsi="Cambria"/>
          <w:i/>
          <w:iCs/>
          <w:sz w:val="22"/>
        </w:rPr>
        <w:t xml:space="preserve">r</w:t>
      </w:r>
      <w:r>
        <w:rPr>
          <w:rFonts w:ascii="Cambria" w:hAnsi="Cambria"/>
          <w:sz w:val="22"/>
        </w:rPr>
        <w:t xml:space="preserve"> </w:t>
      </w:r>
      <w:r>
        <w:rPr>
          <w:rFonts w:ascii="Cambria" w:hAnsi="Cambria"/>
          <w:sz w:val="22"/>
        </w:rPr>
        <w:t xml:space="preserve">= 0.78) but not in 2001–2010 (</w:t>
      </w:r>
      <w:r>
        <w:rPr>
          <w:rFonts w:ascii="Cambria" w:hAnsi="Cambria"/>
          <w:i/>
          <w:iCs/>
          <w:sz w:val="22"/>
        </w:rPr>
        <w:t xml:space="preserve">r</w:t>
      </w:r>
      <w:r>
        <w:rPr>
          <w:rFonts w:ascii="Cambria" w:hAnsi="Cambria"/>
          <w:sz w:val="22"/>
        </w:rPr>
        <w:t xml:space="preserve"> </w:t>
      </w:r>
      <w:r>
        <w:rPr>
          <w:rFonts w:ascii="Cambria" w:hAnsi="Cambria"/>
          <w:sz w:val="22"/>
        </w:rPr>
        <w:t xml:space="preserve">= 0.07), so the subtraction removes both fire’s own variance and its covariance with the remainder. It is an arithmetic diagnostic of these three detrended series:</w:t>
      </w:r>
      <w:r>
        <w:rPr>
          <w:rFonts w:ascii="Cambria" w:hAnsi="Cambria"/>
          <w:sz w:val="22"/>
        </w:rPr>
        <w:t xml:space="preserve"> </w:t>
      </w:r>
      <w:r>
        <w:rPr>
          <w:rFonts w:ascii="Cambria" w:hAnsi="Cambria"/>
          <w:i/>
          <w:iCs/>
          <w:sz w:val="22"/>
        </w:rPr>
        <w:t xml:space="preserve">N</w:t>
      </w:r>
      <w:r>
        <w:rPr>
          <w:rFonts w:ascii="Cambria" w:hAnsi="Cambria"/>
          <w:sz w:val="22"/>
        </w:rPr>
        <w:t xml:space="preserve"> </w:t>
      </w:r>
      <w:r>
        <w:rPr>
          <w:rFonts w:ascii="Cambria" w:hAnsi="Cambria"/>
          <w:sz w:val="22"/>
        </w:rPr>
        <w:t xml:space="preserve">does not reconstruct an atmosphere in which fire did not occur, and the reduction is not an estimate of fire’s causal contribution.</w:t>
      </w:r>
    </w:p>
    <w:p>
      <w:pPr>
        <w:pStyle w:val="BodyText"/>
        <w:spacing w:before="40" w:after="200" w:line="480" w:lineRule="auto"/>
        <w:rPr>
          <w:sz w:val="22"/>
        </w:rPr>
      </w:pPr>
      <w:r>
        <w:rPr>
          <w:rFonts w:ascii="Cambria" w:hAnsi="Cambria"/>
          <w:sz w:val="22"/>
        </w:rPr>
        <w:t xml:space="preserve">Of the 0.22 PgC² yr⁻² increase in growth-rate variance between the windows, fire’s own variance supplies +0.11 and the remainder’s variance −0.20, while the fire–remainder covariance, which enters the total twice, supplies +0.31. Within 2015–2024 the subtraction reduces growth-rate variance by 57% (95% bootstrap interval, 42–65%), against 6% in 2001–2010 (−18 to 23%), a difference of 51 percentage points (28–75); the early-to-recent change in the remainder’s own variability is not statistically resolved (Supplementary Table 3B).</w:t>
      </w:r>
    </w:p>
    <w:p>
      <w:pPr>
        <w:pStyle w:val="BodyText"/>
        <w:spacing w:before="40" w:after="200" w:line="480" w:lineRule="auto"/>
        <w:rPr>
          <w:sz w:val="22"/>
        </w:rPr>
      </w:pPr>
      <w:r>
        <w:rPr>
          <w:rFonts w:ascii="Cambria" w:hAnsi="Cambria"/>
          <w:sz w:val="22"/>
        </w:rPr>
        <w:t xml:space="preserve">Relative to a single linear trend fitted over 2001–2024, the 2024 growth anomaly is +1.33 PgC yr⁻¹, the largest of 2001–2024, and the fire anomaly +0.55, so the remainder is +0.78 PgC yr⁻¹, the fourth largest, after 2002 (+1.09), 2015 (+0.91) and 2005 (+0.80).</w:t>
      </w:r>
    </w:p>
    <w:bookmarkEnd w:id="29"/>
    <w:bookmarkEnd w:id="30"/>
    <w:bookmarkStart w:id="34" w:name="Xa11af9a353e6693e99dc231e860e533a303f205"/>
    <w:p>
      <w:pPr>
        <w:pStyle w:val="Heading2"/>
        <w:spacing w:before="160" w:after="80" w:line="276" w:lineRule="auto"/>
      </w:pPr>
      <w:r>
        <w:t xml:space="preserve">Supplementary Note 3 | Sensitivity to the comparison windows and to individual years</w:t>
      </w:r>
    </w:p>
    <w:p>
      <w:pPr>
        <w:pStyle w:val="FirstParagraph"/>
        <w:spacing w:before="40" w:after="200" w:line="480" w:lineRule="auto"/>
        <w:rPr>
          <w:sz w:val="22"/>
        </w:rPr>
      </w:pPr>
      <w:r>
        <w:rPr>
          <w:rFonts w:ascii="Cambria" w:hAnsi="Cambria"/>
          <w:sz w:val="22"/>
        </w:rPr>
        <w:t xml:space="preserve">These tests vary the comparison windows, remove individual years and blocks of years, and test the record’s endpoints. Each window holds ten or fewer years and all are drawn from one overlapping record, so the tests can establish how robust the recent reinforcing state is but cannot date its onset or establish a monotonic trend.</w:t>
      </w:r>
    </w:p>
    <w:bookmarkStart w:id="31" w:name="X4a03de76449c4344382f0b7cefeba5bfb13b557"/>
    <w:p>
      <w:pPr>
        <w:pStyle w:val="Heading3"/>
        <w:spacing w:before="160" w:after="80" w:line="276" w:lineRule="auto"/>
      </w:pPr>
      <w:r>
        <w:t xml:space="preserve">3A. Sensitivity to window length and position</w:t>
      </w:r>
    </w:p>
    <w:p>
      <w:pPr>
        <w:pStyle w:val="FirstParagraph"/>
        <w:spacing w:before="40" w:after="200" w:line="480" w:lineRule="auto"/>
        <w:rPr>
          <w:sz w:val="22"/>
        </w:rPr>
      </w:pPr>
      <w:r>
        <w:rPr>
          <w:rFonts w:ascii="Cambria" w:hAnsi="Cambria"/>
          <w:sz w:val="22"/>
        </w:rPr>
        <w:t xml:space="preserve">Both the length and the position of the comparison windows were varied. The covariance-amplification factor</w:t>
      </w:r>
      <w:r>
        <w:rPr>
          <w:rFonts w:ascii="Cambria" w:hAnsi="Cambria"/>
          <w:sz w:val="22"/>
        </w:rPr>
        <w:t xml:space="preserve"> </w:t>
      </w:r>
      <m:oMath>
        <m:r>
          <m:t>A</m:t>
        </m:r>
        <m:r>
          <m:rPr>
            <m:sty m:val="p"/>
          </m:rPr>
          <m:t>=</m:t>
        </m:r>
        <m:r>
          <m:rPr>
            <m:sty m:val="p"/>
          </m:rPr>
          <m:t>V</m:t>
        </m:r>
        <m:r>
          <m:rPr>
            <m:sty m:val="p"/>
          </m:rPr>
          <m:t>a</m:t>
        </m:r>
        <m:r>
          <m:rPr>
            <m:sty m:val="p"/>
          </m:rPr>
          <m:t>r</m:t>
        </m:r>
        <m:r>
          <m:rPr>
            <m:sty m:val="p"/>
          </m:rPr>
          <m:t>(</m:t>
        </m:r>
        <m:nary>
          <m:naryPr>
            <m:chr m:val="∑"/>
            <m:limLoc m:val="subSup"/>
            <m:subHide m:val="off"/>
            <m:supHide m:val="on"/>
          </m:naryPr>
          <m:sub>
            <m:r>
              <m:t>r</m:t>
            </m:r>
          </m:sub>
          <m:sup>
            <m:r>
              <m:t>​</m:t>
            </m:r>
          </m:sup>
          <m:e>
            <m:sSub>
              <m:e>
                <m:r>
                  <m:t>F</m:t>
                </m:r>
              </m:e>
              <m:sub>
                <m:r>
                  <m:t>r</m:t>
                </m:r>
              </m:sub>
            </m:sSub>
          </m:e>
        </m:nary>
        <m:r>
          <m:rPr>
            <m:sty m:val="p"/>
          </m:rPr>
          <m:t>)</m:t>
        </m:r>
        <m:r>
          <m:rPr>
            <m:sty m:val="p"/>
          </m:rPr>
          <m:t>/</m:t>
        </m:r>
        <m:nary>
          <m:naryPr>
            <m:chr m:val="∑"/>
            <m:limLoc m:val="subSup"/>
            <m:subHide m:val="off"/>
            <m:supHide m:val="on"/>
          </m:naryPr>
          <m:sub>
            <m:r>
              <m:t>r</m:t>
            </m:r>
          </m:sub>
          <m:sup>
            <m:r>
              <m:t>​</m:t>
            </m:r>
          </m:sup>
          <m:e>
            <m:r>
              <m:rPr>
                <m:sty m:val="p"/>
              </m:rPr>
              <m:t>V</m:t>
            </m:r>
            <m:r>
              <m:rPr>
                <m:sty m:val="p"/>
              </m:rPr>
              <m:t>a</m:t>
            </m:r>
            <m:r>
              <m:rPr>
                <m:sty m:val="p"/>
              </m:rPr>
              <m:t>r</m:t>
            </m:r>
          </m:e>
        </m:nary>
        <m:r>
          <m:rPr>
            <m:sty m:val="p"/>
          </m:rPr>
          <m:t>(</m:t>
        </m:r>
        <m:sSub>
          <m:e>
            <m:r>
              <m:t>F</m:t>
            </m:r>
          </m:e>
          <m:sub>
            <m:r>
              <m:t>r</m:t>
            </m:r>
          </m:sub>
        </m:sSub>
        <m:r>
          <m:rPr>
            <m:sty m:val="p"/>
          </m:rPr>
          <m:t>)</m:t>
        </m:r>
      </m:oMath>
      <w:r>
        <w:rPr>
          <w:rFonts w:ascii="Cambria" w:hAnsi="Cambria"/>
          <w:sz w:val="22"/>
        </w:rPr>
        <w:t xml:space="preserve"> </w:t>
      </w:r>
      <w:r>
        <w:rPr>
          <w:rFonts w:ascii="Cambria" w:hAnsi="Cambria"/>
          <w:sz w:val="22"/>
        </w:rPr>
        <w:t xml:space="preserve">exceeds one for every 6-, 8- and 10-year window of the 1997–2024 record ending in 2018 or later, and fire coherence in trailing ten-year windows is greater towards the end of the record (Supplementary Fig. 2a). The ten-year window ending in 2022, before the GFED5NRT years, gives</w:t>
      </w:r>
      <w:r>
        <w:rPr>
          <w:rFonts w:ascii="Cambria" w:hAnsi="Cambria"/>
          <w:sz w:val="22"/>
        </w:rPr>
        <w:t xml:space="preserve"> </w:t>
      </w:r>
      <w:r>
        <w:rPr>
          <w:rFonts w:ascii="Cambria" w:hAnsi="Cambria"/>
          <w:i/>
          <w:iCs/>
          <w:sz w:val="22"/>
        </w:rPr>
        <w:t xml:space="preserve">A</w:t>
      </w:r>
      <w:r>
        <w:rPr>
          <w:rFonts w:ascii="Cambria" w:hAnsi="Cambria"/>
          <w:sz w:val="22"/>
        </w:rPr>
        <w:t xml:space="preserve"> </w:t>
      </w:r>
      <w:r>
        <w:rPr>
          <w:rFonts w:ascii="Cambria" w:hAnsi="Cambria"/>
          <w:sz w:val="22"/>
        </w:rPr>
        <w:t xml:space="preserve">= 1.6, against 0.4 for 2001–2010 and 1.8 for 2015–2024.</w:t>
      </w:r>
    </w:p>
    <w:p>
      <w:pPr>
        <w:pStyle w:val="BodyText"/>
        <w:spacing w:before="40" w:after="200" w:line="480" w:lineRule="auto"/>
        <w:rPr>
          <w:sz w:val="22"/>
        </w:rPr>
      </w:pPr>
      <w:r>
        <w:rPr>
          <w:rFonts w:ascii="Cambria" w:hAnsi="Cambria"/>
          <w:sz w:val="22"/>
        </w:rPr>
        <w:t xml:space="preserve">Comparisons between pairs of windows are less uniform. The record permits five comparisons of ten-year windows separated by four omitted years, with recent windows starting in 2011–2015. Those whose recent window starts in 2013–2015 give positive changes in coherence (+0.15 to +0.18); the two using 1997–2006 and 1998–2007 as early baselines give small negative changes (−0.02 and −0.03), and those baselines include years before direct MODIS burned-area observations (Methods). Because the largest of the five changes was selected after seeing all five, it was compared with the largest change obtained from resampled records rather than with a single-comparison threshold, giving a one-sided P = 0.07 (Methods). The analysis therefore supports a recent reinforcing state, but neither a steady trend towards it nor a particular year at which it began.</w:t>
      </w:r>
    </w:p>
    <w:bookmarkEnd w:id="31"/>
    <w:bookmarkStart w:id="32" w:name="Xbabcf2acfb86ef8efbd6a60adc42503d8ae6a0b"/>
    <w:p>
      <w:pPr>
        <w:pStyle w:val="Heading3"/>
        <w:spacing w:before="160" w:after="80" w:line="276" w:lineRule="auto"/>
      </w:pPr>
      <w:r>
        <w:t xml:space="preserve">3B. Omission of single years and blocks of years</w:t>
      </w:r>
    </w:p>
    <w:p>
      <w:pPr>
        <w:pStyle w:val="FirstParagraph"/>
        <w:spacing w:before="40" w:after="200" w:line="480" w:lineRule="auto"/>
        <w:rPr>
          <w:sz w:val="22"/>
        </w:rPr>
      </w:pPr>
      <w:r>
        <w:rPr>
          <w:rFonts w:ascii="Cambria" w:hAnsi="Cambria"/>
          <w:sz w:val="22"/>
        </w:rPr>
        <w:t xml:space="preserve">Neither principal result rests on one influential year. Omitting any single year from 2015–2024 leaves the covariance contribution to the increase in global fire variance between 71% and 96% (all-year value, 84%) and the fire–CO₂ R² between 0.74 and 0.91, and excluding prespecified blocks of years (2015–2016, 2018, 2022 or 2023–2024) retains the direction of both results. The recent decade did contain larger detrended global fire anomalies in both directions than 2001–2010, from −0.66 to +0.42 PgC yr⁻¹ against −0.17 to +0.22 PgC yr⁻¹, each decade against its own fitted trend. The 2022 minimum was widespread: 13 of the 14 regions burned below trend, and the largest single regional deficit, in Boreal Asia (−0.15 PgC yr⁻¹), supplied 22% of it.</w:t>
      </w:r>
    </w:p>
    <w:bookmarkEnd w:id="32"/>
    <w:bookmarkStart w:id="33" w:name="X6bb57a8922264c686538ec9da249e02466ca189"/>
    <w:p>
      <w:pPr>
        <w:pStyle w:val="Heading3"/>
        <w:spacing w:before="160" w:after="80" w:line="276" w:lineRule="auto"/>
      </w:pPr>
      <w:r>
        <w:t xml:space="preserve">3C. Near-real-time 2023 and preliminary 2025 data</w:t>
      </w:r>
    </w:p>
    <w:p>
      <w:pPr>
        <w:pStyle w:val="FirstParagraph"/>
        <w:spacing w:before="40" w:after="200" w:line="480" w:lineRule="auto"/>
        <w:rPr>
          <w:sz w:val="22"/>
        </w:rPr>
      </w:pPr>
      <w:r>
        <w:rPr>
          <w:rFonts w:ascii="Cambria" w:hAnsi="Cambria"/>
          <w:sz w:val="22"/>
        </w:rPr>
        <w:t xml:space="preserve">The recent window ends with two near-real-time years, so we tested whether 2023 produced the boreal–tropical reinforcement. Under the original 2015–2024 trends, 2023 supplied only 3.4% of the positive recent boreal–tropical covariance and 2.8% of its change from the early period, and removing it raised the correlation from 0.48 to 0.64 while leaving the covariance positive with a similar share of the cross-region covariance increase (Supplementary Table 1).</w:t>
      </w:r>
    </w:p>
    <w:p>
      <w:pPr>
        <w:pStyle w:val="BodyText"/>
        <w:spacing w:before="40" w:after="200" w:line="480" w:lineRule="auto"/>
        <w:rPr>
          <w:sz w:val="22"/>
        </w:rPr>
      </w:pPr>
      <w:r>
        <w:rPr>
          <w:rFonts w:ascii="Cambria" w:hAnsi="Cambria"/>
          <w:sz w:val="22"/>
        </w:rPr>
        <w:t xml:space="preserve">Preliminary 2025 values are consistent with the recent state but do not test it. Adding 2025 to the recent decade, or using the matched 2016–2025 window, leaves the boreal–tropical covariance positive, because boreal and tropical emissions were both below their fitted trends in that year; and the preliminary 2025 GFED5NRT/GRESO pair, placed relative to trends fitted only through 2024, falls close to the recent fire–growth regression (main Fig. 3c). These values enter no main result and no fitted fire–CO₂ regression: they are an out-of-window consistency check, not evidence that the recent association persists.</w:t>
      </w:r>
    </w:p>
    <w:bookmarkEnd w:id="33"/>
    <w:bookmarkEnd w:id="34"/>
    <w:bookmarkStart w:id="37" w:name="Xcea4de0e06437518a8782d396bdd4b5c52c3723"/>
    <w:p>
      <w:pPr>
        <w:pStyle w:val="Heading2"/>
        <w:spacing w:before="160" w:after="80" w:line="276" w:lineRule="auto"/>
      </w:pPr>
      <w:r>
        <w:t xml:space="preserve">Supplementary Note 4 | Climate coherence and regional fire seasons</w:t>
      </w:r>
    </w:p>
    <w:bookmarkStart w:id="35" w:name="Xe163be429e4163ffb5fcb1a70d406ec984630d0"/>
    <w:p>
      <w:pPr>
        <w:pStyle w:val="Heading3"/>
        <w:spacing w:before="160" w:after="80" w:line="276" w:lineRule="auto"/>
      </w:pPr>
      <w:r>
        <w:t xml:space="preserve">4A. Coherence of regional temperature and VPD</w:t>
      </w:r>
    </w:p>
    <w:p>
      <w:pPr>
        <w:pStyle w:val="FirstParagraph"/>
        <w:spacing w:before="40" w:after="200" w:line="480" w:lineRule="auto"/>
        <w:rPr>
          <w:sz w:val="22"/>
        </w:rPr>
      </w:pPr>
      <w:r>
        <w:rPr>
          <w:rFonts w:ascii="Cambria" w:hAnsi="Cambria"/>
          <w:sz w:val="22"/>
        </w:rPr>
        <w:t xml:space="preserve">These comparisons test whether regional fire synchronization was accompanied by greater coherence in regional climate; they do not resolve its cause. Temperature coherence changes little when climate is restricted to each region’s fire season (+0.09 to +0.10) but rises over that season and the eight months before it (+0.12 to +0.33), close to its annual-mean change (+0.13 to +0.36). Vapour pressure deficit (VPD) coherence rises from 0.00 to +0.07 in annual means, stays near +0.05 under twelve-month sampling and rises only from +0.02 to +0.05 within fire seasons, while fire coherence rises under fire-season as well as annual sampling (−0.04 to +0.11 within fire seasons; main Fig. 4b). Temperature and relative humidity are from the National Centers for Environmental Prediction–National Center for Atmospheric Research (NCEP–NCAR) reanalysis (Reanalysis 1)</w:t>
      </w:r>
      <w:r>
        <w:rPr>
          <w:rFonts w:ascii="Cambria" w:hAnsi="Cambria"/>
          <w:sz w:val="22"/>
          <w:vertAlign w:val="superscript"/>
        </w:rPr>
        <w:t xml:space="preserve">10</w:t>
      </w:r>
      <w:r>
        <w:rPr>
          <w:rFonts w:ascii="Cambria" w:hAnsi="Cambria"/>
          <w:sz w:val="22"/>
        </w:rPr>
        <w:t xml:space="preserve">, and VPD follows the saturation vapour pressure formulation of Bolton</w:t>
      </w:r>
      <w:r>
        <w:rPr>
          <w:rFonts w:ascii="Cambria" w:hAnsi="Cambria"/>
          <w:sz w:val="22"/>
          <w:vertAlign w:val="superscript"/>
        </w:rPr>
        <w:t xml:space="preserve">11</w:t>
      </w:r>
      <w:r>
        <w:rPr>
          <w:rFonts w:ascii="Cambria" w:hAnsi="Cambria"/>
          <w:sz w:val="22"/>
        </w:rPr>
        <w:t xml:space="preserve"> </w:t>
      </w:r>
      <w:r>
        <w:rPr>
          <w:rFonts w:ascii="Cambria" w:hAnsi="Cambria"/>
          <w:sz w:val="22"/>
        </w:rPr>
        <w:t xml:space="preserve">(Methods).</w:t>
      </w:r>
    </w:p>
    <w:p>
      <w:pPr>
        <w:pStyle w:val="BodyText"/>
        <w:spacing w:before="40" w:after="200" w:line="480" w:lineRule="auto"/>
        <w:rPr>
          <w:sz w:val="22"/>
        </w:rPr>
      </w:pPr>
      <w:r>
        <w:rPr>
          <w:rFonts w:ascii="Cambria" w:hAnsi="Cambria"/>
          <w:sz w:val="22"/>
        </w:rPr>
        <w:t xml:space="preserve">The 95% moving-block bootstrap intervals for the changes in temperature and VPD coherence include zero under all three sampling choices, so these are estimated differences in the climate accompanying regional fire synchronization rather than statistically resolved changes; the interval for the annual change in fire coherence (+0.03 to +0.35) excludes zero. The twelve-month window also contains the fire season together with the preceding eight months (Methods), so it does not isolate antecedent climate from conditions during burning. Main Fig. 4 therefore describes a plausible climate context for the regional fire synchronization rather than identifying a shared mechanism.</w:t>
      </w:r>
    </w:p>
    <w:bookmarkEnd w:id="35"/>
    <w:bookmarkStart w:id="36" w:name="b.-fire-season-definitions"/>
    <w:p>
      <w:pPr>
        <w:pStyle w:val="Heading3"/>
        <w:spacing w:before="160" w:after="80" w:line="276" w:lineRule="auto"/>
      </w:pPr>
      <w:r>
        <w:t xml:space="preserve">4B. Fire-season definitions</w:t>
      </w:r>
    </w:p>
    <w:p>
      <w:pPr>
        <w:pStyle w:val="FirstParagraph"/>
        <w:spacing w:before="40" w:after="200" w:line="480" w:lineRule="auto"/>
        <w:rPr>
          <w:sz w:val="22"/>
        </w:rPr>
      </w:pPr>
      <w:r>
        <w:rPr>
          <w:rFonts w:ascii="Cambria" w:hAnsi="Cambria"/>
          <w:sz w:val="22"/>
        </w:rPr>
        <w:t xml:space="preserve">Supplementary Table 2 lists the fixed four-month fire season of each region (Methods). Where two windows tie for the largest climatological emissions over 1999–2011, the window containing the climatological peak month is chosen, and then the earliest start month. The season year is the calendar year of the anchor month, the largest climatological month inside the selected window, and the twelve-month sampling window ends with the season’s final month.</w:t>
      </w:r>
    </w:p>
    <w:p>
      <w:pPr>
        <w:spacing w:before="40" w:after="200" w:line="480" w:lineRule="auto"/>
        <w:rPr>
          <w:sz w:val="22"/>
        </w:rPr>
      </w:pPr>
      <w:r>
        <w:rPr>
          <w:rFonts w:ascii="Cambria" w:hAnsi="Cambria"/>
          <w:sz w:val="22"/>
        </w:rPr>
        <w:br w:type="page"/>
      </w:r>
    </w:p>
    <w:bookmarkEnd w:id="36"/>
    <w:bookmarkEnd w:id="37"/>
    <w:bookmarkStart w:id="38" w:name="supplementary-tables"/>
    <w:p>
      <w:pPr>
        <w:pStyle w:val="Heading2"/>
        <w:spacing w:before="160" w:after="80" w:line="276" w:lineRule="auto"/>
      </w:pPr>
      <w:r>
        <w:t xml:space="preserve">Supplementary Tables</w:t>
      </w:r>
    </w:p>
    <w:p>
      <w:pPr>
        <w:pStyle w:val="FirstParagraph"/>
        <w:spacing w:before="40" w:after="200" w:line="480" w:lineRule="auto"/>
        <w:rPr>
          <w:sz w:val="22"/>
        </w:rPr>
      </w:pPr>
      <w:r>
        <w:rPr>
          <w:rFonts w:ascii="Cambria" w:hAnsi="Cambria"/>
          <w:b/>
          <w:bCs/>
          <w:sz w:val="22"/>
        </w:rPr>
        <w:t xml:space="preserve">Supplementary Table 1 | Endpoint sensitivity of boreal–tropical fire reinforcement.</w:t>
      </w:r>
    </w:p>
    <w:tbl>
      <w:tblPr>
        <w:tblStyle w:val="Table"/>
        <w:jc w:val="center"/>
        <w:tblLayout w:type="fixed"/>
        <w:tblLook w:firstRow="1" w:lastRow="0" w:firstColumn="0" w:lastColumn="0" w:noHBand="0" w:noVBand="0" w:val="0020"/>
        <w:tblW w:w="5000" w:type="pct"/>
        <w:tblCellMar>
          <w:top w:w="15" w:type="dxa"/>
          <w:bottom w:w="15" w:type="dxa"/>
          <w:left w:w="40" w:type="dxa"/>
          <w:right w:w="40" w:type="dxa"/>
        </w:tblCellMar>
        <w:tblBorders>
          <w:top w:val="single" w:sz="6" w:color="000000"/>
          <w:bottom w:val="single" w:sz="6" w:color="000000"/>
          <w:left w:val="none"/>
          <w:right w:val="none"/>
          <w:insideH w:val="none"/>
          <w:insideV w:val="none"/>
        </w:tblBorders>
      </w:tblPr>
      <w:tblGrid>
        <w:gridCol w:w="1485"/>
        <w:gridCol w:w="1980"/>
        <w:gridCol w:w="1485"/>
        <w:gridCol w:w="1485"/>
        <w:gridCol w:w="1485"/>
      </w:tblGrid>
      <w:tr>
        <w:trPr>
          <w:tblHeader w:val="on"/>
        </w:trPr>
        <w:tc>
          <w:tcPr>
            <w:tcBorders>
              <w:bottom w:val="single" w:sz="6" w:color="000000"/>
            </w:tcBorders>
          </w:tcPr>
          <w:p>
            <w:pPr>
              <w:pStyle w:val="Compact"/>
              <w:spacing w:before="20" w:after="20" w:line="240" w:lineRule="auto"/>
              <w:jc w:val="left"/>
            </w:pPr>
            <w:r>
              <w:rPr>
                <w:b/>
                <w:color w:val="000000"/>
                <w:sz w:val="16"/>
              </w:rPr>
              <w:t xml:space="preserve">Test</w:t>
            </w:r>
          </w:p>
        </w:tc>
        <w:tc>
          <w:tcPr>
            <w:tcBorders>
              <w:bottom w:val="single" w:sz="6" w:color="000000"/>
            </w:tcBorders>
          </w:tcPr>
          <w:p>
            <w:pPr>
              <w:pStyle w:val="Compact"/>
              <w:spacing w:before="20" w:after="20" w:line="240" w:lineRule="auto"/>
              <w:jc w:val="center"/>
            </w:pPr>
            <w:r>
              <w:rPr>
                <w:b/>
                <w:color w:val="000000"/>
                <w:sz w:val="16"/>
              </w:rPr>
              <w:t xml:space="preserve">Years (</w:t>
            </w:r>
            <w:r>
              <w:rPr>
                <w:b/>
                <w:i/>
                <w:iCs/>
                <w:color w:val="000000"/>
                <w:sz w:val="16"/>
              </w:rPr>
              <w:t xml:space="preserve">n</w:t>
            </w:r>
            <w:r>
              <w:rPr>
                <w:b/>
                <w:color w:val="000000"/>
                <w:sz w:val="16"/>
              </w:rPr>
              <w:t xml:space="preserve">)</w:t>
            </w:r>
          </w:p>
        </w:tc>
        <w:tc>
          <w:tcPr>
            <w:tcBorders>
              <w:bottom w:val="single" w:sz="6" w:color="000000"/>
            </w:tcBorders>
          </w:tcPr>
          <w:p>
            <w:pPr>
              <w:pStyle w:val="Compact"/>
              <w:spacing w:before="20" w:after="20" w:line="240" w:lineRule="auto"/>
              <w:jc w:val="right"/>
            </w:pPr>
            <w:r>
              <w:rPr>
                <w:b/>
                <w:color w:val="000000"/>
                <w:sz w:val="16"/>
              </w:rPr>
              <w:t xml:space="preserve">Correlation,</w:t>
            </w:r>
            <w:r>
              <w:rPr>
                <w:b/>
                <w:color w:val="000000"/>
                <w:sz w:val="16"/>
              </w:rPr>
              <w:t xml:space="preserve"> </w:t>
            </w:r>
            <w:r>
              <w:rPr>
                <w:b/>
                <w:i/>
                <w:iCs/>
                <w:color w:val="000000"/>
                <w:sz w:val="16"/>
              </w:rPr>
              <w:t xml:space="preserve">r</w:t>
            </w:r>
          </w:p>
        </w:tc>
        <w:tc>
          <w:tcPr>
            <w:tcBorders>
              <w:bottom w:val="single" w:sz="6" w:color="000000"/>
            </w:tcBorders>
          </w:tcPr>
          <w:p>
            <w:pPr>
              <w:pStyle w:val="Compact"/>
              <w:spacing w:before="20" w:after="20" w:line="240" w:lineRule="auto"/>
              <w:jc w:val="right"/>
            </w:pPr>
            <w:r>
              <w:rPr>
                <w:b/>
                <w:color w:val="000000"/>
                <w:sz w:val="16"/>
              </w:rPr>
              <w:t xml:space="preserve">Covariance term</w:t>
            </w:r>
          </w:p>
        </w:tc>
        <w:tc>
          <w:tcPr>
            <w:tcBorders>
              <w:bottom w:val="single" w:sz="6" w:color="000000"/>
            </w:tcBorders>
          </w:tcPr>
          <w:p>
            <w:pPr>
              <w:pStyle w:val="Compact"/>
              <w:spacing w:before="20" w:after="20" w:line="240" w:lineRule="auto"/>
              <w:jc w:val="right"/>
            </w:pPr>
            <w:r>
              <w:rPr>
                <w:b/>
                <w:color w:val="000000"/>
                <w:sz w:val="16"/>
              </w:rPr>
              <w:t xml:space="preserve">Share of full change</w:t>
            </w:r>
          </w:p>
        </w:tc>
      </w:tr>
      <w:tr>
        <w:tc>
          <w:tcPr/>
          <w:p>
            <w:pPr>
              <w:pStyle w:val="Compact"/>
              <w:spacing w:before="0" w:after="0" w:line="240" w:lineRule="auto"/>
              <w:jc w:val="left"/>
            </w:pPr>
            <w:r>
              <w:rPr>
                <w:b w:val="0"/>
                <w:color w:val="000000"/>
                <w:sz w:val="16"/>
              </w:rPr>
              <w:t xml:space="preserve">Early window</w:t>
            </w:r>
          </w:p>
        </w:tc>
        <w:tc>
          <w:tcPr/>
          <w:p>
            <w:pPr>
              <w:pStyle w:val="Compact"/>
              <w:spacing w:before="0" w:after="0" w:line="240" w:lineRule="auto"/>
              <w:jc w:val="center"/>
            </w:pPr>
            <w:r>
              <w:rPr>
                <w:b w:val="0"/>
                <w:color w:val="000000"/>
                <w:sz w:val="16"/>
              </w:rPr>
              <w:t xml:space="preserve">2001–2010 (10)</w:t>
            </w:r>
          </w:p>
        </w:tc>
        <w:tc>
          <w:tcPr/>
          <w:p>
            <w:pPr>
              <w:pStyle w:val="Compact"/>
              <w:spacing w:before="0" w:after="0" w:line="240" w:lineRule="auto"/>
              <w:jc w:val="right"/>
            </w:pPr>
            <w:r>
              <w:rPr>
                <w:b w:val="0"/>
                <w:color w:val="000000"/>
                <w:sz w:val="16"/>
              </w:rPr>
              <w:t xml:space="preserve">−0.23</w:t>
            </w:r>
          </w:p>
        </w:tc>
        <w:tc>
          <w:tcPr/>
          <w:p>
            <w:pPr>
              <w:pStyle w:val="Compact"/>
              <w:spacing w:before="0" w:after="0" w:line="240" w:lineRule="auto"/>
              <w:jc w:val="right"/>
            </w:pPr>
            <w:r>
              <w:rPr>
                <w:b w:val="0"/>
                <w:color w:val="000000"/>
                <w:sz w:val="16"/>
              </w:rPr>
              <w:t xml:space="preserve">−0.0077</w:t>
            </w:r>
          </w:p>
        </w:tc>
        <w:tc>
          <w:tcPr/>
          <w:p>
            <w:pPr>
              <w:pStyle w:val="Compact"/>
              <w:spacing w:before="0" w:after="0" w:line="240" w:lineRule="auto"/>
              <w:jc w:val="right"/>
            </w:pPr>
            <w:r>
              <w:rPr>
                <w:b w:val="0"/>
                <w:color w:val="000000"/>
                <w:sz w:val="16"/>
              </w:rPr>
              <w:t xml:space="preserve">—</w:t>
            </w:r>
          </w:p>
        </w:tc>
      </w:tr>
      <w:tr>
        <w:tc>
          <w:tcPr/>
          <w:p>
            <w:pPr>
              <w:pStyle w:val="Compact"/>
              <w:spacing w:before="0" w:after="0" w:line="240" w:lineRule="auto"/>
              <w:jc w:val="left"/>
            </w:pPr>
            <w:r>
              <w:rPr>
                <w:b w:val="0"/>
                <w:color w:val="000000"/>
                <w:sz w:val="16"/>
              </w:rPr>
              <w:t xml:space="preserve">Recent baseline</w:t>
            </w:r>
          </w:p>
        </w:tc>
        <w:tc>
          <w:tcPr/>
          <w:p>
            <w:pPr>
              <w:pStyle w:val="Compact"/>
              <w:spacing w:before="0" w:after="0" w:line="240" w:lineRule="auto"/>
              <w:jc w:val="center"/>
            </w:pPr>
            <w:r>
              <w:rPr>
                <w:b w:val="0"/>
                <w:color w:val="000000"/>
                <w:sz w:val="16"/>
              </w:rPr>
              <w:t xml:space="preserve">2015–2024 (10)</w:t>
            </w:r>
          </w:p>
        </w:tc>
        <w:tc>
          <w:tcPr/>
          <w:p>
            <w:pPr>
              <w:pStyle w:val="Compact"/>
              <w:spacing w:before="0" w:after="0" w:line="240" w:lineRule="auto"/>
              <w:jc w:val="right"/>
            </w:pPr>
            <w:r>
              <w:rPr>
                <w:b w:val="0"/>
                <w:color w:val="000000"/>
                <w:sz w:val="16"/>
              </w:rPr>
              <w:t xml:space="preserve">0.48</w:t>
            </w:r>
          </w:p>
        </w:tc>
        <w:tc>
          <w:tcPr/>
          <w:p>
            <w:pPr>
              <w:pStyle w:val="Compact"/>
              <w:spacing w:before="0" w:after="0" w:line="240" w:lineRule="auto"/>
              <w:jc w:val="right"/>
            </w:pPr>
            <w:r>
              <w:rPr>
                <w:b w:val="0"/>
                <w:color w:val="000000"/>
                <w:sz w:val="16"/>
              </w:rPr>
              <w:t xml:space="preserve">0.033</w:t>
            </w:r>
          </w:p>
        </w:tc>
        <w:tc>
          <w:tcPr/>
          <w:p>
            <w:pPr>
              <w:pStyle w:val="Compact"/>
              <w:spacing w:before="0" w:after="0" w:line="240" w:lineRule="auto"/>
              <w:jc w:val="right"/>
            </w:pPr>
            <w:r>
              <w:rPr>
                <w:b w:val="0"/>
                <w:color w:val="000000"/>
                <w:sz w:val="16"/>
              </w:rPr>
              <w:t xml:space="preserve">44%</w:t>
            </w:r>
          </w:p>
        </w:tc>
      </w:tr>
      <w:tr>
        <w:tc>
          <w:tcPr/>
          <w:p>
            <w:pPr>
              <w:pStyle w:val="Compact"/>
              <w:spacing w:before="0" w:after="0" w:line="240" w:lineRule="auto"/>
              <w:jc w:val="left"/>
            </w:pPr>
            <w:r>
              <w:rPr>
                <w:b w:val="0"/>
                <w:color w:val="000000"/>
                <w:sz w:val="16"/>
              </w:rPr>
              <w:t xml:space="preserve">Exclude 2023</w:t>
            </w:r>
          </w:p>
        </w:tc>
        <w:tc>
          <w:tcPr/>
          <w:p>
            <w:pPr>
              <w:pStyle w:val="Compact"/>
              <w:spacing w:before="0" w:after="0" w:line="240" w:lineRule="auto"/>
              <w:jc w:val="center"/>
            </w:pPr>
            <w:r>
              <w:rPr>
                <w:b w:val="0"/>
                <w:color w:val="000000"/>
                <w:sz w:val="16"/>
              </w:rPr>
              <w:t xml:space="preserve">2015–2022, 2024 (9)</w:t>
            </w:r>
          </w:p>
        </w:tc>
        <w:tc>
          <w:tcPr/>
          <w:p>
            <w:pPr>
              <w:pStyle w:val="Compact"/>
              <w:spacing w:before="0" w:after="0" w:line="240" w:lineRule="auto"/>
              <w:jc w:val="right"/>
            </w:pPr>
            <w:r>
              <w:rPr>
                <w:b w:val="0"/>
                <w:color w:val="000000"/>
                <w:sz w:val="16"/>
              </w:rPr>
              <w:t xml:space="preserve">0.64</w:t>
            </w:r>
          </w:p>
        </w:tc>
        <w:tc>
          <w:tcPr/>
          <w:p>
            <w:pPr>
              <w:pStyle w:val="Compact"/>
              <w:spacing w:before="0" w:after="0" w:line="240" w:lineRule="auto"/>
              <w:jc w:val="right"/>
            </w:pPr>
            <w:r>
              <w:rPr>
                <w:b w:val="0"/>
                <w:color w:val="000000"/>
                <w:sz w:val="16"/>
              </w:rPr>
              <w:t xml:space="preserve">0.035</w:t>
            </w:r>
          </w:p>
        </w:tc>
        <w:tc>
          <w:tcPr/>
          <w:p>
            <w:pPr>
              <w:pStyle w:val="Compact"/>
              <w:spacing w:before="0" w:after="0" w:line="240" w:lineRule="auto"/>
              <w:jc w:val="right"/>
            </w:pPr>
            <w:r>
              <w:rPr>
                <w:b w:val="0"/>
                <w:color w:val="000000"/>
                <w:sz w:val="16"/>
              </w:rPr>
              <w:t xml:space="preserve">41%</w:t>
            </w:r>
          </w:p>
        </w:tc>
      </w:tr>
      <w:tr>
        <w:tc>
          <w:tcPr/>
          <w:p>
            <w:pPr>
              <w:pStyle w:val="Compact"/>
              <w:spacing w:before="0" w:after="0" w:line="240" w:lineRule="auto"/>
              <w:jc w:val="left"/>
            </w:pPr>
            <w:r>
              <w:rPr>
                <w:b w:val="0"/>
                <w:color w:val="000000"/>
                <w:sz w:val="16"/>
              </w:rPr>
              <w:t xml:space="preserve">Include 2025</w:t>
            </w:r>
          </w:p>
        </w:tc>
        <w:tc>
          <w:tcPr/>
          <w:p>
            <w:pPr>
              <w:pStyle w:val="Compact"/>
              <w:spacing w:before="0" w:after="0" w:line="240" w:lineRule="auto"/>
              <w:jc w:val="center"/>
            </w:pPr>
            <w:r>
              <w:rPr>
                <w:b w:val="0"/>
                <w:color w:val="000000"/>
                <w:sz w:val="16"/>
              </w:rPr>
              <w:t xml:space="preserve">2015–2025 (11)</w:t>
            </w:r>
          </w:p>
        </w:tc>
        <w:tc>
          <w:tcPr/>
          <w:p>
            <w:pPr>
              <w:pStyle w:val="Compact"/>
              <w:spacing w:before="0" w:after="0" w:line="240" w:lineRule="auto"/>
              <w:jc w:val="right"/>
            </w:pPr>
            <w:r>
              <w:rPr>
                <w:b w:val="0"/>
                <w:color w:val="000000"/>
                <w:sz w:val="16"/>
              </w:rPr>
              <w:t xml:space="preserve">0.56</w:t>
            </w:r>
          </w:p>
        </w:tc>
        <w:tc>
          <w:tcPr/>
          <w:p>
            <w:pPr>
              <w:pStyle w:val="Compact"/>
              <w:spacing w:before="0" w:after="0" w:line="240" w:lineRule="auto"/>
              <w:jc w:val="right"/>
            </w:pPr>
            <w:r>
              <w:rPr>
                <w:b w:val="0"/>
                <w:color w:val="000000"/>
                <w:sz w:val="16"/>
              </w:rPr>
              <w:t xml:space="preserve">0.041</w:t>
            </w:r>
          </w:p>
        </w:tc>
        <w:tc>
          <w:tcPr/>
          <w:p>
            <w:pPr>
              <w:pStyle w:val="Compact"/>
              <w:spacing w:before="0" w:after="0" w:line="240" w:lineRule="auto"/>
              <w:jc w:val="right"/>
            </w:pPr>
            <w:r>
              <w:rPr>
                <w:b w:val="0"/>
                <w:color w:val="000000"/>
                <w:sz w:val="16"/>
              </w:rPr>
              <w:t xml:space="preserve">48%</w:t>
            </w:r>
          </w:p>
        </w:tc>
      </w:tr>
      <w:tr>
        <w:tc>
          <w:tcPr/>
          <w:p>
            <w:pPr>
              <w:pStyle w:val="Compact"/>
              <w:spacing w:before="0" w:after="0" w:line="240" w:lineRule="auto"/>
              <w:jc w:val="left"/>
            </w:pPr>
            <w:r>
              <w:rPr>
                <w:b w:val="0"/>
                <w:color w:val="000000"/>
                <w:sz w:val="16"/>
              </w:rPr>
              <w:t xml:space="preserve">Matched 10-year</w:t>
            </w:r>
          </w:p>
        </w:tc>
        <w:tc>
          <w:tcPr/>
          <w:p>
            <w:pPr>
              <w:pStyle w:val="Compact"/>
              <w:spacing w:before="0" w:after="0" w:line="240" w:lineRule="auto"/>
              <w:jc w:val="center"/>
            </w:pPr>
            <w:r>
              <w:rPr>
                <w:b w:val="0"/>
                <w:color w:val="000000"/>
                <w:sz w:val="16"/>
              </w:rPr>
              <w:t xml:space="preserve">2016–2025 (10)</w:t>
            </w:r>
          </w:p>
        </w:tc>
        <w:tc>
          <w:tcPr/>
          <w:p>
            <w:pPr>
              <w:pStyle w:val="Compact"/>
              <w:spacing w:before="0" w:after="0" w:line="240" w:lineRule="auto"/>
              <w:jc w:val="right"/>
            </w:pPr>
            <w:r>
              <w:rPr>
                <w:b w:val="0"/>
                <w:color w:val="000000"/>
                <w:sz w:val="16"/>
              </w:rPr>
              <w:t xml:space="preserve">0.57</w:t>
            </w:r>
          </w:p>
        </w:tc>
        <w:tc>
          <w:tcPr/>
          <w:p>
            <w:pPr>
              <w:pStyle w:val="Compact"/>
              <w:spacing w:before="0" w:after="0" w:line="240" w:lineRule="auto"/>
              <w:jc w:val="right"/>
            </w:pPr>
            <w:r>
              <w:rPr>
                <w:b w:val="0"/>
                <w:color w:val="000000"/>
                <w:sz w:val="16"/>
              </w:rPr>
              <w:t xml:space="preserve">0.044</w:t>
            </w:r>
          </w:p>
        </w:tc>
        <w:tc>
          <w:tcPr/>
          <w:p>
            <w:pPr>
              <w:pStyle w:val="Compact"/>
              <w:spacing w:before="0" w:after="0" w:line="240" w:lineRule="auto"/>
              <w:jc w:val="right"/>
            </w:pPr>
            <w:r>
              <w:rPr>
                <w:b w:val="0"/>
                <w:color w:val="000000"/>
                <w:sz w:val="16"/>
              </w:rPr>
              <w:t xml:space="preserve">45%</w:t>
            </w:r>
          </w:p>
        </w:tc>
      </w:tr>
    </w:tbl>
    <w:p>
      <w:pPr>
        <w:pStyle w:val="BodyText"/>
        <w:spacing w:before="40" w:after="200" w:line="480" w:lineRule="auto"/>
        <w:rPr>
          <w:sz w:val="22"/>
        </w:rPr>
      </w:pPr>
      <w:r>
        <w:rPr>
          <w:rFonts w:ascii="Cambria" w:hAnsi="Cambria"/>
          <w:sz w:val="22"/>
        </w:rPr>
        <w:t xml:space="preserve">Positive covariance means the two groups tended to be high or low in the same years; negative covariance means they tended to cancel. Values are in PgC² yr⁻² and are doubled because the boreal–tropical pair enters the variance of the global sum twice, once in each direction. The percentage is the boreal–tropical change divided by the full 14-region change from the 2001–2010 reference; each row has its own fitted trends.</w:t>
      </w:r>
    </w:p>
    <w:p>
      <w:pPr>
        <w:pStyle w:val="BodyText"/>
        <w:spacing w:before="40" w:after="200" w:line="480" w:lineRule="auto"/>
        <w:rPr>
          <w:sz w:val="22"/>
        </w:rPr>
      </w:pPr>
      <w:r>
        <w:rPr>
          <w:rFonts w:ascii="Cambria" w:hAnsi="Cambria"/>
          <w:b/>
          <w:bCs/>
          <w:sz w:val="22"/>
        </w:rPr>
        <w:t xml:space="preserve">Supplementary Table 2 | Fixed fire-season definitions for the 14 GFED basis regions.</w:t>
      </w:r>
    </w:p>
    <w:tbl>
      <w:tblPr>
        <w:tblStyle w:val="Table"/>
        <w:jc w:val="center"/>
        <w:tblLayout w:type="fixed"/>
        <w:tblLook w:firstRow="1" w:lastRow="0" w:firstColumn="0" w:lastColumn="0" w:noHBand="0" w:noVBand="0" w:val="0020"/>
        <w:tblW w:w="5000" w:type="pct"/>
        <w:tblCellMar>
          <w:top w:w="15" w:type="dxa"/>
          <w:bottom w:w="15" w:type="dxa"/>
          <w:left w:w="40" w:type="dxa"/>
          <w:right w:w="40" w:type="dxa"/>
        </w:tblCellMar>
        <w:tblBorders>
          <w:top w:val="single" w:sz="6" w:color="000000"/>
          <w:bottom w:val="single" w:sz="6" w:color="000000"/>
          <w:left w:val="none"/>
          <w:right w:val="none"/>
          <w:insideH w:val="none"/>
          <w:insideV w:val="none"/>
        </w:tblBorders>
      </w:tblPr>
      <w:tblGrid>
        <w:gridCol w:w="3529"/>
        <w:gridCol w:w="1463"/>
        <w:gridCol w:w="1463"/>
        <w:gridCol w:w="1463"/>
      </w:tblGrid>
      <w:tr>
        <w:trPr>
          <w:tblHeader w:val="on"/>
        </w:trPr>
        <w:tc>
          <w:tcPr>
            <w:tcBorders>
              <w:bottom w:val="single" w:sz="6" w:color="000000"/>
            </w:tcBorders>
          </w:tcPr>
          <w:p>
            <w:pPr>
              <w:pStyle w:val="Compact"/>
              <w:spacing w:before="20" w:after="20" w:line="240" w:lineRule="auto"/>
              <w:jc w:val="left"/>
            </w:pPr>
            <w:r>
              <w:rPr>
                <w:b/>
                <w:color w:val="000000"/>
                <w:sz w:val="16"/>
              </w:rPr>
              <w:t xml:space="preserve">Region</w:t>
            </w:r>
          </w:p>
        </w:tc>
        <w:tc>
          <w:tcPr>
            <w:tcBorders>
              <w:bottom w:val="single" w:sz="6" w:color="000000"/>
            </w:tcBorders>
          </w:tcPr>
          <w:p>
            <w:pPr>
              <w:pStyle w:val="Compact"/>
              <w:spacing w:before="20" w:after="20" w:line="240" w:lineRule="auto"/>
              <w:jc w:val="left"/>
            </w:pPr>
            <w:r>
              <w:rPr>
                <w:b/>
                <w:color w:val="000000"/>
                <w:sz w:val="16"/>
              </w:rPr>
              <w:t xml:space="preserve">Abbreviation</w:t>
            </w:r>
          </w:p>
        </w:tc>
        <w:tc>
          <w:tcPr>
            <w:tcBorders>
              <w:bottom w:val="single" w:sz="6" w:color="000000"/>
            </w:tcBorders>
          </w:tcPr>
          <w:p>
            <w:pPr>
              <w:pStyle w:val="Compact"/>
              <w:spacing w:before="20" w:after="20" w:line="240" w:lineRule="auto"/>
              <w:jc w:val="left"/>
            </w:pPr>
            <w:r>
              <w:rPr>
                <w:b/>
                <w:color w:val="000000"/>
                <w:sz w:val="16"/>
              </w:rPr>
              <w:t xml:space="preserve">Fire season</w:t>
            </w:r>
          </w:p>
        </w:tc>
        <w:tc>
          <w:tcPr>
            <w:tcBorders>
              <w:bottom w:val="single" w:sz="6" w:color="000000"/>
            </w:tcBorders>
          </w:tcPr>
          <w:p>
            <w:pPr>
              <w:pStyle w:val="Compact"/>
              <w:spacing w:before="20" w:after="20" w:line="240" w:lineRule="auto"/>
              <w:jc w:val="left"/>
            </w:pPr>
            <w:r>
              <w:rPr>
                <w:b/>
                <w:color w:val="000000"/>
                <w:sz w:val="16"/>
              </w:rPr>
              <w:t xml:space="preserve">Anchor month</w:t>
            </w:r>
          </w:p>
        </w:tc>
      </w:tr>
      <w:tr>
        <w:tc>
          <w:tcPr/>
          <w:p>
            <w:pPr>
              <w:pStyle w:val="Compact"/>
              <w:spacing w:before="0" w:after="0" w:line="240" w:lineRule="auto"/>
              <w:jc w:val="left"/>
            </w:pPr>
            <w:r>
              <w:rPr>
                <w:b w:val="0"/>
                <w:color w:val="000000"/>
                <w:sz w:val="16"/>
              </w:rPr>
              <w:t xml:space="preserve">Boreal North America</w:t>
            </w:r>
          </w:p>
        </w:tc>
        <w:tc>
          <w:tcPr/>
          <w:p>
            <w:pPr>
              <w:pStyle w:val="Compact"/>
              <w:spacing w:before="0" w:after="0" w:line="240" w:lineRule="auto"/>
              <w:jc w:val="left"/>
            </w:pPr>
            <w:r>
              <w:rPr>
                <w:b w:val="0"/>
                <w:color w:val="000000"/>
                <w:sz w:val="16"/>
              </w:rPr>
              <w:t xml:space="preserve">BONA</w:t>
            </w:r>
          </w:p>
        </w:tc>
        <w:tc>
          <w:tcPr/>
          <w:p>
            <w:pPr>
              <w:pStyle w:val="Compact"/>
              <w:spacing w:before="0" w:after="0" w:line="240" w:lineRule="auto"/>
              <w:jc w:val="left"/>
            </w:pPr>
            <w:r>
              <w:rPr>
                <w:b w:val="0"/>
                <w:color w:val="000000"/>
                <w:sz w:val="16"/>
              </w:rPr>
              <w:t xml:space="preserve">May–Aug</w:t>
            </w:r>
          </w:p>
        </w:tc>
        <w:tc>
          <w:tcPr/>
          <w:p>
            <w:pPr>
              <w:pStyle w:val="Compact"/>
              <w:spacing w:before="0" w:after="0" w:line="240" w:lineRule="auto"/>
              <w:jc w:val="left"/>
            </w:pPr>
            <w:r>
              <w:rPr>
                <w:b w:val="0"/>
                <w:color w:val="000000"/>
                <w:sz w:val="16"/>
              </w:rPr>
              <w:t xml:space="preserve">July</w:t>
            </w:r>
          </w:p>
        </w:tc>
      </w:tr>
      <w:tr>
        <w:tc>
          <w:tcPr/>
          <w:p>
            <w:pPr>
              <w:pStyle w:val="Compact"/>
              <w:spacing w:before="0" w:after="0" w:line="240" w:lineRule="auto"/>
              <w:jc w:val="left"/>
            </w:pPr>
            <w:r>
              <w:rPr>
                <w:b w:val="0"/>
                <w:color w:val="000000"/>
                <w:sz w:val="16"/>
              </w:rPr>
              <w:t xml:space="preserve">Temperate North America</w:t>
            </w:r>
          </w:p>
        </w:tc>
        <w:tc>
          <w:tcPr/>
          <w:p>
            <w:pPr>
              <w:pStyle w:val="Compact"/>
              <w:spacing w:before="0" w:after="0" w:line="240" w:lineRule="auto"/>
              <w:jc w:val="left"/>
            </w:pPr>
            <w:r>
              <w:rPr>
                <w:b w:val="0"/>
                <w:color w:val="000000"/>
                <w:sz w:val="16"/>
              </w:rPr>
              <w:t xml:space="preserve">TENA</w:t>
            </w:r>
          </w:p>
        </w:tc>
        <w:tc>
          <w:tcPr/>
          <w:p>
            <w:pPr>
              <w:pStyle w:val="Compact"/>
              <w:spacing w:before="0" w:after="0" w:line="240" w:lineRule="auto"/>
              <w:jc w:val="left"/>
            </w:pPr>
            <w:r>
              <w:rPr>
                <w:b w:val="0"/>
                <w:color w:val="000000"/>
                <w:sz w:val="16"/>
              </w:rPr>
              <w:t xml:space="preserve">Jul–Oct</w:t>
            </w:r>
          </w:p>
        </w:tc>
        <w:tc>
          <w:tcPr/>
          <w:p>
            <w:pPr>
              <w:pStyle w:val="Compact"/>
              <w:spacing w:before="0" w:after="0" w:line="240" w:lineRule="auto"/>
              <w:jc w:val="left"/>
            </w:pPr>
            <w:r>
              <w:rPr>
                <w:b w:val="0"/>
                <w:color w:val="000000"/>
                <w:sz w:val="16"/>
              </w:rPr>
              <w:t xml:space="preserve">August</w:t>
            </w:r>
          </w:p>
        </w:tc>
      </w:tr>
      <w:tr>
        <w:tc>
          <w:tcPr/>
          <w:p>
            <w:pPr>
              <w:pStyle w:val="Compact"/>
              <w:spacing w:before="0" w:after="0" w:line="240" w:lineRule="auto"/>
              <w:jc w:val="left"/>
            </w:pPr>
            <w:r>
              <w:rPr>
                <w:b w:val="0"/>
                <w:color w:val="000000"/>
                <w:sz w:val="16"/>
              </w:rPr>
              <w:t xml:space="preserve">Central America</w:t>
            </w:r>
          </w:p>
        </w:tc>
        <w:tc>
          <w:tcPr/>
          <w:p>
            <w:pPr>
              <w:pStyle w:val="Compact"/>
              <w:spacing w:before="0" w:after="0" w:line="240" w:lineRule="auto"/>
              <w:jc w:val="left"/>
            </w:pPr>
            <w:r>
              <w:rPr>
                <w:b w:val="0"/>
                <w:color w:val="000000"/>
                <w:sz w:val="16"/>
              </w:rPr>
              <w:t xml:space="preserve">CEAM</w:t>
            </w:r>
          </w:p>
        </w:tc>
        <w:tc>
          <w:tcPr/>
          <w:p>
            <w:pPr>
              <w:pStyle w:val="Compact"/>
              <w:spacing w:before="0" w:after="0" w:line="240" w:lineRule="auto"/>
              <w:jc w:val="left"/>
            </w:pPr>
            <w:r>
              <w:rPr>
                <w:b w:val="0"/>
                <w:color w:val="000000"/>
                <w:sz w:val="16"/>
              </w:rPr>
              <w:t xml:space="preserve">Mar–Jun</w:t>
            </w:r>
          </w:p>
        </w:tc>
        <w:tc>
          <w:tcPr/>
          <w:p>
            <w:pPr>
              <w:pStyle w:val="Compact"/>
              <w:spacing w:before="0" w:after="0" w:line="240" w:lineRule="auto"/>
              <w:jc w:val="left"/>
            </w:pPr>
            <w:r>
              <w:rPr>
                <w:b w:val="0"/>
                <w:color w:val="000000"/>
                <w:sz w:val="16"/>
              </w:rPr>
              <w:t xml:space="preserve">May</w:t>
            </w:r>
          </w:p>
        </w:tc>
      </w:tr>
      <w:tr>
        <w:tc>
          <w:tcPr/>
          <w:p>
            <w:pPr>
              <w:pStyle w:val="Compact"/>
              <w:spacing w:before="0" w:after="0" w:line="240" w:lineRule="auto"/>
              <w:jc w:val="left"/>
            </w:pPr>
            <w:r>
              <w:rPr>
                <w:b w:val="0"/>
                <w:color w:val="000000"/>
                <w:sz w:val="16"/>
              </w:rPr>
              <w:t xml:space="preserve">Northern Hemisphere South America</w:t>
            </w:r>
          </w:p>
        </w:tc>
        <w:tc>
          <w:tcPr/>
          <w:p>
            <w:pPr>
              <w:pStyle w:val="Compact"/>
              <w:spacing w:before="0" w:after="0" w:line="240" w:lineRule="auto"/>
              <w:jc w:val="left"/>
            </w:pPr>
            <w:r>
              <w:rPr>
                <w:b w:val="0"/>
                <w:color w:val="000000"/>
                <w:sz w:val="16"/>
              </w:rPr>
              <w:t xml:space="preserve">NHSA</w:t>
            </w:r>
          </w:p>
        </w:tc>
        <w:tc>
          <w:tcPr/>
          <w:p>
            <w:pPr>
              <w:pStyle w:val="Compact"/>
              <w:spacing w:before="0" w:after="0" w:line="240" w:lineRule="auto"/>
              <w:jc w:val="left"/>
            </w:pPr>
            <w:r>
              <w:rPr>
                <w:b w:val="0"/>
                <w:color w:val="000000"/>
                <w:sz w:val="16"/>
              </w:rPr>
              <w:t xml:space="preserve">Jan–Apr</w:t>
            </w:r>
          </w:p>
        </w:tc>
        <w:tc>
          <w:tcPr/>
          <w:p>
            <w:pPr>
              <w:pStyle w:val="Compact"/>
              <w:spacing w:before="0" w:after="0" w:line="240" w:lineRule="auto"/>
              <w:jc w:val="left"/>
            </w:pPr>
            <w:r>
              <w:rPr>
                <w:b w:val="0"/>
                <w:color w:val="000000"/>
                <w:sz w:val="16"/>
              </w:rPr>
              <w:t xml:space="preserve">February</w:t>
            </w:r>
          </w:p>
        </w:tc>
      </w:tr>
      <w:tr>
        <w:tc>
          <w:tcPr/>
          <w:p>
            <w:pPr>
              <w:pStyle w:val="Compact"/>
              <w:spacing w:before="0" w:after="0" w:line="240" w:lineRule="auto"/>
              <w:jc w:val="left"/>
            </w:pPr>
            <w:r>
              <w:rPr>
                <w:b w:val="0"/>
                <w:color w:val="000000"/>
                <w:sz w:val="16"/>
              </w:rPr>
              <w:t xml:space="preserve">Southern Hemisphere South America</w:t>
            </w:r>
          </w:p>
        </w:tc>
        <w:tc>
          <w:tcPr/>
          <w:p>
            <w:pPr>
              <w:pStyle w:val="Compact"/>
              <w:spacing w:before="0" w:after="0" w:line="240" w:lineRule="auto"/>
              <w:jc w:val="left"/>
            </w:pPr>
            <w:r>
              <w:rPr>
                <w:b w:val="0"/>
                <w:color w:val="000000"/>
                <w:sz w:val="16"/>
              </w:rPr>
              <w:t xml:space="preserve">SHSA</w:t>
            </w:r>
          </w:p>
        </w:tc>
        <w:tc>
          <w:tcPr/>
          <w:p>
            <w:pPr>
              <w:pStyle w:val="Compact"/>
              <w:spacing w:before="0" w:after="0" w:line="240" w:lineRule="auto"/>
              <w:jc w:val="left"/>
            </w:pPr>
            <w:r>
              <w:rPr>
                <w:b w:val="0"/>
                <w:color w:val="000000"/>
                <w:sz w:val="16"/>
              </w:rPr>
              <w:t xml:space="preserve">Aug–Nov</w:t>
            </w:r>
          </w:p>
        </w:tc>
        <w:tc>
          <w:tcPr/>
          <w:p>
            <w:pPr>
              <w:pStyle w:val="Compact"/>
              <w:spacing w:before="0" w:after="0" w:line="240" w:lineRule="auto"/>
              <w:jc w:val="left"/>
            </w:pPr>
            <w:r>
              <w:rPr>
                <w:b w:val="0"/>
                <w:color w:val="000000"/>
                <w:sz w:val="16"/>
              </w:rPr>
              <w:t xml:space="preserve">September</w:t>
            </w:r>
          </w:p>
        </w:tc>
      </w:tr>
      <w:tr>
        <w:tc>
          <w:tcPr/>
          <w:p>
            <w:pPr>
              <w:pStyle w:val="Compact"/>
              <w:spacing w:before="0" w:after="0" w:line="240" w:lineRule="auto"/>
              <w:jc w:val="left"/>
            </w:pPr>
            <w:r>
              <w:rPr>
                <w:b w:val="0"/>
                <w:color w:val="000000"/>
                <w:sz w:val="16"/>
              </w:rPr>
              <w:t xml:space="preserve">Europe</w:t>
            </w:r>
          </w:p>
        </w:tc>
        <w:tc>
          <w:tcPr/>
          <w:p>
            <w:pPr>
              <w:pStyle w:val="Compact"/>
              <w:spacing w:before="0" w:after="0" w:line="240" w:lineRule="auto"/>
              <w:jc w:val="left"/>
            </w:pPr>
            <w:r>
              <w:rPr>
                <w:b w:val="0"/>
                <w:color w:val="000000"/>
                <w:sz w:val="16"/>
              </w:rPr>
              <w:t xml:space="preserve">EURO</w:t>
            </w:r>
          </w:p>
        </w:tc>
        <w:tc>
          <w:tcPr/>
          <w:p>
            <w:pPr>
              <w:pStyle w:val="Compact"/>
              <w:spacing w:before="0" w:after="0" w:line="240" w:lineRule="auto"/>
              <w:jc w:val="left"/>
            </w:pPr>
            <w:r>
              <w:rPr>
                <w:b w:val="0"/>
                <w:color w:val="000000"/>
                <w:sz w:val="16"/>
              </w:rPr>
              <w:t xml:space="preserve">Jul–Oct</w:t>
            </w:r>
          </w:p>
        </w:tc>
        <w:tc>
          <w:tcPr/>
          <w:p>
            <w:pPr>
              <w:pStyle w:val="Compact"/>
              <w:spacing w:before="0" w:after="0" w:line="240" w:lineRule="auto"/>
              <w:jc w:val="left"/>
            </w:pPr>
            <w:r>
              <w:rPr>
                <w:b w:val="0"/>
                <w:color w:val="000000"/>
                <w:sz w:val="16"/>
              </w:rPr>
              <w:t xml:space="preserve">August</w:t>
            </w:r>
          </w:p>
        </w:tc>
      </w:tr>
      <w:tr>
        <w:tc>
          <w:tcPr/>
          <w:p>
            <w:pPr>
              <w:pStyle w:val="Compact"/>
              <w:spacing w:before="0" w:after="0" w:line="240" w:lineRule="auto"/>
              <w:jc w:val="left"/>
            </w:pPr>
            <w:r>
              <w:rPr>
                <w:b w:val="0"/>
                <w:color w:val="000000"/>
                <w:sz w:val="16"/>
              </w:rPr>
              <w:t xml:space="preserve">Middle East</w:t>
            </w:r>
          </w:p>
        </w:tc>
        <w:tc>
          <w:tcPr/>
          <w:p>
            <w:pPr>
              <w:pStyle w:val="Compact"/>
              <w:spacing w:before="0" w:after="0" w:line="240" w:lineRule="auto"/>
              <w:jc w:val="left"/>
            </w:pPr>
            <w:r>
              <w:rPr>
                <w:b w:val="0"/>
                <w:color w:val="000000"/>
                <w:sz w:val="16"/>
              </w:rPr>
              <w:t xml:space="preserve">MIDE</w:t>
            </w:r>
          </w:p>
        </w:tc>
        <w:tc>
          <w:tcPr/>
          <w:p>
            <w:pPr>
              <w:pStyle w:val="Compact"/>
              <w:spacing w:before="0" w:after="0" w:line="240" w:lineRule="auto"/>
              <w:jc w:val="left"/>
            </w:pPr>
            <w:r>
              <w:rPr>
                <w:b w:val="0"/>
                <w:color w:val="000000"/>
                <w:sz w:val="16"/>
              </w:rPr>
              <w:t xml:space="preserve">Jun–Sep</w:t>
            </w:r>
          </w:p>
        </w:tc>
        <w:tc>
          <w:tcPr/>
          <w:p>
            <w:pPr>
              <w:pStyle w:val="Compact"/>
              <w:spacing w:before="0" w:after="0" w:line="240" w:lineRule="auto"/>
              <w:jc w:val="left"/>
            </w:pPr>
            <w:r>
              <w:rPr>
                <w:b w:val="0"/>
                <w:color w:val="000000"/>
                <w:sz w:val="16"/>
              </w:rPr>
              <w:t xml:space="preserve">August</w:t>
            </w:r>
          </w:p>
        </w:tc>
      </w:tr>
      <w:tr>
        <w:tc>
          <w:tcPr/>
          <w:p>
            <w:pPr>
              <w:pStyle w:val="Compact"/>
              <w:spacing w:before="0" w:after="0" w:line="240" w:lineRule="auto"/>
              <w:jc w:val="left"/>
            </w:pPr>
            <w:r>
              <w:rPr>
                <w:b w:val="0"/>
                <w:color w:val="000000"/>
                <w:sz w:val="16"/>
              </w:rPr>
              <w:t xml:space="preserve">Northern Hemisphere Africa</w:t>
            </w:r>
          </w:p>
        </w:tc>
        <w:tc>
          <w:tcPr/>
          <w:p>
            <w:pPr>
              <w:pStyle w:val="Compact"/>
              <w:spacing w:before="0" w:after="0" w:line="240" w:lineRule="auto"/>
              <w:jc w:val="left"/>
            </w:pPr>
            <w:r>
              <w:rPr>
                <w:b w:val="0"/>
                <w:color w:val="000000"/>
                <w:sz w:val="16"/>
              </w:rPr>
              <w:t xml:space="preserve">NHAF</w:t>
            </w:r>
          </w:p>
        </w:tc>
        <w:tc>
          <w:tcPr/>
          <w:p>
            <w:pPr>
              <w:pStyle w:val="Compact"/>
              <w:spacing w:before="0" w:after="0" w:line="240" w:lineRule="auto"/>
              <w:jc w:val="left"/>
            </w:pPr>
            <w:r>
              <w:rPr>
                <w:b w:val="0"/>
                <w:color w:val="000000"/>
                <w:sz w:val="16"/>
              </w:rPr>
              <w:t xml:space="preserve">Nov–Feb</w:t>
            </w:r>
          </w:p>
        </w:tc>
        <w:tc>
          <w:tcPr/>
          <w:p>
            <w:pPr>
              <w:pStyle w:val="Compact"/>
              <w:spacing w:before="0" w:after="0" w:line="240" w:lineRule="auto"/>
              <w:jc w:val="left"/>
            </w:pPr>
            <w:r>
              <w:rPr>
                <w:b w:val="0"/>
                <w:color w:val="000000"/>
                <w:sz w:val="16"/>
              </w:rPr>
              <w:t xml:space="preserve">January</w:t>
            </w:r>
          </w:p>
        </w:tc>
      </w:tr>
      <w:tr>
        <w:tc>
          <w:tcPr/>
          <w:p>
            <w:pPr>
              <w:pStyle w:val="Compact"/>
              <w:spacing w:before="0" w:after="0" w:line="240" w:lineRule="auto"/>
              <w:jc w:val="left"/>
            </w:pPr>
            <w:r>
              <w:rPr>
                <w:b w:val="0"/>
                <w:color w:val="000000"/>
                <w:sz w:val="16"/>
              </w:rPr>
              <w:t xml:space="preserve">Southern Hemisphere Africa</w:t>
            </w:r>
          </w:p>
        </w:tc>
        <w:tc>
          <w:tcPr/>
          <w:p>
            <w:pPr>
              <w:pStyle w:val="Compact"/>
              <w:spacing w:before="0" w:after="0" w:line="240" w:lineRule="auto"/>
              <w:jc w:val="left"/>
            </w:pPr>
            <w:r>
              <w:rPr>
                <w:b w:val="0"/>
                <w:color w:val="000000"/>
                <w:sz w:val="16"/>
              </w:rPr>
              <w:t xml:space="preserve">SHAF</w:t>
            </w:r>
          </w:p>
        </w:tc>
        <w:tc>
          <w:tcPr/>
          <w:p>
            <w:pPr>
              <w:pStyle w:val="Compact"/>
              <w:spacing w:before="0" w:after="0" w:line="240" w:lineRule="auto"/>
              <w:jc w:val="left"/>
            </w:pPr>
            <w:r>
              <w:rPr>
                <w:b w:val="0"/>
                <w:color w:val="000000"/>
                <w:sz w:val="16"/>
              </w:rPr>
              <w:t xml:space="preserve">Jun–Sep</w:t>
            </w:r>
          </w:p>
        </w:tc>
        <w:tc>
          <w:tcPr/>
          <w:p>
            <w:pPr>
              <w:pStyle w:val="Compact"/>
              <w:spacing w:before="0" w:after="0" w:line="240" w:lineRule="auto"/>
              <w:jc w:val="left"/>
            </w:pPr>
            <w:r>
              <w:rPr>
                <w:b w:val="0"/>
                <w:color w:val="000000"/>
                <w:sz w:val="16"/>
              </w:rPr>
              <w:t xml:space="preserve">August</w:t>
            </w:r>
          </w:p>
        </w:tc>
      </w:tr>
      <w:tr>
        <w:tc>
          <w:tcPr/>
          <w:p>
            <w:pPr>
              <w:pStyle w:val="Compact"/>
              <w:spacing w:before="0" w:after="0" w:line="240" w:lineRule="auto"/>
              <w:jc w:val="left"/>
            </w:pPr>
            <w:r>
              <w:rPr>
                <w:b w:val="0"/>
                <w:color w:val="000000"/>
                <w:sz w:val="16"/>
              </w:rPr>
              <w:t xml:space="preserve">Boreal Asia</w:t>
            </w:r>
          </w:p>
        </w:tc>
        <w:tc>
          <w:tcPr/>
          <w:p>
            <w:pPr>
              <w:pStyle w:val="Compact"/>
              <w:spacing w:before="0" w:after="0" w:line="240" w:lineRule="auto"/>
              <w:jc w:val="left"/>
            </w:pPr>
            <w:r>
              <w:rPr>
                <w:b w:val="0"/>
                <w:color w:val="000000"/>
                <w:sz w:val="16"/>
              </w:rPr>
              <w:t xml:space="preserve">BOAS</w:t>
            </w:r>
          </w:p>
        </w:tc>
        <w:tc>
          <w:tcPr/>
          <w:p>
            <w:pPr>
              <w:pStyle w:val="Compact"/>
              <w:spacing w:before="0" w:after="0" w:line="240" w:lineRule="auto"/>
              <w:jc w:val="left"/>
            </w:pPr>
            <w:r>
              <w:rPr>
                <w:b w:val="0"/>
                <w:color w:val="000000"/>
                <w:sz w:val="16"/>
              </w:rPr>
              <w:t xml:space="preserve">Apr–Jul</w:t>
            </w:r>
          </w:p>
        </w:tc>
        <w:tc>
          <w:tcPr/>
          <w:p>
            <w:pPr>
              <w:pStyle w:val="Compact"/>
              <w:spacing w:before="0" w:after="0" w:line="240" w:lineRule="auto"/>
              <w:jc w:val="left"/>
            </w:pPr>
            <w:r>
              <w:rPr>
                <w:b w:val="0"/>
                <w:color w:val="000000"/>
                <w:sz w:val="16"/>
              </w:rPr>
              <w:t xml:space="preserve">July</w:t>
            </w:r>
          </w:p>
        </w:tc>
      </w:tr>
      <w:tr>
        <w:tc>
          <w:tcPr/>
          <w:p>
            <w:pPr>
              <w:pStyle w:val="Compact"/>
              <w:spacing w:before="0" w:after="0" w:line="240" w:lineRule="auto"/>
              <w:jc w:val="left"/>
            </w:pPr>
            <w:r>
              <w:rPr>
                <w:b w:val="0"/>
                <w:color w:val="000000"/>
                <w:sz w:val="16"/>
              </w:rPr>
              <w:t xml:space="preserve">Central Asia</w:t>
            </w:r>
          </w:p>
        </w:tc>
        <w:tc>
          <w:tcPr/>
          <w:p>
            <w:pPr>
              <w:pStyle w:val="Compact"/>
              <w:spacing w:before="0" w:after="0" w:line="240" w:lineRule="auto"/>
              <w:jc w:val="left"/>
            </w:pPr>
            <w:r>
              <w:rPr>
                <w:b w:val="0"/>
                <w:color w:val="000000"/>
                <w:sz w:val="16"/>
              </w:rPr>
              <w:t xml:space="preserve">CEAS</w:t>
            </w:r>
          </w:p>
        </w:tc>
        <w:tc>
          <w:tcPr/>
          <w:p>
            <w:pPr>
              <w:pStyle w:val="Compact"/>
              <w:spacing w:before="0" w:after="0" w:line="240" w:lineRule="auto"/>
              <w:jc w:val="left"/>
            </w:pPr>
            <w:r>
              <w:rPr>
                <w:b w:val="0"/>
                <w:color w:val="000000"/>
                <w:sz w:val="16"/>
              </w:rPr>
              <w:t xml:space="preserve">Jul–Oct</w:t>
            </w:r>
          </w:p>
        </w:tc>
        <w:tc>
          <w:tcPr/>
          <w:p>
            <w:pPr>
              <w:pStyle w:val="Compact"/>
              <w:spacing w:before="0" w:after="0" w:line="240" w:lineRule="auto"/>
              <w:jc w:val="left"/>
            </w:pPr>
            <w:r>
              <w:rPr>
                <w:b w:val="0"/>
                <w:color w:val="000000"/>
                <w:sz w:val="16"/>
              </w:rPr>
              <w:t xml:space="preserve">August</w:t>
            </w:r>
          </w:p>
        </w:tc>
      </w:tr>
      <w:tr>
        <w:tc>
          <w:tcPr/>
          <w:p>
            <w:pPr>
              <w:pStyle w:val="Compact"/>
              <w:spacing w:before="0" w:after="0" w:line="240" w:lineRule="auto"/>
              <w:jc w:val="left"/>
            </w:pPr>
            <w:r>
              <w:rPr>
                <w:b w:val="0"/>
                <w:color w:val="000000"/>
                <w:sz w:val="16"/>
              </w:rPr>
              <w:t xml:space="preserve">Southeast Asia</w:t>
            </w:r>
          </w:p>
        </w:tc>
        <w:tc>
          <w:tcPr/>
          <w:p>
            <w:pPr>
              <w:pStyle w:val="Compact"/>
              <w:spacing w:before="0" w:after="0" w:line="240" w:lineRule="auto"/>
              <w:jc w:val="left"/>
            </w:pPr>
            <w:r>
              <w:rPr>
                <w:b w:val="0"/>
                <w:color w:val="000000"/>
                <w:sz w:val="16"/>
              </w:rPr>
              <w:t xml:space="preserve">SEAS</w:t>
            </w:r>
          </w:p>
        </w:tc>
        <w:tc>
          <w:tcPr/>
          <w:p>
            <w:pPr>
              <w:pStyle w:val="Compact"/>
              <w:spacing w:before="0" w:after="0" w:line="240" w:lineRule="auto"/>
              <w:jc w:val="left"/>
            </w:pPr>
            <w:r>
              <w:rPr>
                <w:b w:val="0"/>
                <w:color w:val="000000"/>
                <w:sz w:val="16"/>
              </w:rPr>
              <w:t xml:space="preserve">Jan–Apr</w:t>
            </w:r>
          </w:p>
        </w:tc>
        <w:tc>
          <w:tcPr/>
          <w:p>
            <w:pPr>
              <w:pStyle w:val="Compact"/>
              <w:spacing w:before="0" w:after="0" w:line="240" w:lineRule="auto"/>
              <w:jc w:val="left"/>
            </w:pPr>
            <w:r>
              <w:rPr>
                <w:b w:val="0"/>
                <w:color w:val="000000"/>
                <w:sz w:val="16"/>
              </w:rPr>
              <w:t xml:space="preserve">March</w:t>
            </w:r>
          </w:p>
        </w:tc>
      </w:tr>
      <w:tr>
        <w:tc>
          <w:tcPr/>
          <w:p>
            <w:pPr>
              <w:pStyle w:val="Compact"/>
              <w:spacing w:before="0" w:after="0" w:line="240" w:lineRule="auto"/>
              <w:jc w:val="left"/>
            </w:pPr>
            <w:r>
              <w:rPr>
                <w:b w:val="0"/>
                <w:color w:val="000000"/>
                <w:sz w:val="16"/>
              </w:rPr>
              <w:t xml:space="preserve">Equatorial Asia</w:t>
            </w:r>
          </w:p>
        </w:tc>
        <w:tc>
          <w:tcPr/>
          <w:p>
            <w:pPr>
              <w:pStyle w:val="Compact"/>
              <w:spacing w:before="0" w:after="0" w:line="240" w:lineRule="auto"/>
              <w:jc w:val="left"/>
            </w:pPr>
            <w:r>
              <w:rPr>
                <w:b w:val="0"/>
                <w:color w:val="000000"/>
                <w:sz w:val="16"/>
              </w:rPr>
              <w:t xml:space="preserve">EQAS</w:t>
            </w:r>
          </w:p>
        </w:tc>
        <w:tc>
          <w:tcPr/>
          <w:p>
            <w:pPr>
              <w:pStyle w:val="Compact"/>
              <w:spacing w:before="0" w:after="0" w:line="240" w:lineRule="auto"/>
              <w:jc w:val="left"/>
            </w:pPr>
            <w:r>
              <w:rPr>
                <w:b w:val="0"/>
                <w:color w:val="000000"/>
                <w:sz w:val="16"/>
              </w:rPr>
              <w:t xml:space="preserve">Jul–Oct</w:t>
            </w:r>
          </w:p>
        </w:tc>
        <w:tc>
          <w:tcPr/>
          <w:p>
            <w:pPr>
              <w:pStyle w:val="Compact"/>
              <w:spacing w:before="0" w:after="0" w:line="240" w:lineRule="auto"/>
              <w:jc w:val="left"/>
            </w:pPr>
            <w:r>
              <w:rPr>
                <w:b w:val="0"/>
                <w:color w:val="000000"/>
                <w:sz w:val="16"/>
              </w:rPr>
              <w:t xml:space="preserve">September</w:t>
            </w:r>
          </w:p>
        </w:tc>
      </w:tr>
      <w:tr>
        <w:tc>
          <w:tcPr/>
          <w:p>
            <w:pPr>
              <w:pStyle w:val="Compact"/>
              <w:spacing w:before="0" w:after="0" w:line="240" w:lineRule="auto"/>
              <w:jc w:val="left"/>
            </w:pPr>
            <w:r>
              <w:rPr>
                <w:b w:val="0"/>
                <w:color w:val="000000"/>
                <w:sz w:val="16"/>
              </w:rPr>
              <w:t xml:space="preserve">Australia and New Zealand</w:t>
            </w:r>
          </w:p>
        </w:tc>
        <w:tc>
          <w:tcPr/>
          <w:p>
            <w:pPr>
              <w:pStyle w:val="Compact"/>
              <w:spacing w:before="0" w:after="0" w:line="240" w:lineRule="auto"/>
              <w:jc w:val="left"/>
            </w:pPr>
            <w:r>
              <w:rPr>
                <w:b w:val="0"/>
                <w:color w:val="000000"/>
                <w:sz w:val="16"/>
              </w:rPr>
              <w:t xml:space="preserve">AUST</w:t>
            </w:r>
          </w:p>
        </w:tc>
        <w:tc>
          <w:tcPr/>
          <w:p>
            <w:pPr>
              <w:pStyle w:val="Compact"/>
              <w:spacing w:before="0" w:after="0" w:line="240" w:lineRule="auto"/>
              <w:jc w:val="left"/>
            </w:pPr>
            <w:r>
              <w:rPr>
                <w:b w:val="0"/>
                <w:color w:val="000000"/>
                <w:sz w:val="16"/>
              </w:rPr>
              <w:t xml:space="preserve">Sep–Dec</w:t>
            </w:r>
          </w:p>
        </w:tc>
        <w:tc>
          <w:tcPr/>
          <w:p>
            <w:pPr>
              <w:pStyle w:val="Compact"/>
              <w:spacing w:before="0" w:after="0" w:line="240" w:lineRule="auto"/>
              <w:jc w:val="left"/>
            </w:pPr>
            <w:r>
              <w:rPr>
                <w:b w:val="0"/>
                <w:color w:val="000000"/>
                <w:sz w:val="16"/>
              </w:rPr>
              <w:t xml:space="preserve">October</w:t>
            </w:r>
          </w:p>
        </w:tc>
      </w:tr>
    </w:tbl>
    <w:p>
      <w:pPr>
        <w:pStyle w:val="BodyText"/>
        <w:spacing w:before="40" w:after="200" w:line="480" w:lineRule="auto"/>
        <w:rPr>
          <w:sz w:val="22"/>
        </w:rPr>
      </w:pPr>
      <w:r>
        <w:rPr>
          <w:rFonts w:ascii="Cambria" w:hAnsi="Cambria"/>
          <w:sz w:val="22"/>
        </w:rPr>
        <w:t xml:space="preserve">Seasons are held fixed for all years. Northern Hemisphere Africa is the only region whose season crosses the calendar boundary: anchored in January, it draws its November and December from the preceding calendar year. For Central Asia the largest climatological month of the full year is April, outside the selected July–October window, so the season year is anchored on August, the largest month inside it.</w:t>
      </w:r>
    </w:p>
    <w:p>
      <w:pPr>
        <w:pStyle w:val="BodyText"/>
        <w:spacing w:before="40" w:after="200" w:line="480" w:lineRule="auto"/>
        <w:rPr>
          <w:sz w:val="22"/>
        </w:rPr>
      </w:pPr>
      <w:r>
        <w:rPr>
          <w:rFonts w:ascii="Cambria" w:hAnsi="Cambria"/>
          <w:b/>
          <w:bCs/>
          <w:sz w:val="22"/>
        </w:rPr>
        <w:t xml:space="preserve">Supplementary Table 3 | Atmospheric constraints and decomposition of growth-rate variance.</w:t>
      </w:r>
    </w:p>
    <w:p>
      <w:pPr>
        <w:pStyle w:val="BodyText"/>
        <w:spacing w:before="40" w:after="200" w:line="480" w:lineRule="auto"/>
        <w:rPr>
          <w:sz w:val="22"/>
        </w:rPr>
      </w:pPr>
      <w:r>
        <w:rPr>
          <w:rFonts w:ascii="Cambria" w:hAnsi="Cambria"/>
          <w:i/>
          <w:iCs/>
          <w:sz w:val="22"/>
        </w:rPr>
        <w:t xml:space="preserve">A — Atmospheric and product consistency</w:t>
      </w:r>
    </w:p>
    <w:tbl>
      <w:tblPr>
        <w:tblStyle w:val="Table"/>
        <w:jc w:val="center"/>
        <w:tblLayout w:type="fixed"/>
        <w:tblLook w:firstRow="1" w:lastRow="0" w:firstColumn="0" w:lastColumn="0" w:noHBand="0" w:noVBand="0" w:val="0020"/>
        <w:tblW w:w="5000" w:type="pct"/>
        <w:tblCellMar>
          <w:top w:w="15" w:type="dxa"/>
          <w:bottom w:w="15" w:type="dxa"/>
          <w:left w:w="40" w:type="dxa"/>
          <w:right w:w="40" w:type="dxa"/>
        </w:tblCellMar>
        <w:tblBorders>
          <w:top w:val="single" w:sz="6" w:color="000000"/>
          <w:bottom w:val="single" w:sz="6" w:color="000000"/>
          <w:left w:val="none"/>
          <w:right w:val="none"/>
          <w:insideH w:val="none"/>
          <w:insideV w:val="none"/>
        </w:tblBorders>
      </w:tblPr>
      <w:tblGrid>
        <w:gridCol w:w="3960"/>
        <w:gridCol w:w="3960"/>
      </w:tblGrid>
      <w:tr>
        <w:trPr>
          <w:tblHeader w:val="on"/>
        </w:trPr>
        <w:tc>
          <w:tcPr>
            <w:tcBorders>
              <w:bottom w:val="single" w:sz="6" w:color="000000"/>
            </w:tcBorders>
          </w:tcPr>
          <w:p>
            <w:pPr>
              <w:pStyle w:val="Compact"/>
              <w:spacing w:before="20" w:after="20" w:line="240" w:lineRule="auto"/>
              <w:jc w:val="left"/>
            </w:pPr>
            <w:r>
              <w:rPr>
                <w:b/>
                <w:color w:val="000000"/>
                <w:sz w:val="16"/>
              </w:rPr>
              <w:t xml:space="preserve">Comparison</w:t>
            </w:r>
          </w:p>
        </w:tc>
        <w:tc>
          <w:tcPr>
            <w:tcBorders>
              <w:bottom w:val="single" w:sz="6" w:color="000000"/>
            </w:tcBorders>
          </w:tcPr>
          <w:p>
            <w:pPr>
              <w:pStyle w:val="Compact"/>
              <w:spacing w:before="20" w:after="20" w:line="240" w:lineRule="auto"/>
              <w:jc w:val="left"/>
            </w:pPr>
            <w:r>
              <w:rPr>
                <w:b/>
                <w:color w:val="000000"/>
                <w:sz w:val="16"/>
              </w:rPr>
              <w:t xml:space="preserve">Result</w:t>
            </w:r>
          </w:p>
        </w:tc>
      </w:tr>
      <w:tr>
        <w:tc>
          <w:tcPr/>
          <w:p>
            <w:pPr>
              <w:pStyle w:val="Compact"/>
              <w:spacing w:before="0" w:after="0" w:line="240" w:lineRule="auto"/>
              <w:jc w:val="left"/>
            </w:pPr>
            <w:r>
              <w:rPr>
                <w:b w:val="0"/>
                <w:color w:val="000000"/>
                <w:sz w:val="16"/>
              </w:rPr>
              <w:t xml:space="preserve">TROPOMI-derived fire CO₂ versus GFED regional anomalies</w:t>
            </w:r>
          </w:p>
        </w:tc>
        <w:tc>
          <w:tcPr/>
          <w:p>
            <w:pPr>
              <w:pStyle w:val="Compact"/>
              <w:spacing w:before="0" w:after="0" w:line="240" w:lineRule="auto"/>
              <w:jc w:val="left"/>
            </w:pPr>
            <w:r>
              <w:rPr>
                <w:b w:val="0"/>
                <w:color w:val="000000"/>
                <w:sz w:val="16"/>
              </w:rPr>
              <w:t xml:space="preserve">Pooled region–year</w:t>
            </w:r>
            <w:r>
              <w:rPr>
                <w:b w:val="0"/>
                <w:color w:val="000000"/>
                <w:sz w:val="16"/>
              </w:rPr>
              <w:t xml:space="preserve"> </w:t>
            </w:r>
            <w:r>
              <w:rPr>
                <w:b w:val="0"/>
                <w:i/>
                <w:iCs/>
                <w:color w:val="000000"/>
                <w:sz w:val="16"/>
              </w:rPr>
              <w:t xml:space="preserve">r</w:t>
            </w:r>
            <w:r>
              <w:rPr>
                <w:b w:val="0"/>
                <w:color w:val="000000"/>
                <w:sz w:val="16"/>
              </w:rPr>
              <w:t xml:space="preserve"> </w:t>
            </w:r>
            <w:r>
              <w:rPr>
                <w:b w:val="0"/>
                <w:color w:val="000000"/>
                <w:sz w:val="16"/>
              </w:rPr>
              <w:t xml:space="preserve">= 0.84; median regional</w:t>
            </w:r>
            <w:r>
              <w:rPr>
                <w:b w:val="0"/>
                <w:color w:val="000000"/>
                <w:sz w:val="16"/>
              </w:rPr>
              <w:t xml:space="preserve"> </w:t>
            </w:r>
            <w:r>
              <w:rPr>
                <w:b w:val="0"/>
                <w:i/>
                <w:iCs/>
                <w:color w:val="000000"/>
                <w:sz w:val="16"/>
              </w:rPr>
              <w:t xml:space="preserve">r</w:t>
            </w:r>
            <w:r>
              <w:rPr>
                <w:b w:val="0"/>
                <w:color w:val="000000"/>
                <w:sz w:val="16"/>
              </w:rPr>
              <w:t xml:space="preserve"> </w:t>
            </w:r>
            <w:r>
              <w:rPr>
                <w:b w:val="0"/>
                <w:color w:val="000000"/>
                <w:sz w:val="16"/>
              </w:rPr>
              <w:t xml:space="preserve">= 0.88</w:t>
            </w:r>
          </w:p>
        </w:tc>
      </w:tr>
      <w:tr>
        <w:tc>
          <w:tcPr/>
          <w:p>
            <w:pPr>
              <w:pStyle w:val="Compact"/>
              <w:spacing w:before="0" w:after="0" w:line="240" w:lineRule="auto"/>
              <w:jc w:val="left"/>
            </w:pPr>
            <w:r>
              <w:rPr>
                <w:b w:val="0"/>
                <w:color w:val="000000"/>
                <w:sz w:val="16"/>
              </w:rPr>
              <w:t xml:space="preserve">Coherence (mean pairwise cross-region</w:t>
            </w:r>
            <w:r>
              <w:rPr>
                <w:b w:val="0"/>
                <w:color w:val="000000"/>
                <w:sz w:val="16"/>
              </w:rPr>
              <w:t xml:space="preserve"> </w:t>
            </w:r>
            <w:r>
              <w:rPr>
                <w:b w:val="0"/>
                <w:i/>
                <w:iCs/>
                <w:color w:val="000000"/>
                <w:sz w:val="16"/>
              </w:rPr>
              <w:t xml:space="preserve">r</w:t>
            </w:r>
            <w:r>
              <w:rPr>
                <w:b w:val="0"/>
                <w:color w:val="000000"/>
                <w:sz w:val="16"/>
              </w:rPr>
              <w:t xml:space="preserve">)</w:t>
            </w:r>
          </w:p>
        </w:tc>
        <w:tc>
          <w:tcPr/>
          <w:p>
            <w:pPr>
              <w:pStyle w:val="Compact"/>
              <w:spacing w:before="0" w:after="0" w:line="240" w:lineRule="auto"/>
              <w:jc w:val="left"/>
            </w:pPr>
            <w:r>
              <w:rPr>
                <w:b w:val="0"/>
                <w:color w:val="000000"/>
                <w:sz w:val="16"/>
              </w:rPr>
              <w:t xml:space="preserve">TROPOMI: 0.18–0.23; GFED: 0.24</w:t>
            </w:r>
          </w:p>
        </w:tc>
      </w:tr>
      <w:tr>
        <w:tc>
          <w:tcPr/>
          <w:p>
            <w:pPr>
              <w:pStyle w:val="Compact"/>
              <w:spacing w:before="0" w:after="0" w:line="240" w:lineRule="auto"/>
              <w:jc w:val="left"/>
            </w:pPr>
            <w:r>
              <w:rPr>
                <w:b w:val="0"/>
                <w:color w:val="000000"/>
                <w:sz w:val="16"/>
              </w:rPr>
              <w:t xml:space="preserve">Cross-region covariance as a share of global fire variance</w:t>
            </w:r>
          </w:p>
        </w:tc>
        <w:tc>
          <w:tcPr/>
          <w:p>
            <w:pPr>
              <w:pStyle w:val="Compact"/>
              <w:spacing w:before="0" w:after="0" w:line="240" w:lineRule="auto"/>
              <w:jc w:val="left"/>
            </w:pPr>
            <w:r>
              <w:rPr>
                <w:b w:val="0"/>
                <w:color w:val="000000"/>
                <w:sz w:val="16"/>
              </w:rPr>
              <w:t xml:space="preserve">TROPOMI: 61–63%; GFED: 57%</w:t>
            </w:r>
          </w:p>
        </w:tc>
      </w:tr>
      <w:tr>
        <w:tc>
          <w:tcPr/>
          <w:p>
            <w:pPr>
              <w:pStyle w:val="Compact"/>
              <w:spacing w:before="0" w:after="0" w:line="240" w:lineRule="auto"/>
              <w:jc w:val="left"/>
            </w:pPr>
            <w:r>
              <w:rPr>
                <w:b w:val="0"/>
                <w:color w:val="000000"/>
                <w:sz w:val="16"/>
              </w:rPr>
              <w:t xml:space="preserve">Fire versus each fixed inversion’s growth rate</w:t>
            </w:r>
          </w:p>
        </w:tc>
        <w:tc>
          <w:tcPr/>
          <w:p>
            <w:pPr>
              <w:pStyle w:val="Compact"/>
              <w:spacing w:before="0" w:after="0" w:line="240" w:lineRule="auto"/>
              <w:jc w:val="left"/>
            </w:pPr>
            <w:r>
              <w:rPr>
                <w:b w:val="0"/>
                <w:color w:val="000000"/>
                <w:sz w:val="16"/>
              </w:rPr>
              <w:t xml:space="preserve">R² = 0.74–0.85</w:t>
            </w:r>
          </w:p>
        </w:tc>
      </w:tr>
      <w:tr>
        <w:tc>
          <w:tcPr/>
          <w:p>
            <w:pPr>
              <w:pStyle w:val="Compact"/>
              <w:spacing w:before="0" w:after="0" w:line="240" w:lineRule="auto"/>
              <w:jc w:val="left"/>
            </w:pPr>
            <w:r>
              <w:rPr>
                <w:b w:val="0"/>
                <w:color w:val="000000"/>
                <w:sz w:val="16"/>
              </w:rPr>
              <w:t xml:space="preserve">Fire versus the six-inversion median growth rate</w:t>
            </w:r>
          </w:p>
        </w:tc>
        <w:tc>
          <w:tcPr/>
          <w:p>
            <w:pPr>
              <w:pStyle w:val="Compact"/>
              <w:spacing w:before="0" w:after="0" w:line="240" w:lineRule="auto"/>
              <w:jc w:val="left"/>
            </w:pPr>
            <w:r>
              <w:rPr>
                <w:b w:val="0"/>
                <w:color w:val="000000"/>
                <w:sz w:val="16"/>
              </w:rPr>
              <w:t xml:space="preserve">R² = 0.83; slope = 2.3</w:t>
            </w:r>
          </w:p>
        </w:tc>
      </w:tr>
      <w:tr>
        <w:tc>
          <w:tcPr/>
          <w:p>
            <w:pPr>
              <w:pStyle w:val="Compact"/>
              <w:spacing w:before="0" w:after="0" w:line="240" w:lineRule="auto"/>
              <w:jc w:val="left"/>
            </w:pPr>
            <w:r>
              <w:rPr>
                <w:b w:val="0"/>
                <w:color w:val="000000"/>
                <w:sz w:val="16"/>
              </w:rPr>
              <w:t xml:space="preserve">Fire versus satellite-derived growth rate</w:t>
            </w:r>
          </w:p>
        </w:tc>
        <w:tc>
          <w:tcPr/>
          <w:p>
            <w:pPr>
              <w:pStyle w:val="Compact"/>
              <w:spacing w:before="0" w:after="0" w:line="240" w:lineRule="auto"/>
              <w:jc w:val="left"/>
            </w:pPr>
            <w:r>
              <w:rPr>
                <w:b w:val="0"/>
                <w:color w:val="000000"/>
                <w:sz w:val="16"/>
              </w:rPr>
              <w:t xml:space="preserve">OCO-2/GOSAT mean: R² = 0.77, slope = 2.4; OCO-2 alone: R² = 0.75; GOSAT alone: R² = 0.77</w:t>
            </w:r>
          </w:p>
        </w:tc>
      </w:tr>
    </w:tbl>
    <w:p>
      <w:pPr>
        <w:pStyle w:val="BodyText"/>
        <w:spacing w:before="40" w:after="200" w:line="480" w:lineRule="auto"/>
        <w:rPr>
          <w:sz w:val="22"/>
        </w:rPr>
      </w:pPr>
      <w:r>
        <w:rPr>
          <w:rFonts w:ascii="Cambria" w:hAnsi="Cambria"/>
          <w:i/>
          <w:iCs/>
          <w:sz w:val="22"/>
        </w:rPr>
        <w:t xml:space="preserve">B — Fire–growth variance accounting</w:t>
      </w:r>
    </w:p>
    <w:tbl>
      <w:tblPr>
        <w:tblStyle w:val="Table"/>
        <w:jc w:val="center"/>
        <w:tblLayout w:type="fixed"/>
        <w:tblLook w:firstRow="1" w:lastRow="0" w:firstColumn="0" w:lastColumn="0" w:noHBand="0" w:noVBand="0" w:val="0020"/>
        <w:tblW w:w="5000" w:type="pct"/>
        <w:tblCellMar>
          <w:top w:w="15" w:type="dxa"/>
          <w:bottom w:w="15" w:type="dxa"/>
          <w:left w:w="40" w:type="dxa"/>
          <w:right w:w="40" w:type="dxa"/>
        </w:tblCellMar>
        <w:tblBorders>
          <w:top w:val="single" w:sz="6" w:color="000000"/>
          <w:bottom w:val="single" w:sz="6" w:color="000000"/>
          <w:left w:val="none"/>
          <w:right w:val="none"/>
          <w:insideH w:val="none"/>
          <w:insideV w:val="none"/>
        </w:tblBorders>
      </w:tblPr>
      <w:tblGrid>
        <w:gridCol w:w="4476"/>
        <w:gridCol w:w="1721"/>
        <w:gridCol w:w="1721"/>
      </w:tblGrid>
      <w:tr>
        <w:trPr>
          <w:tblHeader w:val="on"/>
        </w:trPr>
        <w:tc>
          <w:tcPr>
            <w:tcBorders>
              <w:bottom w:val="single" w:sz="6" w:color="000000"/>
            </w:tcBorders>
          </w:tcPr>
          <w:p>
            <w:pPr>
              <w:pStyle w:val="Compact"/>
              <w:spacing w:before="20" w:after="20" w:line="240" w:lineRule="auto"/>
              <w:jc w:val="left"/>
            </w:pPr>
            <w:r>
              <w:rPr>
                <w:b/>
                <w:color w:val="000000"/>
                <w:sz w:val="16"/>
              </w:rPr>
              <w:t xml:space="preserve">Quantity</w:t>
            </w:r>
          </w:p>
        </w:tc>
        <w:tc>
          <w:tcPr>
            <w:tcBorders>
              <w:bottom w:val="single" w:sz="6" w:color="000000"/>
            </w:tcBorders>
          </w:tcPr>
          <w:p>
            <w:pPr>
              <w:pStyle w:val="Compact"/>
              <w:spacing w:before="20" w:after="20" w:line="240" w:lineRule="auto"/>
              <w:jc w:val="right"/>
            </w:pPr>
            <w:r>
              <w:rPr>
                <w:b/>
                <w:color w:val="000000"/>
                <w:sz w:val="16"/>
              </w:rPr>
              <w:t xml:space="preserve">2001–2010</w:t>
            </w:r>
          </w:p>
        </w:tc>
        <w:tc>
          <w:tcPr>
            <w:tcBorders>
              <w:bottom w:val="single" w:sz="6" w:color="000000"/>
            </w:tcBorders>
          </w:tcPr>
          <w:p>
            <w:pPr>
              <w:pStyle w:val="Compact"/>
              <w:spacing w:before="20" w:after="20" w:line="240" w:lineRule="auto"/>
              <w:jc w:val="right"/>
            </w:pPr>
            <w:r>
              <w:rPr>
                <w:b/>
                <w:color w:val="000000"/>
                <w:sz w:val="16"/>
              </w:rPr>
              <w:t xml:space="preserve">2015–2024</w:t>
            </w:r>
          </w:p>
        </w:tc>
      </w:tr>
      <w:tr>
        <w:tc>
          <w:tcPr/>
          <w:p>
            <w:pPr>
              <w:pStyle w:val="Compact"/>
              <w:spacing w:before="0" w:after="0" w:line="240" w:lineRule="auto"/>
              <w:jc w:val="left"/>
            </w:pPr>
            <w:r>
              <w:rPr>
                <w:b w:val="0"/>
                <w:color w:val="000000"/>
                <w:sz w:val="16"/>
              </w:rPr>
              <w:t xml:space="preserve">Standard deviation of fire anomaly,</w:t>
            </w:r>
            <w:r>
              <w:rPr>
                <w:b w:val="0"/>
                <w:color w:val="000000"/>
                <w:sz w:val="16"/>
              </w:rPr>
              <w:t xml:space="preserve"> </w:t>
            </w:r>
            <w:r>
              <w:rPr>
                <w:b w:val="0"/>
                <w:i/>
                <w:iCs/>
                <w:color w:val="000000"/>
                <w:sz w:val="16"/>
              </w:rPr>
              <w:t xml:space="preserve">F</w:t>
            </w:r>
          </w:p>
        </w:tc>
        <w:tc>
          <w:tcPr/>
          <w:p>
            <w:pPr>
              <w:pStyle w:val="Compact"/>
              <w:spacing w:before="0" w:after="0" w:line="240" w:lineRule="auto"/>
              <w:jc w:val="right"/>
            </w:pPr>
            <w:r>
              <w:rPr>
                <w:b w:val="0"/>
                <w:color w:val="000000"/>
                <w:sz w:val="16"/>
              </w:rPr>
              <w:t xml:space="preserve">0.14</w:t>
            </w:r>
          </w:p>
        </w:tc>
        <w:tc>
          <w:tcPr/>
          <w:p>
            <w:pPr>
              <w:pStyle w:val="Compact"/>
              <w:spacing w:before="0" w:after="0" w:line="240" w:lineRule="auto"/>
              <w:jc w:val="right"/>
            </w:pPr>
            <w:r>
              <w:rPr>
                <w:b w:val="0"/>
                <w:color w:val="000000"/>
                <w:sz w:val="16"/>
              </w:rPr>
              <w:t xml:space="preserve">0.36</w:t>
            </w:r>
          </w:p>
        </w:tc>
      </w:tr>
      <w:tr>
        <w:tc>
          <w:tcPr/>
          <w:p>
            <w:pPr>
              <w:pStyle w:val="Compact"/>
              <w:spacing w:before="0" w:after="0" w:line="240" w:lineRule="auto"/>
              <w:jc w:val="left"/>
            </w:pPr>
            <w:r>
              <w:rPr>
                <w:b w:val="0"/>
                <w:color w:val="000000"/>
                <w:sz w:val="16"/>
              </w:rPr>
              <w:t xml:space="preserve">Standard deviation of growth anomaly,</w:t>
            </w:r>
            <w:r>
              <w:rPr>
                <w:b w:val="0"/>
                <w:color w:val="000000"/>
                <w:sz w:val="16"/>
              </w:rPr>
              <w:t xml:space="preserve"> </w:t>
            </w:r>
            <w:r>
              <w:rPr>
                <w:b w:val="0"/>
                <w:i/>
                <w:iCs/>
                <w:color w:val="000000"/>
                <w:sz w:val="16"/>
              </w:rPr>
              <w:t xml:space="preserve">G</w:t>
            </w:r>
          </w:p>
        </w:tc>
        <w:tc>
          <w:tcPr/>
          <w:p>
            <w:pPr>
              <w:pStyle w:val="Compact"/>
              <w:spacing w:before="0" w:after="0" w:line="240" w:lineRule="auto"/>
              <w:jc w:val="right"/>
            </w:pPr>
            <w:r>
              <w:rPr>
                <w:b w:val="0"/>
                <w:color w:val="000000"/>
                <w:sz w:val="16"/>
              </w:rPr>
              <w:t xml:space="preserve">0.76</w:t>
            </w:r>
          </w:p>
        </w:tc>
        <w:tc>
          <w:tcPr/>
          <w:p>
            <w:pPr>
              <w:pStyle w:val="Compact"/>
              <w:spacing w:before="0" w:after="0" w:line="240" w:lineRule="auto"/>
              <w:jc w:val="right"/>
            </w:pPr>
            <w:r>
              <w:rPr>
                <w:b w:val="0"/>
                <w:color w:val="000000"/>
                <w:sz w:val="16"/>
              </w:rPr>
              <w:t xml:space="preserve">0.90</w:t>
            </w:r>
          </w:p>
        </w:tc>
      </w:tr>
      <w:tr>
        <w:tc>
          <w:tcPr/>
          <w:p>
            <w:pPr>
              <w:pStyle w:val="Compact"/>
              <w:spacing w:before="0" w:after="0" w:line="240" w:lineRule="auto"/>
              <w:jc w:val="left"/>
            </w:pPr>
            <w:r>
              <w:rPr>
                <w:b w:val="0"/>
                <w:color w:val="000000"/>
                <w:sz w:val="16"/>
              </w:rPr>
              <w:t xml:space="preserve">Standard deviation of growth minus fire,</w:t>
            </w:r>
            <w:r>
              <w:rPr>
                <w:b w:val="0"/>
                <w:color w:val="000000"/>
                <w:sz w:val="16"/>
              </w:rPr>
              <w:t xml:space="preserve"> </w:t>
            </w:r>
            <w:r>
              <w:rPr>
                <w:b w:val="0"/>
                <w:i/>
                <w:iCs/>
                <w:color w:val="000000"/>
                <w:sz w:val="16"/>
              </w:rPr>
              <w:t xml:space="preserve">N</w:t>
            </w:r>
          </w:p>
        </w:tc>
        <w:tc>
          <w:tcPr/>
          <w:p>
            <w:pPr>
              <w:pStyle w:val="Compact"/>
              <w:spacing w:before="0" w:after="0" w:line="240" w:lineRule="auto"/>
              <w:jc w:val="right"/>
            </w:pPr>
            <w:r>
              <w:rPr>
                <w:b w:val="0"/>
                <w:color w:val="000000"/>
                <w:sz w:val="16"/>
              </w:rPr>
              <w:t xml:space="preserve">0.74</w:t>
            </w:r>
          </w:p>
        </w:tc>
        <w:tc>
          <w:tcPr/>
          <w:p>
            <w:pPr>
              <w:pStyle w:val="Compact"/>
              <w:spacing w:before="0" w:after="0" w:line="240" w:lineRule="auto"/>
              <w:jc w:val="right"/>
            </w:pPr>
            <w:r>
              <w:rPr>
                <w:b w:val="0"/>
                <w:color w:val="000000"/>
                <w:sz w:val="16"/>
              </w:rPr>
              <w:t xml:space="preserve">0.59</w:t>
            </w:r>
          </w:p>
        </w:tc>
      </w:tr>
      <w:tr>
        <w:tc>
          <w:tcPr/>
          <w:p>
            <w:pPr>
              <w:pStyle w:val="Compact"/>
              <w:spacing w:before="0" w:after="0" w:line="240" w:lineRule="auto"/>
              <w:jc w:val="left"/>
            </w:pPr>
            <w:r>
              <w:rPr>
                <w:b w:val="0"/>
                <w:color w:val="000000"/>
                <w:sz w:val="16"/>
              </w:rPr>
              <w:t xml:space="preserve">Squared fire–growth correlation, Corr(</w:t>
            </w:r>
            <w:r>
              <w:rPr>
                <w:b w:val="0"/>
                <w:i/>
                <w:iCs/>
                <w:color w:val="000000"/>
                <w:sz w:val="16"/>
              </w:rPr>
              <w:t xml:space="preserve">F</w:t>
            </w:r>
            <w:r>
              <w:rPr>
                <w:b w:val="0"/>
                <w:color w:val="000000"/>
                <w:sz w:val="16"/>
              </w:rPr>
              <w:t xml:space="preserve">,</w:t>
            </w:r>
            <w:r>
              <w:rPr>
                <w:b w:val="0"/>
                <w:color w:val="000000"/>
                <w:sz w:val="16"/>
              </w:rPr>
              <w:t xml:space="preserve"> </w:t>
            </w:r>
            <w:r>
              <w:rPr>
                <w:b w:val="0"/>
                <w:i/>
                <w:iCs/>
                <w:color w:val="000000"/>
                <w:sz w:val="16"/>
              </w:rPr>
              <w:t xml:space="preserve">G</w:t>
            </w:r>
            <w:r>
              <w:rPr>
                <w:b w:val="0"/>
                <w:color w:val="000000"/>
                <w:sz w:val="16"/>
              </w:rPr>
              <w:t xml:space="preserve">)²</w:t>
            </w:r>
          </w:p>
        </w:tc>
        <w:tc>
          <w:tcPr/>
          <w:p>
            <w:pPr>
              <w:pStyle w:val="Compact"/>
              <w:spacing w:before="0" w:after="0" w:line="240" w:lineRule="auto"/>
              <w:jc w:val="right"/>
            </w:pPr>
            <w:r>
              <w:rPr>
                <w:b w:val="0"/>
                <w:color w:val="000000"/>
                <w:sz w:val="16"/>
              </w:rPr>
              <w:t xml:space="preserve">0.06</w:t>
            </w:r>
          </w:p>
        </w:tc>
        <w:tc>
          <w:tcPr/>
          <w:p>
            <w:pPr>
              <w:pStyle w:val="Compact"/>
              <w:spacing w:before="0" w:after="0" w:line="240" w:lineRule="auto"/>
              <w:jc w:val="right"/>
            </w:pPr>
            <w:r>
              <w:rPr>
                <w:b w:val="0"/>
                <w:color w:val="000000"/>
                <w:sz w:val="16"/>
              </w:rPr>
              <w:t xml:space="preserve">0.83</w:t>
            </w:r>
          </w:p>
        </w:tc>
      </w:tr>
      <w:tr>
        <w:tc>
          <w:tcPr/>
          <w:p>
            <w:pPr>
              <w:pStyle w:val="Compact"/>
              <w:spacing w:before="0" w:after="0" w:line="240" w:lineRule="auto"/>
              <w:jc w:val="left"/>
            </w:pPr>
            <w:r>
              <w:rPr>
                <w:b w:val="0"/>
                <w:color w:val="000000"/>
                <w:sz w:val="16"/>
              </w:rPr>
              <w:t xml:space="preserve">Fire variance relative to growth variance,</w:t>
            </w:r>
            <w:r>
              <w:rPr>
                <w:b w:val="0"/>
                <w:color w:val="000000"/>
                <w:sz w:val="16"/>
              </w:rPr>
              <w:t xml:space="preserve"> </w:t>
            </w:r>
            <w:r>
              <w:rPr>
                <w:b w:val="0"/>
                <w:i/>
                <w:iCs/>
                <w:color w:val="000000"/>
                <w:sz w:val="16"/>
              </w:rPr>
              <w:t xml:space="preserve">a</w:t>
            </w:r>
            <w:r>
              <w:rPr>
                <w:b w:val="0"/>
                <w:color w:val="000000"/>
                <w:sz w:val="16"/>
              </w:rPr>
              <w:t xml:space="preserve"> </w:t>
            </w:r>
            <w:r>
              <w:rPr>
                <w:b w:val="0"/>
                <w:color w:val="000000"/>
                <w:sz w:val="16"/>
              </w:rPr>
              <w:t xml:space="preserve">= Var(</w:t>
            </w:r>
            <w:r>
              <w:rPr>
                <w:b w:val="0"/>
                <w:i/>
                <w:iCs/>
                <w:color w:val="000000"/>
                <w:sz w:val="16"/>
              </w:rPr>
              <w:t xml:space="preserve">F</w:t>
            </w:r>
            <w:r>
              <w:rPr>
                <w:b w:val="0"/>
                <w:color w:val="000000"/>
                <w:sz w:val="16"/>
              </w:rPr>
              <w:t xml:space="preserve">)/Var(</w:t>
            </w:r>
            <w:r>
              <w:rPr>
                <w:b w:val="0"/>
                <w:i/>
                <w:iCs/>
                <w:color w:val="000000"/>
                <w:sz w:val="16"/>
              </w:rPr>
              <w:t xml:space="preserve">G</w:t>
            </w:r>
            <w:r>
              <w:rPr>
                <w:b w:val="0"/>
                <w:color w:val="000000"/>
                <w:sz w:val="16"/>
              </w:rPr>
              <w:t xml:space="preserve">)</w:t>
            </w:r>
          </w:p>
        </w:tc>
        <w:tc>
          <w:tcPr/>
          <w:p>
            <w:pPr>
              <w:pStyle w:val="Compact"/>
              <w:spacing w:before="0" w:after="0" w:line="240" w:lineRule="auto"/>
              <w:jc w:val="right"/>
            </w:pPr>
            <w:r>
              <w:rPr>
                <w:b w:val="0"/>
                <w:color w:val="000000"/>
                <w:sz w:val="16"/>
              </w:rPr>
              <w:t xml:space="preserve">3.3%</w:t>
            </w:r>
          </w:p>
        </w:tc>
        <w:tc>
          <w:tcPr/>
          <w:p>
            <w:pPr>
              <w:pStyle w:val="Compact"/>
              <w:spacing w:before="0" w:after="0" w:line="240" w:lineRule="auto"/>
              <w:jc w:val="right"/>
            </w:pPr>
            <w:r>
              <w:rPr>
                <w:b w:val="0"/>
                <w:color w:val="000000"/>
                <w:sz w:val="16"/>
              </w:rPr>
              <w:t xml:space="preserve">16%</w:t>
            </w:r>
          </w:p>
        </w:tc>
      </w:tr>
      <w:tr>
        <w:tc>
          <w:tcPr/>
          <w:p>
            <w:pPr>
              <w:pStyle w:val="Compact"/>
              <w:spacing w:before="0" w:after="0" w:line="240" w:lineRule="auto"/>
              <w:jc w:val="left"/>
            </w:pPr>
            <w:r>
              <w:rPr>
                <w:b w:val="0"/>
                <w:color w:val="000000"/>
                <w:sz w:val="16"/>
              </w:rPr>
              <w:t xml:space="preserve">Fire share of growth variance by covariance,</w:t>
            </w:r>
            <w:r>
              <w:rPr>
                <w:b w:val="0"/>
                <w:color w:val="000000"/>
                <w:sz w:val="16"/>
              </w:rPr>
              <w:t xml:space="preserve"> </w:t>
            </w:r>
            <w:r>
              <w:rPr>
                <w:b w:val="0"/>
                <w:i/>
                <w:iCs/>
                <w:color w:val="000000"/>
                <w:sz w:val="16"/>
              </w:rPr>
              <w:t xml:space="preserve">s</w:t>
            </w:r>
            <w:r>
              <w:rPr>
                <w:b w:val="0"/>
                <w:color w:val="000000"/>
                <w:sz w:val="16"/>
              </w:rPr>
              <w:t xml:space="preserve"> </w:t>
            </w:r>
            <w:r>
              <w:rPr>
                <w:b w:val="0"/>
                <w:color w:val="000000"/>
                <w:sz w:val="16"/>
              </w:rPr>
              <w:t xml:space="preserve">= Cov(</w:t>
            </w:r>
            <w:r>
              <w:rPr>
                <w:b w:val="0"/>
                <w:i/>
                <w:iCs/>
                <w:color w:val="000000"/>
                <w:sz w:val="16"/>
              </w:rPr>
              <w:t xml:space="preserve">F</w:t>
            </w:r>
            <w:r>
              <w:rPr>
                <w:b w:val="0"/>
                <w:color w:val="000000"/>
                <w:sz w:val="16"/>
              </w:rPr>
              <w:t xml:space="preserve">,</w:t>
            </w:r>
            <w:r>
              <w:rPr>
                <w:b w:val="0"/>
                <w:color w:val="000000"/>
                <w:sz w:val="16"/>
              </w:rPr>
              <w:t xml:space="preserve"> </w:t>
            </w:r>
            <w:r>
              <w:rPr>
                <w:b w:val="0"/>
                <w:i/>
                <w:iCs/>
                <w:color w:val="000000"/>
                <w:sz w:val="16"/>
              </w:rPr>
              <w:t xml:space="preserve">G</w:t>
            </w:r>
            <w:r>
              <w:rPr>
                <w:b w:val="0"/>
                <w:color w:val="000000"/>
                <w:sz w:val="16"/>
              </w:rPr>
              <w:t xml:space="preserve">)/Var(</w:t>
            </w:r>
            <w:r>
              <w:rPr>
                <w:b w:val="0"/>
                <w:i/>
                <w:iCs/>
                <w:color w:val="000000"/>
                <w:sz w:val="16"/>
              </w:rPr>
              <w:t xml:space="preserve">G</w:t>
            </w:r>
            <w:r>
              <w:rPr>
                <w:b w:val="0"/>
                <w:color w:val="000000"/>
                <w:sz w:val="16"/>
              </w:rPr>
              <w:t xml:space="preserve">)</w:t>
            </w:r>
          </w:p>
        </w:tc>
        <w:tc>
          <w:tcPr/>
          <w:p>
            <w:pPr>
              <w:pStyle w:val="Compact"/>
              <w:spacing w:before="0" w:after="0" w:line="240" w:lineRule="auto"/>
              <w:jc w:val="right"/>
            </w:pPr>
            <w:r>
              <w:rPr>
                <w:b w:val="0"/>
                <w:color w:val="000000"/>
                <w:sz w:val="16"/>
              </w:rPr>
              <w:t xml:space="preserve">4.6%</w:t>
            </w:r>
          </w:p>
        </w:tc>
        <w:tc>
          <w:tcPr/>
          <w:p>
            <w:pPr>
              <w:pStyle w:val="Compact"/>
              <w:spacing w:before="0" w:after="0" w:line="240" w:lineRule="auto"/>
              <w:jc w:val="right"/>
            </w:pPr>
            <w:r>
              <w:rPr>
                <w:b w:val="0"/>
                <w:color w:val="000000"/>
                <w:sz w:val="16"/>
              </w:rPr>
              <w:t xml:space="preserve">37%</w:t>
            </w:r>
          </w:p>
        </w:tc>
      </w:tr>
      <w:tr>
        <w:tc>
          <w:tcPr/>
          <w:p>
            <w:pPr>
              <w:pStyle w:val="Compact"/>
              <w:spacing w:before="0" w:after="0" w:line="240" w:lineRule="auto"/>
              <w:jc w:val="left"/>
            </w:pPr>
            <w:r>
              <w:rPr>
                <w:b w:val="0"/>
                <w:color w:val="000000"/>
                <w:sz w:val="16"/>
              </w:rPr>
              <w:t xml:space="preserve">Variance reduction after subtraction, 1 − Var(</w:t>
            </w:r>
            <w:r>
              <w:rPr>
                <w:b w:val="0"/>
                <w:i/>
                <w:iCs/>
                <w:color w:val="000000"/>
                <w:sz w:val="16"/>
              </w:rPr>
              <w:t xml:space="preserve">N</w:t>
            </w:r>
            <w:r>
              <w:rPr>
                <w:b w:val="0"/>
                <w:color w:val="000000"/>
                <w:sz w:val="16"/>
              </w:rPr>
              <w:t xml:space="preserve">)/Var(</w:t>
            </w:r>
            <w:r>
              <w:rPr>
                <w:b w:val="0"/>
                <w:i/>
                <w:iCs/>
                <w:color w:val="000000"/>
                <w:sz w:val="16"/>
              </w:rPr>
              <w:t xml:space="preserve">G</w:t>
            </w:r>
            <w:r>
              <w:rPr>
                <w:b w:val="0"/>
                <w:color w:val="000000"/>
                <w:sz w:val="16"/>
              </w:rPr>
              <w:t xml:space="preserve">)</w:t>
            </w:r>
          </w:p>
        </w:tc>
        <w:tc>
          <w:tcPr/>
          <w:p>
            <w:pPr>
              <w:pStyle w:val="Compact"/>
              <w:spacing w:before="0" w:after="0" w:line="240" w:lineRule="auto"/>
              <w:jc w:val="right"/>
            </w:pPr>
            <w:r>
              <w:rPr>
                <w:b w:val="0"/>
                <w:color w:val="000000"/>
                <w:sz w:val="16"/>
              </w:rPr>
              <w:t xml:space="preserve">5.9%</w:t>
            </w:r>
          </w:p>
        </w:tc>
        <w:tc>
          <w:tcPr/>
          <w:p>
            <w:pPr>
              <w:pStyle w:val="Compact"/>
              <w:spacing w:before="0" w:after="0" w:line="240" w:lineRule="auto"/>
              <w:jc w:val="right"/>
            </w:pPr>
            <w:r>
              <w:rPr>
                <w:b w:val="0"/>
                <w:color w:val="000000"/>
                <w:sz w:val="16"/>
              </w:rPr>
              <w:t xml:space="preserve">57%</w:t>
            </w:r>
          </w:p>
        </w:tc>
      </w:tr>
      <w:tr>
        <w:tc>
          <w:tcPr/>
          <w:p>
            <w:pPr>
              <w:pStyle w:val="Compact"/>
              <w:spacing w:before="0" w:after="0" w:line="240" w:lineRule="auto"/>
              <w:jc w:val="left"/>
            </w:pPr>
            <w:r>
              <w:rPr>
                <w:b w:val="0"/>
                <w:color w:val="000000"/>
                <w:sz w:val="16"/>
              </w:rPr>
              <w:t xml:space="preserve">Standard-deviation reduction after subtraction, 1 − SD(</w:t>
            </w:r>
            <w:r>
              <w:rPr>
                <w:b w:val="0"/>
                <w:i/>
                <w:iCs/>
                <w:color w:val="000000"/>
                <w:sz w:val="16"/>
              </w:rPr>
              <w:t xml:space="preserve">N</w:t>
            </w:r>
            <w:r>
              <w:rPr>
                <w:b w:val="0"/>
                <w:color w:val="000000"/>
                <w:sz w:val="16"/>
              </w:rPr>
              <w:t xml:space="preserve">)/SD(</w:t>
            </w:r>
            <w:r>
              <w:rPr>
                <w:b w:val="0"/>
                <w:i/>
                <w:iCs/>
                <w:color w:val="000000"/>
                <w:sz w:val="16"/>
              </w:rPr>
              <w:t xml:space="preserve">G</w:t>
            </w:r>
            <w:r>
              <w:rPr>
                <w:b w:val="0"/>
                <w:color w:val="000000"/>
                <w:sz w:val="16"/>
              </w:rPr>
              <w:t xml:space="preserve">)</w:t>
            </w:r>
          </w:p>
        </w:tc>
        <w:tc>
          <w:tcPr/>
          <w:p>
            <w:pPr>
              <w:pStyle w:val="Compact"/>
              <w:spacing w:before="0" w:after="0" w:line="240" w:lineRule="auto"/>
              <w:jc w:val="right"/>
            </w:pPr>
            <w:r>
              <w:rPr>
                <w:b w:val="0"/>
                <w:color w:val="000000"/>
                <w:sz w:val="16"/>
              </w:rPr>
              <w:t xml:space="preserve">3.0%</w:t>
            </w:r>
          </w:p>
        </w:tc>
        <w:tc>
          <w:tcPr/>
          <w:p>
            <w:pPr>
              <w:pStyle w:val="Compact"/>
              <w:spacing w:before="0" w:after="0" w:line="240" w:lineRule="auto"/>
              <w:jc w:val="right"/>
            </w:pPr>
            <w:r>
              <w:rPr>
                <w:b w:val="0"/>
                <w:color w:val="000000"/>
                <w:sz w:val="16"/>
              </w:rPr>
              <w:t xml:space="preserve">35%</w:t>
            </w:r>
          </w:p>
        </w:tc>
      </w:tr>
    </w:tbl>
    <w:p>
      <w:pPr>
        <w:pStyle w:val="BodyText"/>
        <w:spacing w:before="40" w:after="200" w:line="480" w:lineRule="auto"/>
        <w:rPr>
          <w:sz w:val="22"/>
        </w:rPr>
      </w:pPr>
      <w:r>
        <w:rPr>
          <w:rFonts w:ascii="Cambria" w:hAnsi="Cambria"/>
          <w:sz w:val="22"/>
        </w:rPr>
        <w:t xml:space="preserve">Early and recent denote 2001–2010 and 2015–2024. Panel A: regional comparisons use 2019–2024 and all 14 GFED regions, TROPOMI ranges span the QFED- and GFAS-prior estimates, and the pooled comparison uses within-region standardized anomalies; growth-rate comparisons use GFED fire for 2015–2024, with slopes in PgC of growth per PgC of fire; main Fig. 3b uses the OCO-2/GOSAT mean and Supplementary Fig. 4a OCO-2 alone. Panel B: standard deviations are in PgC yr⁻¹, ten annual values per window, and the variance budget quoted in the text is computed from the unrounded series, so squaring the rounded standard deviations here does not reproduce it exactly;</w:t>
      </w:r>
      <w:r>
        <w:rPr>
          <w:rFonts w:ascii="Cambria" w:hAnsi="Cambria"/>
          <w:sz w:val="22"/>
        </w:rPr>
        <w:t xml:space="preserve"> </w:t>
      </w:r>
      <w:r>
        <w:rPr>
          <w:rFonts w:ascii="Cambria" w:hAnsi="Cambria"/>
          <w:i/>
          <w:iCs/>
          <w:sz w:val="22"/>
        </w:rPr>
        <w:t xml:space="preserve">s</w:t>
      </w:r>
      <w:r>
        <w:rPr>
          <w:rFonts w:ascii="Cambria" w:hAnsi="Cambria"/>
          <w:sz w:val="22"/>
        </w:rPr>
        <w:t xml:space="preserve"> </w:t>
      </w:r>
      <w:r>
        <w:rPr>
          <w:rFonts w:ascii="Cambria" w:hAnsi="Cambria"/>
          <w:sz w:val="22"/>
        </w:rPr>
        <w:t xml:space="preserve">contains fire variance plus one share of the fire–remainder covariance whereas the subtraction contains two, and standard deviation is the square root of variance, so the two fractional reductions differ. The 95% bootstrap intervals of the recent/early standard-deviation ratios are 1.4–5.0 for</w:t>
      </w:r>
      <w:r>
        <w:rPr>
          <w:rFonts w:ascii="Cambria" w:hAnsi="Cambria"/>
          <w:sz w:val="22"/>
        </w:rPr>
        <w:t xml:space="preserve"> </w:t>
      </w:r>
      <w:r>
        <w:rPr>
          <w:rFonts w:ascii="Cambria" w:hAnsi="Cambria"/>
          <w:i/>
          <w:iCs/>
          <w:sz w:val="22"/>
        </w:rPr>
        <w:t xml:space="preserve">F</w:t>
      </w:r>
      <w:r>
        <w:rPr>
          <w:rFonts w:ascii="Cambria" w:hAnsi="Cambria"/>
          <w:sz w:val="22"/>
        </w:rPr>
        <w:t xml:space="preserve"> </w:t>
      </w:r>
      <w:r>
        <w:rPr>
          <w:rFonts w:ascii="Cambria" w:hAnsi="Cambria"/>
          <w:sz w:val="22"/>
        </w:rPr>
        <w:t xml:space="preserve">(two-sided F test with 8 and 8 degrees of freedom, P = 0.014), 0.7–1.5 for</w:t>
      </w:r>
      <w:r>
        <w:rPr>
          <w:rFonts w:ascii="Cambria" w:hAnsi="Cambria"/>
          <w:sz w:val="22"/>
        </w:rPr>
        <w:t xml:space="preserve"> </w:t>
      </w:r>
      <w:r>
        <w:rPr>
          <w:rFonts w:ascii="Cambria" w:hAnsi="Cambria"/>
          <w:i/>
          <w:iCs/>
          <w:sz w:val="22"/>
        </w:rPr>
        <w:t xml:space="preserve">G</w:t>
      </w:r>
      <w:r>
        <w:rPr>
          <w:rFonts w:ascii="Cambria" w:hAnsi="Cambria"/>
          <w:sz w:val="22"/>
        </w:rPr>
        <w:t xml:space="preserve"> </w:t>
      </w:r>
      <w:r>
        <w:rPr>
          <w:rFonts w:ascii="Cambria" w:hAnsi="Cambria"/>
          <w:sz w:val="22"/>
        </w:rPr>
        <w:t xml:space="preserve">(P = 0.66) and 0.48–1.04 for</w:t>
      </w:r>
      <w:r>
        <w:rPr>
          <w:rFonts w:ascii="Cambria" w:hAnsi="Cambria"/>
          <w:sz w:val="22"/>
        </w:rPr>
        <w:t xml:space="preserve"> </w:t>
      </w:r>
      <w:r>
        <w:rPr>
          <w:rFonts w:ascii="Cambria" w:hAnsi="Cambria"/>
          <w:i/>
          <w:iCs/>
          <w:sz w:val="22"/>
        </w:rPr>
        <w:t xml:space="preserve">N</w:t>
      </w:r>
      <w:r>
        <w:rPr>
          <w:rFonts w:ascii="Cambria" w:hAnsi="Cambria"/>
          <w:sz w:val="22"/>
        </w:rPr>
        <w:t xml:space="preserve"> </w:t>
      </w:r>
      <w:r>
        <w:rPr>
          <w:rFonts w:ascii="Cambria" w:hAnsi="Cambria"/>
          <w:sz w:val="22"/>
        </w:rPr>
        <w:t xml:space="preserve">(P = 0.53); the remainder was more variable in the recent window than in the early one in 4% of replicates. These measures describe the same detrended records without estimating fire’s causal contribution.</w:t>
      </w:r>
    </w:p>
    <w:p>
      <w:pPr>
        <w:pStyle w:val="BodyText"/>
        <w:spacing w:before="40" w:after="200" w:line="480" w:lineRule="auto"/>
        <w:rPr>
          <w:sz w:val="22"/>
        </w:rPr>
      </w:pPr>
      <w:r>
        <w:rPr>
          <w:rFonts w:ascii="Cambria" w:hAnsi="Cambria"/>
          <w:b/>
          <w:bCs/>
          <w:sz w:val="22"/>
        </w:rPr>
        <w:t xml:space="preserve">Supplementary Table 4 | Comparison of synchronization in burned area and fire carbon.</w:t>
      </w:r>
    </w:p>
    <w:tbl>
      <w:tblPr>
        <w:tblStyle w:val="Table"/>
        <w:jc w:val="center"/>
        <w:tblLayout w:type="fixed"/>
        <w:tblLook w:firstRow="1" w:lastRow="0" w:firstColumn="0" w:lastColumn="0" w:noHBand="0" w:noVBand="0" w:val="0020"/>
        <w:tblW w:w="5000" w:type="pct"/>
        <w:tblCellMar>
          <w:top w:w="15" w:type="dxa"/>
          <w:bottom w:w="15" w:type="dxa"/>
          <w:left w:w="40" w:type="dxa"/>
          <w:right w:w="40" w:type="dxa"/>
        </w:tblCellMar>
        <w:tblBorders>
          <w:top w:val="single" w:sz="6" w:color="000000"/>
          <w:bottom w:val="single" w:sz="6" w:color="000000"/>
          <w:left w:val="none"/>
          <w:right w:val="none"/>
          <w:insideH w:val="none"/>
          <w:insideV w:val="none"/>
        </w:tblBorders>
      </w:tblPr>
      <w:tblGrid>
        <w:gridCol w:w="3813"/>
        <w:gridCol w:w="2053"/>
        <w:gridCol w:w="2053"/>
      </w:tblGrid>
      <w:tr>
        <w:trPr>
          <w:tblHeader w:val="on"/>
        </w:trPr>
        <w:tc>
          <w:tcPr>
            <w:tcBorders>
              <w:bottom w:val="single" w:sz="6" w:color="000000"/>
            </w:tcBorders>
          </w:tcPr>
          <w:p>
            <w:pPr>
              <w:pStyle w:val="Compact"/>
              <w:spacing w:before="20" w:after="20" w:line="240" w:lineRule="auto"/>
              <w:jc w:val="left"/>
            </w:pPr>
            <w:r>
              <w:rPr>
                <w:b/>
                <w:color w:val="000000"/>
                <w:sz w:val="16"/>
              </w:rPr>
              <w:t xml:space="preserve">Quantity</w:t>
            </w:r>
          </w:p>
        </w:tc>
        <w:tc>
          <w:tcPr>
            <w:tcBorders>
              <w:bottom w:val="single" w:sz="6" w:color="000000"/>
            </w:tcBorders>
          </w:tcPr>
          <w:p>
            <w:pPr>
              <w:pStyle w:val="Compact"/>
              <w:spacing w:before="20" w:after="20" w:line="240" w:lineRule="auto"/>
              <w:jc w:val="left"/>
            </w:pPr>
            <w:r>
              <w:rPr>
                <w:b/>
                <w:color w:val="000000"/>
                <w:sz w:val="16"/>
              </w:rPr>
              <w:t xml:space="preserve">Burned area</w:t>
            </w:r>
          </w:p>
        </w:tc>
        <w:tc>
          <w:tcPr>
            <w:tcBorders>
              <w:bottom w:val="single" w:sz="6" w:color="000000"/>
            </w:tcBorders>
          </w:tcPr>
          <w:p>
            <w:pPr>
              <w:pStyle w:val="Compact"/>
              <w:spacing w:before="20" w:after="20" w:line="240" w:lineRule="auto"/>
              <w:jc w:val="left"/>
            </w:pPr>
            <w:r>
              <w:rPr>
                <w:b/>
                <w:color w:val="000000"/>
                <w:sz w:val="16"/>
              </w:rPr>
              <w:t xml:space="preserve">Fire carbon</w:t>
            </w:r>
          </w:p>
        </w:tc>
      </w:tr>
      <w:tr>
        <w:tc>
          <w:tcPr/>
          <w:p>
            <w:pPr>
              <w:pStyle w:val="Compact"/>
              <w:spacing w:before="0" w:after="0" w:line="240" w:lineRule="auto"/>
              <w:jc w:val="left"/>
            </w:pPr>
            <w:r>
              <w:rPr>
                <w:b w:val="0"/>
                <w:color w:val="000000"/>
                <w:sz w:val="16"/>
              </w:rPr>
              <w:t xml:space="preserve">Coherence (mean pairwise cross-region</w:t>
            </w:r>
            <w:r>
              <w:rPr>
                <w:b w:val="0"/>
                <w:color w:val="000000"/>
                <w:sz w:val="16"/>
              </w:rPr>
              <w:t xml:space="preserve"> </w:t>
            </w:r>
            <w:r>
              <w:rPr>
                <w:b w:val="0"/>
                <w:i/>
                <w:iCs/>
                <w:color w:val="000000"/>
                <w:sz w:val="16"/>
              </w:rPr>
              <w:t xml:space="preserve">r</w:t>
            </w:r>
            <w:r>
              <w:rPr>
                <w:b w:val="0"/>
                <w:color w:val="000000"/>
                <w:sz w:val="16"/>
              </w:rPr>
              <w:t xml:space="preserve">)</w:t>
            </w:r>
          </w:p>
        </w:tc>
        <w:tc>
          <w:tcPr/>
          <w:p>
            <w:pPr>
              <w:pStyle w:val="Compact"/>
              <w:spacing w:before="0" w:after="0" w:line="240" w:lineRule="auto"/>
              <w:jc w:val="left"/>
            </w:pPr>
            <w:r>
              <w:rPr>
                <w:b w:val="0"/>
                <w:color w:val="000000"/>
                <w:sz w:val="16"/>
              </w:rPr>
              <w:t xml:space="preserve">−0.04 → +0.13</w:t>
            </w:r>
          </w:p>
        </w:tc>
        <w:tc>
          <w:tcPr/>
          <w:p>
            <w:pPr>
              <w:pStyle w:val="Compact"/>
              <w:spacing w:before="0" w:after="0" w:line="240" w:lineRule="auto"/>
              <w:jc w:val="left"/>
            </w:pPr>
            <w:r>
              <w:rPr>
                <w:b w:val="0"/>
                <w:color w:val="000000"/>
                <w:sz w:val="16"/>
              </w:rPr>
              <w:t xml:space="preserve">−0.03 → +0.15</w:t>
            </w:r>
          </w:p>
        </w:tc>
      </w:tr>
      <w:tr>
        <w:tc>
          <w:tcPr/>
          <w:p>
            <w:pPr>
              <w:pStyle w:val="Compact"/>
              <w:spacing w:before="0" w:after="0" w:line="240" w:lineRule="auto"/>
              <w:jc w:val="left"/>
            </w:pPr>
            <w:r>
              <w:rPr>
                <w:b w:val="0"/>
                <w:color w:val="000000"/>
                <w:sz w:val="16"/>
              </w:rPr>
              <w:t xml:space="preserve">Global variance / summed regional variances</w:t>
            </w:r>
          </w:p>
        </w:tc>
        <w:tc>
          <w:tcPr/>
          <w:p>
            <w:pPr>
              <w:pStyle w:val="Compact"/>
              <w:spacing w:before="0" w:after="0" w:line="240" w:lineRule="auto"/>
              <w:jc w:val="left"/>
            </w:pPr>
            <w:r>
              <w:rPr>
                <w:b w:val="0"/>
                <w:color w:val="000000"/>
                <w:sz w:val="16"/>
              </w:rPr>
              <w:t xml:space="preserve">0.67 → 1.95</w:t>
            </w:r>
          </w:p>
        </w:tc>
        <w:tc>
          <w:tcPr/>
          <w:p>
            <w:pPr>
              <w:pStyle w:val="Compact"/>
              <w:spacing w:before="0" w:after="0" w:line="240" w:lineRule="auto"/>
              <w:jc w:val="left"/>
            </w:pPr>
            <w:r>
              <w:rPr>
                <w:b w:val="0"/>
                <w:color w:val="000000"/>
                <w:sz w:val="16"/>
              </w:rPr>
              <w:t xml:space="preserve">0.36 → 1.81</w:t>
            </w:r>
          </w:p>
        </w:tc>
      </w:tr>
      <w:tr>
        <w:tc>
          <w:tcPr/>
          <w:p>
            <w:pPr>
              <w:pStyle w:val="Compact"/>
              <w:spacing w:before="0" w:after="0" w:line="240" w:lineRule="auto"/>
              <w:jc w:val="left"/>
            </w:pPr>
            <w:r>
              <w:rPr>
                <w:b w:val="0"/>
                <w:color w:val="000000"/>
                <w:sz w:val="16"/>
              </w:rPr>
              <w:t xml:space="preserve">Recent/early detrended standard deviation</w:t>
            </w:r>
          </w:p>
        </w:tc>
        <w:tc>
          <w:tcPr/>
          <w:p>
            <w:pPr>
              <w:pStyle w:val="Compact"/>
              <w:spacing w:before="0" w:after="0" w:line="240" w:lineRule="auto"/>
              <w:jc w:val="left"/>
            </w:pPr>
            <w:r>
              <w:rPr>
                <w:b w:val="0"/>
                <w:color w:val="000000"/>
                <w:sz w:val="16"/>
              </w:rPr>
              <w:t xml:space="preserve">1.6</w:t>
            </w:r>
          </w:p>
        </w:tc>
        <w:tc>
          <w:tcPr/>
          <w:p>
            <w:pPr>
              <w:pStyle w:val="Compact"/>
              <w:spacing w:before="0" w:after="0" w:line="240" w:lineRule="auto"/>
              <w:jc w:val="left"/>
            </w:pPr>
            <w:r>
              <w:rPr>
                <w:b w:val="0"/>
                <w:color w:val="000000"/>
                <w:sz w:val="16"/>
              </w:rPr>
              <w:t xml:space="preserve">2.6</w:t>
            </w:r>
          </w:p>
        </w:tc>
      </w:tr>
    </w:tbl>
    <w:p>
      <w:pPr>
        <w:pStyle w:val="BodyText"/>
        <w:spacing w:before="40" w:after="200" w:line="480" w:lineRule="auto"/>
        <w:rPr>
          <w:sz w:val="22"/>
        </w:rPr>
      </w:pPr>
      <w:r>
        <w:rPr>
          <w:rFonts w:ascii="Cambria" w:hAnsi="Cambria"/>
          <w:sz w:val="22"/>
        </w:rPr>
        <w:t xml:space="preserve">Arrows compare 2001–2010 with 2015–2024. In the second row, a ratio above one means that regional anomalies reinforce rather than cancel in the global total. Mean global burned area declined from 821 to 714 Mha yr⁻¹, while its detrended standard deviation rose from 28 to 44 Mha yr⁻¹. The larger amplification in carbon variability additionally depends on carbon released per area burned and on where the burning occurred.</w:t>
      </w:r>
    </w:p>
    <w:bookmarkEnd w:id="38"/>
    <w:bookmarkStart w:id="50" w:name="supplementary-references"/>
    <w:p>
      <w:pPr>
        <w:pStyle w:val="Heading2"/>
        <w:spacing w:before="160" w:after="80" w:line="276" w:lineRule="auto"/>
      </w:pPr>
      <w:r>
        <w:t xml:space="preserve">Supplementary references</w:t>
      </w:r>
    </w:p>
    <w:p>
      <w:pPr>
        <w:pStyle w:val="Compact"/>
        <w:numPr>
          <w:ilvl w:val="0"/>
          <w:numId w:val="1001"/>
        </w:numPr>
        <w:spacing w:before="40" w:after="200" w:line="480" w:lineRule="auto"/>
        <w:rPr>
          <w:sz w:val="22"/>
        </w:rPr>
      </w:pPr>
      <w:r>
        <w:rPr>
          <w:rFonts w:ascii="Cambria" w:hAnsi="Cambria"/>
          <w:sz w:val="22"/>
        </w:rPr>
        <w:t xml:space="preserve">van der Werf, G. R. et al. Landscape fire emissions from the 5th version of the Global Fire Emissions Database (GFED5).</w:t>
      </w:r>
      <w:r>
        <w:rPr>
          <w:rFonts w:ascii="Cambria" w:hAnsi="Cambria"/>
          <w:sz w:val="22"/>
        </w:rPr>
        <w:t xml:space="preserve"> </w:t>
      </w:r>
      <w:r>
        <w:rPr>
          <w:rFonts w:ascii="Cambria" w:hAnsi="Cambria"/>
          <w:i/>
          <w:iCs/>
          <w:sz w:val="22"/>
        </w:rPr>
        <w:t xml:space="preserve">Scientific Data</w:t>
      </w:r>
      <w:r>
        <w:rPr>
          <w:rFonts w:ascii="Cambria" w:hAnsi="Cambria"/>
          <w:sz w:val="22"/>
        </w:rPr>
        <w:t xml:space="preserve"> </w:t>
      </w:r>
      <w:r>
        <w:rPr>
          <w:rFonts w:ascii="Cambria" w:hAnsi="Cambria"/>
          <w:b/>
          <w:bCs/>
          <w:sz w:val="22"/>
        </w:rPr>
        <w:t xml:space="preserve">12</w:t>
      </w:r>
      <w:r>
        <w:rPr>
          <w:rFonts w:ascii="Cambria" w:hAnsi="Cambria"/>
          <w:sz w:val="22"/>
        </w:rPr>
        <w:t xml:space="preserve">, 1870 (2025).</w:t>
      </w:r>
      <w:r>
        <w:rPr>
          <w:rFonts w:ascii="Cambria" w:hAnsi="Cambria"/>
          <w:sz w:val="22"/>
        </w:rPr>
        <w:t xml:space="preserve"> </w:t>
      </w:r>
      <w:hyperlink r:id="rId39">
        <w:r>
          <w:rPr>
            <w:rStyle w:val="Hyperlink"/>
            <w:rFonts w:ascii="Cambria" w:hAnsi="Cambria"/>
            <w:sz w:val="22"/>
          </w:rPr>
          <w:t xml:space="preserve">doi:10.1038/s41597-025-06127-w</w:t>
        </w:r>
      </w:hyperlink>
      <w:r>
        <w:rPr>
          <w:rFonts w:ascii="Cambria" w:hAnsi="Cambria"/>
          <w:sz w:val="22"/>
        </w:rPr>
        <w:t xml:space="preserve">.</w:t>
      </w:r>
    </w:p>
    <w:p>
      <w:pPr>
        <w:pStyle w:val="Compact"/>
        <w:numPr>
          <w:ilvl w:val="0"/>
          <w:numId w:val="1001"/>
        </w:numPr>
        <w:spacing w:before="40" w:after="200" w:line="480" w:lineRule="auto"/>
        <w:rPr>
          <w:sz w:val="22"/>
        </w:rPr>
      </w:pPr>
      <w:r>
        <w:rPr>
          <w:rFonts w:ascii="Cambria" w:hAnsi="Cambria"/>
          <w:sz w:val="22"/>
        </w:rPr>
        <w:t xml:space="preserve">Chen, Y. et al. Tracking recent extremes and interannual variability of global fire emissions using a near-real-time extension to the Global Fire Emissions Database.</w:t>
      </w:r>
      <w:r>
        <w:rPr>
          <w:rFonts w:ascii="Cambria" w:hAnsi="Cambria"/>
          <w:sz w:val="22"/>
        </w:rPr>
        <w:t xml:space="preserve"> </w:t>
      </w:r>
      <w:r>
        <w:rPr>
          <w:rFonts w:ascii="Cambria" w:hAnsi="Cambria"/>
          <w:i/>
          <w:iCs/>
          <w:sz w:val="22"/>
        </w:rPr>
        <w:t xml:space="preserve">Earth System Science Data Discussions</w:t>
      </w:r>
      <w:r>
        <w:rPr>
          <w:rFonts w:ascii="Cambria" w:hAnsi="Cambria"/>
          <w:sz w:val="22"/>
        </w:rPr>
        <w:t xml:space="preserve"> </w:t>
      </w:r>
      <w:r>
        <w:rPr>
          <w:rFonts w:ascii="Cambria" w:hAnsi="Cambria"/>
          <w:sz w:val="22"/>
        </w:rPr>
        <w:t xml:space="preserve">(2026).</w:t>
      </w:r>
      <w:r>
        <w:rPr>
          <w:rFonts w:ascii="Cambria" w:hAnsi="Cambria"/>
          <w:sz w:val="22"/>
        </w:rPr>
        <w:t xml:space="preserve"> </w:t>
      </w:r>
      <w:hyperlink r:id="rId40">
        <w:r>
          <w:rPr>
            <w:rStyle w:val="Hyperlink"/>
            <w:rFonts w:ascii="Cambria" w:hAnsi="Cambria"/>
            <w:sz w:val="22"/>
          </w:rPr>
          <w:t xml:space="preserve">doi:10.5194/essd-2026-158</w:t>
        </w:r>
      </w:hyperlink>
      <w:r>
        <w:rPr>
          <w:rFonts w:ascii="Cambria" w:hAnsi="Cambria"/>
          <w:sz w:val="22"/>
        </w:rPr>
        <w:t xml:space="preserve">. Preprint, in review.</w:t>
      </w:r>
    </w:p>
    <w:p>
      <w:pPr>
        <w:pStyle w:val="Compact"/>
        <w:numPr>
          <w:ilvl w:val="0"/>
          <w:numId w:val="1001"/>
        </w:numPr>
        <w:spacing w:before="40" w:after="200" w:line="480" w:lineRule="auto"/>
        <w:rPr>
          <w:sz w:val="22"/>
        </w:rPr>
      </w:pPr>
      <w:r>
        <w:rPr>
          <w:rFonts w:ascii="Cambria" w:hAnsi="Cambria"/>
          <w:sz w:val="22"/>
        </w:rPr>
        <w:t xml:space="preserve">Chen, Y. et al. GFED5NRT: Global Fire Emissions Database Near-Real-Time Extension, version 5.1.</w:t>
      </w:r>
      <w:r>
        <w:rPr>
          <w:rFonts w:ascii="Cambria" w:hAnsi="Cambria"/>
          <w:sz w:val="22"/>
        </w:rPr>
        <w:t xml:space="preserve"> </w:t>
      </w:r>
      <w:r>
        <w:rPr>
          <w:rFonts w:ascii="Cambria" w:hAnsi="Cambria"/>
          <w:i/>
          <w:iCs/>
          <w:sz w:val="22"/>
        </w:rPr>
        <w:t xml:space="preserve">Zenodo</w:t>
      </w:r>
      <w:r>
        <w:rPr>
          <w:rFonts w:ascii="Cambria" w:hAnsi="Cambria"/>
          <w:sz w:val="22"/>
        </w:rPr>
        <w:t xml:space="preserve"> </w:t>
      </w:r>
      <w:r>
        <w:rPr>
          <w:rFonts w:ascii="Cambria" w:hAnsi="Cambria"/>
          <w:sz w:val="22"/>
        </w:rPr>
        <w:t xml:space="preserve">(2026).</w:t>
      </w:r>
      <w:r>
        <w:rPr>
          <w:rFonts w:ascii="Cambria" w:hAnsi="Cambria"/>
          <w:sz w:val="22"/>
        </w:rPr>
        <w:t xml:space="preserve"> </w:t>
      </w:r>
      <w:hyperlink r:id="rId41">
        <w:r>
          <w:rPr>
            <w:rStyle w:val="Hyperlink"/>
            <w:rFonts w:ascii="Cambria" w:hAnsi="Cambria"/>
            <w:sz w:val="22"/>
          </w:rPr>
          <w:t xml:space="preserve">doi:10.5281/zenodo.18702700</w:t>
        </w:r>
      </w:hyperlink>
      <w:r>
        <w:rPr>
          <w:rFonts w:ascii="Cambria" w:hAnsi="Cambria"/>
          <w:sz w:val="22"/>
        </w:rPr>
        <w:t xml:space="preserve">. Dataset accompanying ref. 2.</w:t>
      </w:r>
    </w:p>
    <w:p>
      <w:pPr>
        <w:pStyle w:val="Compact"/>
        <w:numPr>
          <w:ilvl w:val="0"/>
          <w:numId w:val="1001"/>
        </w:numPr>
        <w:spacing w:before="40" w:after="200" w:line="480" w:lineRule="auto"/>
        <w:rPr>
          <w:sz w:val="22"/>
        </w:rPr>
      </w:pPr>
      <w:r>
        <w:rPr>
          <w:rFonts w:ascii="Cambria" w:hAnsi="Cambria"/>
          <w:sz w:val="22"/>
        </w:rPr>
        <w:t xml:space="preserve">Chen, Y. et al. Multi-decadal trends and variability in burned area from the fifth version of the Global Fire Emissions Database (GFED5).</w:t>
      </w:r>
      <w:r>
        <w:rPr>
          <w:rFonts w:ascii="Cambria" w:hAnsi="Cambria"/>
          <w:sz w:val="22"/>
        </w:rPr>
        <w:t xml:space="preserve"> </w:t>
      </w:r>
      <w:r>
        <w:rPr>
          <w:rFonts w:ascii="Cambria" w:hAnsi="Cambria"/>
          <w:i/>
          <w:iCs/>
          <w:sz w:val="22"/>
        </w:rPr>
        <w:t xml:space="preserve">Earth System Science Data</w:t>
      </w:r>
      <w:r>
        <w:rPr>
          <w:rFonts w:ascii="Cambria" w:hAnsi="Cambria"/>
          <w:sz w:val="22"/>
        </w:rPr>
        <w:t xml:space="preserve"> </w:t>
      </w:r>
      <w:r>
        <w:rPr>
          <w:rFonts w:ascii="Cambria" w:hAnsi="Cambria"/>
          <w:b/>
          <w:bCs/>
          <w:sz w:val="22"/>
        </w:rPr>
        <w:t xml:space="preserve">15</w:t>
      </w:r>
      <w:r>
        <w:rPr>
          <w:rFonts w:ascii="Cambria" w:hAnsi="Cambria"/>
          <w:sz w:val="22"/>
        </w:rPr>
        <w:t xml:space="preserve">, 5227–5259 (2023).</w:t>
      </w:r>
      <w:r>
        <w:rPr>
          <w:rFonts w:ascii="Cambria" w:hAnsi="Cambria"/>
          <w:sz w:val="22"/>
        </w:rPr>
        <w:t xml:space="preserve"> </w:t>
      </w:r>
      <w:hyperlink r:id="rId42">
        <w:r>
          <w:rPr>
            <w:rStyle w:val="Hyperlink"/>
            <w:rFonts w:ascii="Cambria" w:hAnsi="Cambria"/>
            <w:sz w:val="22"/>
          </w:rPr>
          <w:t xml:space="preserve">doi:10.5194/essd-15-5227-2023</w:t>
        </w:r>
      </w:hyperlink>
      <w:r>
        <w:rPr>
          <w:rFonts w:ascii="Cambria" w:hAnsi="Cambria"/>
          <w:sz w:val="22"/>
        </w:rPr>
        <w:t xml:space="preserve">.</w:t>
      </w:r>
    </w:p>
    <w:p>
      <w:pPr>
        <w:pStyle w:val="Compact"/>
        <w:numPr>
          <w:ilvl w:val="0"/>
          <w:numId w:val="1001"/>
        </w:numPr>
        <w:spacing w:before="40" w:after="200" w:line="480" w:lineRule="auto"/>
        <w:rPr>
          <w:sz w:val="22"/>
        </w:rPr>
      </w:pPr>
      <w:r>
        <w:rPr>
          <w:rFonts w:ascii="Cambria" w:hAnsi="Cambria"/>
          <w:sz w:val="22"/>
        </w:rPr>
        <w:t xml:space="preserve">Kaiser, J. W. et al. Biomass burning emissions estimated with a global fire assimilation system based on observed fire radiative power.</w:t>
      </w:r>
      <w:r>
        <w:rPr>
          <w:rFonts w:ascii="Cambria" w:hAnsi="Cambria"/>
          <w:sz w:val="22"/>
        </w:rPr>
        <w:t xml:space="preserve"> </w:t>
      </w:r>
      <w:r>
        <w:rPr>
          <w:rFonts w:ascii="Cambria" w:hAnsi="Cambria"/>
          <w:i/>
          <w:iCs/>
          <w:sz w:val="22"/>
        </w:rPr>
        <w:t xml:space="preserve">Biogeosciences</w:t>
      </w:r>
      <w:r>
        <w:rPr>
          <w:rFonts w:ascii="Cambria" w:hAnsi="Cambria"/>
          <w:sz w:val="22"/>
        </w:rPr>
        <w:t xml:space="preserve"> </w:t>
      </w:r>
      <w:r>
        <w:rPr>
          <w:rFonts w:ascii="Cambria" w:hAnsi="Cambria"/>
          <w:b/>
          <w:bCs/>
          <w:sz w:val="22"/>
        </w:rPr>
        <w:t xml:space="preserve">9</w:t>
      </w:r>
      <w:r>
        <w:rPr>
          <w:rFonts w:ascii="Cambria" w:hAnsi="Cambria"/>
          <w:sz w:val="22"/>
        </w:rPr>
        <w:t xml:space="preserve">, 527–554 (2012).</w:t>
      </w:r>
      <w:r>
        <w:rPr>
          <w:rFonts w:ascii="Cambria" w:hAnsi="Cambria"/>
          <w:sz w:val="22"/>
        </w:rPr>
        <w:t xml:space="preserve"> </w:t>
      </w:r>
      <w:hyperlink r:id="rId43">
        <w:r>
          <w:rPr>
            <w:rStyle w:val="Hyperlink"/>
            <w:rFonts w:ascii="Cambria" w:hAnsi="Cambria"/>
            <w:sz w:val="22"/>
          </w:rPr>
          <w:t xml:space="preserve">doi:10.5194/bg-9-527-2012</w:t>
        </w:r>
      </w:hyperlink>
      <w:r>
        <w:rPr>
          <w:rFonts w:ascii="Cambria" w:hAnsi="Cambria"/>
          <w:sz w:val="22"/>
        </w:rPr>
        <w:t xml:space="preserve">.</w:t>
      </w:r>
    </w:p>
    <w:p>
      <w:pPr>
        <w:pStyle w:val="Compact"/>
        <w:numPr>
          <w:ilvl w:val="0"/>
          <w:numId w:val="1001"/>
        </w:numPr>
        <w:spacing w:before="40" w:after="200" w:line="480" w:lineRule="auto"/>
        <w:rPr>
          <w:sz w:val="22"/>
        </w:rPr>
      </w:pPr>
      <w:r>
        <w:rPr>
          <w:rFonts w:ascii="Cambria" w:hAnsi="Cambria"/>
          <w:sz w:val="22"/>
        </w:rPr>
        <w:t xml:space="preserve">Yun, J., Pandey, S., Bowman, K., Miyazaki, K. &amp; Liu, J. Unprecedented role of Amazon fires in the record atmospheric CO₂ growth in 2024.</w:t>
      </w:r>
      <w:r>
        <w:rPr>
          <w:rFonts w:ascii="Cambria" w:hAnsi="Cambria"/>
          <w:sz w:val="22"/>
        </w:rPr>
        <w:t xml:space="preserve"> </w:t>
      </w:r>
      <w:r>
        <w:rPr>
          <w:rFonts w:ascii="Cambria" w:hAnsi="Cambria"/>
          <w:i/>
          <w:iCs/>
          <w:sz w:val="22"/>
        </w:rPr>
        <w:t xml:space="preserve">ESS Open Archive</w:t>
      </w:r>
      <w:r>
        <w:rPr>
          <w:rFonts w:ascii="Cambria" w:hAnsi="Cambria"/>
          <w:sz w:val="22"/>
        </w:rPr>
        <w:t xml:space="preserve"> </w:t>
      </w:r>
      <w:r>
        <w:rPr>
          <w:rFonts w:ascii="Cambria" w:hAnsi="Cambria"/>
          <w:sz w:val="22"/>
        </w:rPr>
        <w:t xml:space="preserve">(2025).</w:t>
      </w:r>
      <w:r>
        <w:rPr>
          <w:rFonts w:ascii="Cambria" w:hAnsi="Cambria"/>
          <w:sz w:val="22"/>
        </w:rPr>
        <w:t xml:space="preserve"> </w:t>
      </w:r>
      <w:hyperlink r:id="rId44">
        <w:r>
          <w:rPr>
            <w:rStyle w:val="Hyperlink"/>
            <w:rFonts w:ascii="Cambria" w:hAnsi="Cambria"/>
            <w:sz w:val="22"/>
          </w:rPr>
          <w:t xml:space="preserve">doi:10.22541/essoar.175874118.83695562/v1</w:t>
        </w:r>
      </w:hyperlink>
      <w:r>
        <w:rPr>
          <w:rFonts w:ascii="Cambria" w:hAnsi="Cambria"/>
          <w:sz w:val="22"/>
        </w:rPr>
        <w:t xml:space="preserve">. Preprint, version 1; not peer reviewed.</w:t>
      </w:r>
    </w:p>
    <w:p>
      <w:pPr>
        <w:pStyle w:val="Compact"/>
        <w:numPr>
          <w:ilvl w:val="0"/>
          <w:numId w:val="1001"/>
        </w:numPr>
        <w:spacing w:before="40" w:after="200" w:line="480" w:lineRule="auto"/>
        <w:rPr>
          <w:sz w:val="22"/>
        </w:rPr>
      </w:pPr>
      <w:r>
        <w:rPr>
          <w:rFonts w:ascii="Cambria" w:hAnsi="Cambria"/>
          <w:sz w:val="22"/>
        </w:rPr>
        <w:t xml:space="preserve">Friedlingstein, P. et al. Global Carbon Budget 2025.</w:t>
      </w:r>
      <w:r>
        <w:rPr>
          <w:rFonts w:ascii="Cambria" w:hAnsi="Cambria"/>
          <w:sz w:val="22"/>
        </w:rPr>
        <w:t xml:space="preserve"> </w:t>
      </w:r>
      <w:r>
        <w:rPr>
          <w:rFonts w:ascii="Cambria" w:hAnsi="Cambria"/>
          <w:i/>
          <w:iCs/>
          <w:sz w:val="22"/>
        </w:rPr>
        <w:t xml:space="preserve">Earth System Science Data</w:t>
      </w:r>
      <w:r>
        <w:rPr>
          <w:rFonts w:ascii="Cambria" w:hAnsi="Cambria"/>
          <w:sz w:val="22"/>
        </w:rPr>
        <w:t xml:space="preserve"> </w:t>
      </w:r>
      <w:r>
        <w:rPr>
          <w:rFonts w:ascii="Cambria" w:hAnsi="Cambria"/>
          <w:b/>
          <w:bCs/>
          <w:sz w:val="22"/>
        </w:rPr>
        <w:t xml:space="preserve">18</w:t>
      </w:r>
      <w:r>
        <w:rPr>
          <w:rFonts w:ascii="Cambria" w:hAnsi="Cambria"/>
          <w:sz w:val="22"/>
        </w:rPr>
        <w:t xml:space="preserve">, 3211–3288 (2026).</w:t>
      </w:r>
      <w:r>
        <w:rPr>
          <w:rFonts w:ascii="Cambria" w:hAnsi="Cambria"/>
          <w:sz w:val="22"/>
        </w:rPr>
        <w:t xml:space="preserve"> </w:t>
      </w:r>
      <w:hyperlink r:id="rId45">
        <w:r>
          <w:rPr>
            <w:rStyle w:val="Hyperlink"/>
            <w:rFonts w:ascii="Cambria" w:hAnsi="Cambria"/>
            <w:sz w:val="22"/>
          </w:rPr>
          <w:t xml:space="preserve">doi:10.5194/essd-18-3211-2026</w:t>
        </w:r>
      </w:hyperlink>
      <w:r>
        <w:rPr>
          <w:rFonts w:ascii="Cambria" w:hAnsi="Cambria"/>
          <w:sz w:val="22"/>
        </w:rPr>
        <w:t xml:space="preserve">.</w:t>
      </w:r>
    </w:p>
    <w:p>
      <w:pPr>
        <w:pStyle w:val="Compact"/>
        <w:numPr>
          <w:ilvl w:val="0"/>
          <w:numId w:val="1001"/>
        </w:numPr>
        <w:spacing w:before="40" w:after="200" w:line="480" w:lineRule="auto"/>
        <w:rPr>
          <w:sz w:val="22"/>
        </w:rPr>
      </w:pPr>
      <w:r>
        <w:rPr>
          <w:rFonts w:ascii="Cambria" w:hAnsi="Cambria"/>
          <w:sz w:val="22"/>
        </w:rPr>
        <w:t xml:space="preserve">Pandey, S. et al. Toward low-latency estimation of atmospheric CO₂ growth rates using satellite observations: evaluating sampling errors of satellite and in situ observing approaches.</w:t>
      </w:r>
      <w:r>
        <w:rPr>
          <w:rFonts w:ascii="Cambria" w:hAnsi="Cambria"/>
          <w:sz w:val="22"/>
        </w:rPr>
        <w:t xml:space="preserve"> </w:t>
      </w:r>
      <w:r>
        <w:rPr>
          <w:rFonts w:ascii="Cambria" w:hAnsi="Cambria"/>
          <w:i/>
          <w:iCs/>
          <w:sz w:val="22"/>
        </w:rPr>
        <w:t xml:space="preserve">AGU Advances</w:t>
      </w:r>
      <w:r>
        <w:rPr>
          <w:rFonts w:ascii="Cambria" w:hAnsi="Cambria"/>
          <w:sz w:val="22"/>
        </w:rPr>
        <w:t xml:space="preserve"> </w:t>
      </w:r>
      <w:r>
        <w:rPr>
          <w:rFonts w:ascii="Cambria" w:hAnsi="Cambria"/>
          <w:b/>
          <w:bCs/>
          <w:sz w:val="22"/>
        </w:rPr>
        <w:t xml:space="preserve">5</w:t>
      </w:r>
      <w:r>
        <w:rPr>
          <w:rFonts w:ascii="Cambria" w:hAnsi="Cambria"/>
          <w:sz w:val="22"/>
        </w:rPr>
        <w:t xml:space="preserve">, e2023AV001145 (2024).</w:t>
      </w:r>
      <w:r>
        <w:rPr>
          <w:rFonts w:ascii="Cambria" w:hAnsi="Cambria"/>
          <w:sz w:val="22"/>
        </w:rPr>
        <w:t xml:space="preserve"> </w:t>
      </w:r>
      <w:hyperlink r:id="rId46">
        <w:r>
          <w:rPr>
            <w:rStyle w:val="Hyperlink"/>
            <w:rFonts w:ascii="Cambria" w:hAnsi="Cambria"/>
            <w:sz w:val="22"/>
          </w:rPr>
          <w:t xml:space="preserve">doi:10.1029/2023AV001145</w:t>
        </w:r>
      </w:hyperlink>
      <w:r>
        <w:rPr>
          <w:rFonts w:ascii="Cambria" w:hAnsi="Cambria"/>
          <w:sz w:val="22"/>
        </w:rPr>
        <w:t xml:space="preserve">.</w:t>
      </w:r>
    </w:p>
    <w:p>
      <w:pPr>
        <w:pStyle w:val="Compact"/>
        <w:numPr>
          <w:ilvl w:val="0"/>
          <w:numId w:val="1001"/>
        </w:numPr>
        <w:spacing w:before="40" w:after="200" w:line="480" w:lineRule="auto"/>
        <w:rPr>
          <w:sz w:val="22"/>
        </w:rPr>
      </w:pPr>
      <w:r>
        <w:rPr>
          <w:rFonts w:ascii="Cambria" w:hAnsi="Cambria"/>
          <w:sz w:val="22"/>
        </w:rPr>
        <w:t xml:space="preserve">Pandey, S. et al. Time-varying errors in the atmospheric CO₂ growth rate.</w:t>
      </w:r>
      <w:r>
        <w:rPr>
          <w:rFonts w:ascii="Cambria" w:hAnsi="Cambria"/>
          <w:sz w:val="22"/>
        </w:rPr>
        <w:t xml:space="preserve"> </w:t>
      </w:r>
      <w:r>
        <w:rPr>
          <w:rFonts w:ascii="Cambria" w:hAnsi="Cambria"/>
          <w:i/>
          <w:iCs/>
          <w:sz w:val="22"/>
        </w:rPr>
        <w:t xml:space="preserve">Research Square</w:t>
      </w:r>
      <w:r>
        <w:rPr>
          <w:rFonts w:ascii="Cambria" w:hAnsi="Cambria"/>
          <w:sz w:val="22"/>
        </w:rPr>
        <w:t xml:space="preserve"> </w:t>
      </w:r>
      <w:r>
        <w:rPr>
          <w:rFonts w:ascii="Cambria" w:hAnsi="Cambria"/>
          <w:sz w:val="22"/>
        </w:rPr>
        <w:t xml:space="preserve">(2026).</w:t>
      </w:r>
      <w:r>
        <w:rPr>
          <w:rFonts w:ascii="Cambria" w:hAnsi="Cambria"/>
          <w:sz w:val="22"/>
        </w:rPr>
        <w:t xml:space="preserve"> </w:t>
      </w:r>
      <w:hyperlink r:id="rId47">
        <w:r>
          <w:rPr>
            <w:rStyle w:val="Hyperlink"/>
            <w:rFonts w:ascii="Cambria" w:hAnsi="Cambria"/>
            <w:sz w:val="22"/>
          </w:rPr>
          <w:t xml:space="preserve">doi:10.21203/rs.3.rs-9854768/v1</w:t>
        </w:r>
      </w:hyperlink>
      <w:r>
        <w:rPr>
          <w:rFonts w:ascii="Cambria" w:hAnsi="Cambria"/>
          <w:sz w:val="22"/>
        </w:rPr>
        <w:t xml:space="preserve">. Preprint, version 1; not peer reviewed.</w:t>
      </w:r>
    </w:p>
    <w:p>
      <w:pPr>
        <w:pStyle w:val="Compact"/>
        <w:numPr>
          <w:ilvl w:val="0"/>
          <w:numId w:val="1001"/>
        </w:numPr>
        <w:spacing w:before="40" w:after="200" w:line="480" w:lineRule="auto"/>
        <w:rPr>
          <w:sz w:val="22"/>
        </w:rPr>
      </w:pPr>
      <w:r>
        <w:rPr>
          <w:rFonts w:ascii="Cambria" w:hAnsi="Cambria"/>
          <w:sz w:val="22"/>
        </w:rPr>
        <w:t xml:space="preserve">Kalnay, E. et al. The NCEP/NCAR 40-year reanalysis project.</w:t>
      </w:r>
      <w:r>
        <w:rPr>
          <w:rFonts w:ascii="Cambria" w:hAnsi="Cambria"/>
          <w:sz w:val="22"/>
        </w:rPr>
        <w:t xml:space="preserve"> </w:t>
      </w:r>
      <w:r>
        <w:rPr>
          <w:rFonts w:ascii="Cambria" w:hAnsi="Cambria"/>
          <w:i/>
          <w:iCs/>
          <w:sz w:val="22"/>
        </w:rPr>
        <w:t xml:space="preserve">Bulletin of the American Meteorological Society</w:t>
      </w:r>
      <w:r>
        <w:rPr>
          <w:rFonts w:ascii="Cambria" w:hAnsi="Cambria"/>
          <w:sz w:val="22"/>
        </w:rPr>
        <w:t xml:space="preserve"> </w:t>
      </w:r>
      <w:r>
        <w:rPr>
          <w:rFonts w:ascii="Cambria" w:hAnsi="Cambria"/>
          <w:b/>
          <w:bCs/>
          <w:sz w:val="22"/>
        </w:rPr>
        <w:t xml:space="preserve">77</w:t>
      </w:r>
      <w:r>
        <w:rPr>
          <w:rFonts w:ascii="Cambria" w:hAnsi="Cambria"/>
          <w:sz w:val="22"/>
        </w:rPr>
        <w:t xml:space="preserve">, 437–472 (1996).</w:t>
      </w:r>
      <w:r>
        <w:rPr>
          <w:rFonts w:ascii="Cambria" w:hAnsi="Cambria"/>
          <w:sz w:val="22"/>
        </w:rPr>
        <w:t xml:space="preserve"> </w:t>
      </w:r>
      <w:hyperlink r:id="rId48">
        <w:r>
          <w:rPr>
            <w:rStyle w:val="Hyperlink"/>
            <w:rFonts w:ascii="Cambria" w:hAnsi="Cambria"/>
            <w:sz w:val="22"/>
          </w:rPr>
          <w:t xml:space="preserve">doi:10.1175/1520-0477(1996)077&lt;0437:TNYRP&gt;2.0.CO;2</w:t>
        </w:r>
      </w:hyperlink>
      <w:r>
        <w:rPr>
          <w:rFonts w:ascii="Cambria" w:hAnsi="Cambria"/>
          <w:sz w:val="22"/>
        </w:rPr>
        <w:t xml:space="preserve">.</w:t>
      </w:r>
    </w:p>
    <w:p>
      <w:pPr>
        <w:pStyle w:val="Compact"/>
        <w:numPr>
          <w:ilvl w:val="0"/>
          <w:numId w:val="1001"/>
        </w:numPr>
        <w:spacing w:before="40" w:after="200" w:line="480" w:lineRule="auto"/>
        <w:rPr>
          <w:sz w:val="22"/>
        </w:rPr>
      </w:pPr>
      <w:r>
        <w:rPr>
          <w:rFonts w:ascii="Cambria" w:hAnsi="Cambria"/>
          <w:sz w:val="22"/>
        </w:rPr>
        <w:t xml:space="preserve">Bolton, D. The computation of equivalent potential temperature.</w:t>
      </w:r>
      <w:r>
        <w:rPr>
          <w:rFonts w:ascii="Cambria" w:hAnsi="Cambria"/>
          <w:sz w:val="22"/>
        </w:rPr>
        <w:t xml:space="preserve"> </w:t>
      </w:r>
      <w:r>
        <w:rPr>
          <w:rFonts w:ascii="Cambria" w:hAnsi="Cambria"/>
          <w:i/>
          <w:iCs/>
          <w:sz w:val="22"/>
        </w:rPr>
        <w:t xml:space="preserve">Monthly Weather Review</w:t>
      </w:r>
      <w:r>
        <w:rPr>
          <w:rFonts w:ascii="Cambria" w:hAnsi="Cambria"/>
          <w:sz w:val="22"/>
        </w:rPr>
        <w:t xml:space="preserve"> </w:t>
      </w:r>
      <w:r>
        <w:rPr>
          <w:rFonts w:ascii="Cambria" w:hAnsi="Cambria"/>
          <w:b/>
          <w:bCs/>
          <w:sz w:val="22"/>
        </w:rPr>
        <w:t xml:space="preserve">108</w:t>
      </w:r>
      <w:r>
        <w:rPr>
          <w:rFonts w:ascii="Cambria" w:hAnsi="Cambria"/>
          <w:sz w:val="22"/>
        </w:rPr>
        <w:t xml:space="preserve">, 1046–1053 (1980).</w:t>
      </w:r>
      <w:r>
        <w:rPr>
          <w:rFonts w:ascii="Cambria" w:hAnsi="Cambria"/>
          <w:sz w:val="22"/>
        </w:rPr>
        <w:t xml:space="preserve"> </w:t>
      </w:r>
      <w:hyperlink r:id="rId49">
        <w:r>
          <w:rPr>
            <w:rStyle w:val="Hyperlink"/>
            <w:rFonts w:ascii="Cambria" w:hAnsi="Cambria"/>
            <w:sz w:val="22"/>
          </w:rPr>
          <w:t xml:space="preserve">doi:10.1175/1520-0493(1980)108&lt;1046:TCOEPT&gt;2.0.CO;2</w:t>
        </w:r>
      </w:hyperlink>
      <w:r>
        <w:rPr>
          <w:rFonts w:ascii="Cambria" w:hAnsi="Cambria"/>
          <w:sz w:val="22"/>
        </w:rPr>
        <w:t xml:space="preserve">.</w:t>
      </w:r>
    </w:p>
    <w:bookmarkEnd w:id="50"/>
    <w:bookmarkEnd w:id="51"/>
    <w:sectPr>
      <w:footerReference w:type="default" r:id="rId10"/>
      <w:footnotePr>
        <w:numRestart w:val="eachSect"/>
      </w:footnotePr>
      <w:pgMar w:top="1134" w:bottom="1134" w:left="1134" w:right="1134"/>
      <w:lnNumType w:countBy="1" w:restart="continuous"/>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jc w:val="center"/>
    </w:pPr>
    <w:r>
      <w:fldChar w:fldCharType="begin"/>
      <w:instrText xml:space="preserve"> PAGE </w:instrText>
      <w:fldChar w:fldCharType="separate"/>
      <w:t>1</w: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image" Target="media/rId9.png"/><Relationship Id="rId13" Type="http://schemas.openxmlformats.org/officeDocument/2006/relationships/image" Target="media/rId13.png"/><Relationship Id="rId17" Type="http://schemas.openxmlformats.org/officeDocument/2006/relationships/image" Target="media/rId17.png"/><Relationship Id="rId22" Type="http://schemas.openxmlformats.org/officeDocument/2006/relationships/image" Target="media/rId22.png"/><Relationship Id="rId25" Type="http://schemas.openxmlformats.org/officeDocument/2006/relationships/image" Target="media/rId25.png"/><Relationship Id="rId46" Type="http://schemas.openxmlformats.org/officeDocument/2006/relationships/hyperlink" Target="https://doi.org/10.1029/2023AV001145" TargetMode="External"/><Relationship Id="rId39" Type="http://schemas.openxmlformats.org/officeDocument/2006/relationships/hyperlink" Target="https://doi.org/10.1038/s41597-025-06127-w" TargetMode="External"/><Relationship Id="rId48" Type="http://schemas.openxmlformats.org/officeDocument/2006/relationships/hyperlink" Target="https://doi.org/10.1175/1520-0477%281996%29077%3C0437%3ATNYRP%3E2.0.CO%3B2" TargetMode="External"/><Relationship Id="rId49" Type="http://schemas.openxmlformats.org/officeDocument/2006/relationships/hyperlink" Target="https://doi.org/10.1175/1520-0493%281980%29108%3C1046%3ATCOEPT%3E2.0.CO%3B2" TargetMode="External"/><Relationship Id="rId47" Type="http://schemas.openxmlformats.org/officeDocument/2006/relationships/hyperlink" Target="https://doi.org/10.21203/rs.3.rs-9854768/v1" TargetMode="External"/><Relationship Id="rId44" Type="http://schemas.openxmlformats.org/officeDocument/2006/relationships/hyperlink" Target="https://doi.org/10.22541/essoar.175874118.83695562/v1" TargetMode="External"/><Relationship Id="rId43" Type="http://schemas.openxmlformats.org/officeDocument/2006/relationships/hyperlink" Target="https://doi.org/10.5194/bg-9-527-2012" TargetMode="External"/><Relationship Id="rId42" Type="http://schemas.openxmlformats.org/officeDocument/2006/relationships/hyperlink" Target="https://doi.org/10.5194/essd-15-5227-2023" TargetMode="External"/><Relationship Id="rId45" Type="http://schemas.openxmlformats.org/officeDocument/2006/relationships/hyperlink" Target="https://doi.org/10.5194/essd-18-3211-2026" TargetMode="External"/><Relationship Id="rId40" Type="http://schemas.openxmlformats.org/officeDocument/2006/relationships/hyperlink" Target="https://doi.org/10.5194/essd-2026-158" TargetMode="External"/><Relationship Id="rId41" Type="http://schemas.openxmlformats.org/officeDocument/2006/relationships/hyperlink" Target="https://doi.org/10.5281/zenodo.18702700" TargetMode="Externa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46" Type="http://schemas.openxmlformats.org/officeDocument/2006/relationships/hyperlink" Target="https://doi.org/10.1029/2023AV001145" TargetMode="External"/><Relationship Id="rId39" Type="http://schemas.openxmlformats.org/officeDocument/2006/relationships/hyperlink" Target="https://doi.org/10.1038/s41597-025-06127-w" TargetMode="External"/><Relationship Id="rId48" Type="http://schemas.openxmlformats.org/officeDocument/2006/relationships/hyperlink" Target="https://doi.org/10.1175/1520-0477%281996%29077%3C0437%3ATNYRP%3E2.0.CO%3B2" TargetMode="External"/><Relationship Id="rId49" Type="http://schemas.openxmlformats.org/officeDocument/2006/relationships/hyperlink" Target="https://doi.org/10.1175/1520-0493%281980%29108%3C1046%3ATCOEPT%3E2.0.CO%3B2" TargetMode="External"/><Relationship Id="rId47" Type="http://schemas.openxmlformats.org/officeDocument/2006/relationships/hyperlink" Target="https://doi.org/10.21203/rs.3.rs-9854768/v1" TargetMode="External"/><Relationship Id="rId44" Type="http://schemas.openxmlformats.org/officeDocument/2006/relationships/hyperlink" Target="https://doi.org/10.22541/essoar.175874118.83695562/v1" TargetMode="External"/><Relationship Id="rId43" Type="http://schemas.openxmlformats.org/officeDocument/2006/relationships/hyperlink" Target="https://doi.org/10.5194/bg-9-527-2012" TargetMode="External"/><Relationship Id="rId42" Type="http://schemas.openxmlformats.org/officeDocument/2006/relationships/hyperlink" Target="https://doi.org/10.5194/essd-15-5227-2023" TargetMode="External"/><Relationship Id="rId45" Type="http://schemas.openxmlformats.org/officeDocument/2006/relationships/hyperlink" Target="https://doi.org/10.5194/essd-18-3211-2026" TargetMode="External"/><Relationship Id="rId40" Type="http://schemas.openxmlformats.org/officeDocument/2006/relationships/hyperlink" Target="https://doi.org/10.5194/essd-2026-158" TargetMode="External"/><Relationship Id="rId41" Type="http://schemas.openxmlformats.org/officeDocument/2006/relationships/hyperlink" Target="https://doi.org/10.5281/zenodo.187027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2026-09-26T20:18:42Z</dcterms:created>
  <dcterms:modified xsi:type="dcterms:W3CDTF">2026-09-26T20:18:42Z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/mnt/data3/pandeysu/ML_traning/test_claude/Kalam/manuscripts/fire-gcb-nature/drafts/references.bib</vt:lpwstr>
  </property>
  <property fmtid="{D5CDD505-2E9C-101B-9397-08002B2CF9AE}" pid="3" name="csl">
    <vt:lpwstr>/mnt/data3/pandeysu/ML_traning/test_claude/Kalam/manuscripts/fire-gcb-nature/drafts/build/nature.csl</vt:lpwstr>
  </property>
</Properties>
</file>