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9107" w14:textId="5FEA9380" w:rsidR="001274D0" w:rsidRPr="00DB5598" w:rsidRDefault="00DB5598" w:rsidP="00DB5598">
      <w:pPr>
        <w:spacing w:afterLines="120" w:after="288" w:line="360" w:lineRule="auto"/>
        <w:jc w:val="both"/>
        <w:rPr>
          <w:rFonts w:ascii="Times New Roman" w:hAnsi="Times New Roman" w:cs="Times New Roman"/>
          <w:sz w:val="32"/>
          <w:szCs w:val="32"/>
        </w:rPr>
      </w:pPr>
      <w:r w:rsidRPr="00DB5598">
        <w:rPr>
          <w:rFonts w:ascii="Times New Roman" w:hAnsi="Times New Roman" w:cs="Times New Roman"/>
          <w:b/>
          <w:bCs/>
          <w:color w:val="000000" w:themeColor="text1"/>
        </w:rPr>
        <w:t>Human osteoblast-like cells exhibit anabolic attenuation and catabolic phenotypic signals after exposure to polystyrene microplastics</w:t>
      </w:r>
    </w:p>
    <w:p w14:paraId="3953C196" w14:textId="77777777" w:rsidR="002248EE" w:rsidRPr="00FD478A" w:rsidRDefault="002248EE" w:rsidP="002248EE">
      <w:pPr>
        <w:spacing w:line="360" w:lineRule="auto"/>
        <w:contextualSpacing/>
        <w:jc w:val="both"/>
        <w:rPr>
          <w:rFonts w:ascii="Times New Roman" w:hAnsi="Times New Roman" w:cs="Times New Roman"/>
        </w:rPr>
      </w:pPr>
    </w:p>
    <w:p w14:paraId="0D0B3707" w14:textId="37FC42D5" w:rsidR="002248EE" w:rsidRPr="00FD478A" w:rsidRDefault="002248EE" w:rsidP="002248EE">
      <w:pPr>
        <w:spacing w:line="360" w:lineRule="auto"/>
        <w:contextualSpacing/>
        <w:jc w:val="both"/>
        <w:rPr>
          <w:rFonts w:ascii="Times New Roman" w:hAnsi="Times New Roman" w:cs="Times New Roman"/>
        </w:rPr>
      </w:pPr>
      <w:r w:rsidRPr="000E5BB7">
        <w:rPr>
          <w:rFonts w:ascii="Times New Roman" w:hAnsi="Times New Roman" w:cs="Times New Roman"/>
          <w:b/>
          <w:bCs/>
        </w:rPr>
        <w:t xml:space="preserve">Table </w:t>
      </w:r>
      <w:r w:rsidR="0012064E" w:rsidRPr="000E5BB7">
        <w:rPr>
          <w:rFonts w:ascii="Times New Roman" w:hAnsi="Times New Roman" w:cs="Times New Roman"/>
          <w:b/>
          <w:bCs/>
        </w:rPr>
        <w:t>S</w:t>
      </w:r>
      <w:r w:rsidRPr="000E5BB7">
        <w:rPr>
          <w:rFonts w:ascii="Times New Roman" w:hAnsi="Times New Roman" w:cs="Times New Roman"/>
          <w:b/>
          <w:bCs/>
        </w:rPr>
        <w:t xml:space="preserve">1 </w:t>
      </w:r>
      <w:r w:rsidRPr="00FD478A">
        <w:rPr>
          <w:rFonts w:ascii="Times New Roman" w:hAnsi="Times New Roman" w:cs="Times New Roman"/>
        </w:rPr>
        <w:t xml:space="preserve">shows the primary antibodies used: </w:t>
      </w:r>
      <w:proofErr w:type="gramStart"/>
      <w:r w:rsidRPr="00FD478A">
        <w:rPr>
          <w:rFonts w:ascii="Times New Roman" w:hAnsi="Times New Roman" w:cs="Times New Roman"/>
        </w:rPr>
        <w:t>anti-β-catenin</w:t>
      </w:r>
      <w:proofErr w:type="gramEnd"/>
      <w:r w:rsidRPr="00FD478A">
        <w:rPr>
          <w:rFonts w:ascii="Times New Roman" w:hAnsi="Times New Roman" w:cs="Times New Roman"/>
        </w:rPr>
        <w:t xml:space="preserve"> (9582S), anti-</w:t>
      </w:r>
      <w:proofErr w:type="gramStart"/>
      <w:r w:rsidRPr="00FD478A">
        <w:rPr>
          <w:rFonts w:ascii="Times New Roman" w:hAnsi="Times New Roman" w:cs="Times New Roman"/>
        </w:rPr>
        <w:t>p-β-catenin</w:t>
      </w:r>
      <w:proofErr w:type="gramEnd"/>
      <w:r w:rsidRPr="00FD478A">
        <w:rPr>
          <w:rFonts w:ascii="Times New Roman" w:hAnsi="Times New Roman" w:cs="Times New Roman"/>
        </w:rPr>
        <w:t xml:space="preserve"> (9561S), anti-NF-κB (4764S), anti-p-SMAD4 (46535S), anti-p-SMAD3 (9523S), anti-SMAD3 (9561), and anti-p-SMAD1/5/9 (13820S). Anti-GAPDH (glyceraldehyde-3-phosphate dehydrogenase, 5174) was used as an intra-experimental control (housekeeping) for data normalization. All antibodies are from Cell Signaling Technology (CST - Massachusetts, USA) and were diluted in 0.1% TBST. In sequence, secondary incubation was performed with horseradish peroxidase (HRP)-conjugated anti-rabbit Cell Signaling 5174 diluted 1:10,000 in 5% BSA, for 1 h at room temperature.</w:t>
      </w:r>
    </w:p>
    <w:p w14:paraId="024AC3CA" w14:textId="77777777" w:rsidR="002248EE" w:rsidRPr="00FD478A" w:rsidRDefault="002248EE" w:rsidP="002248EE">
      <w:pPr>
        <w:spacing w:line="360" w:lineRule="auto"/>
        <w:ind w:firstLine="708"/>
        <w:contextualSpacing/>
        <w:jc w:val="both"/>
        <w:rPr>
          <w:rFonts w:ascii="Times New Roman" w:hAnsi="Times New Roman" w:cs="Times New Roman"/>
        </w:rPr>
      </w:pPr>
    </w:p>
    <w:p w14:paraId="0945D15C" w14:textId="639CB4BA" w:rsidR="002248EE" w:rsidRPr="00FD478A" w:rsidRDefault="002248EE" w:rsidP="002248EE">
      <w:pPr>
        <w:spacing w:line="360" w:lineRule="auto"/>
        <w:contextualSpacing/>
        <w:jc w:val="both"/>
        <w:rPr>
          <w:rFonts w:ascii="Times New Roman" w:hAnsi="Times New Roman" w:cs="Times New Roman"/>
        </w:rPr>
      </w:pPr>
      <w:r w:rsidRPr="00FD478A">
        <w:rPr>
          <w:rFonts w:ascii="Times New Roman" w:hAnsi="Times New Roman" w:cs="Times New Roman"/>
        </w:rPr>
        <w:t xml:space="preserve">Table </w:t>
      </w:r>
      <w:r w:rsidR="0012064E">
        <w:rPr>
          <w:rFonts w:ascii="Times New Roman" w:hAnsi="Times New Roman" w:cs="Times New Roman"/>
        </w:rPr>
        <w:t>S</w:t>
      </w:r>
      <w:r w:rsidRPr="00FD478A">
        <w:rPr>
          <w:rFonts w:ascii="Times New Roman" w:hAnsi="Times New Roman" w:cs="Times New Roman"/>
        </w:rPr>
        <w:t>1. Proteins tested using the Western blot technique.</w:t>
      </w:r>
    </w:p>
    <w:tbl>
      <w:tblPr>
        <w:tblW w:w="9360" w:type="dxa"/>
        <w:tblLook w:val="04A0" w:firstRow="1" w:lastRow="0" w:firstColumn="1" w:lastColumn="0" w:noHBand="0" w:noVBand="1"/>
      </w:tblPr>
      <w:tblGrid>
        <w:gridCol w:w="1708"/>
        <w:gridCol w:w="1708"/>
        <w:gridCol w:w="1829"/>
        <w:gridCol w:w="1587"/>
        <w:gridCol w:w="2528"/>
      </w:tblGrid>
      <w:tr w:rsidR="002248EE" w:rsidRPr="00FD478A" w14:paraId="584964D8" w14:textId="77777777" w:rsidTr="00C92CFF">
        <w:trPr>
          <w:trHeight w:val="451"/>
        </w:trPr>
        <w:tc>
          <w:tcPr>
            <w:tcW w:w="1708" w:type="dxa"/>
            <w:tcBorders>
              <w:top w:val="single" w:sz="4" w:space="0" w:color="auto"/>
              <w:bottom w:val="single" w:sz="4" w:space="0" w:color="auto"/>
            </w:tcBorders>
            <w:vAlign w:val="center"/>
          </w:tcPr>
          <w:p w14:paraId="567D7A02"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bookmarkStart w:id="0" w:name="_Hlk189204592"/>
            <w:r w:rsidRPr="00FD478A">
              <w:rPr>
                <w:rFonts w:ascii="Times New Roman" w:hAnsi="Times New Roman" w:cs="Times New Roman"/>
                <w:sz w:val="20"/>
                <w:szCs w:val="20"/>
              </w:rPr>
              <w:t>Primary Antibody</w:t>
            </w:r>
          </w:p>
        </w:tc>
        <w:tc>
          <w:tcPr>
            <w:tcW w:w="1708" w:type="dxa"/>
            <w:tcBorders>
              <w:top w:val="single" w:sz="4" w:space="0" w:color="auto"/>
              <w:bottom w:val="single" w:sz="4" w:space="0" w:color="auto"/>
            </w:tcBorders>
            <w:vAlign w:val="center"/>
          </w:tcPr>
          <w:p w14:paraId="26BE896B" w14:textId="77777777" w:rsidR="002248EE" w:rsidRPr="00FD478A" w:rsidRDefault="002248EE" w:rsidP="00C92CFF">
            <w:pPr>
              <w:tabs>
                <w:tab w:val="left" w:pos="-57"/>
              </w:tabs>
              <w:spacing w:after="0" w:line="240" w:lineRule="auto"/>
              <w:ind w:hanging="57"/>
              <w:contextualSpacing/>
              <w:jc w:val="center"/>
              <w:rPr>
                <w:rFonts w:ascii="Times New Roman" w:hAnsi="Times New Roman" w:cs="Times New Roman"/>
                <w:sz w:val="20"/>
                <w:szCs w:val="20"/>
              </w:rPr>
            </w:pPr>
            <w:r w:rsidRPr="00FD478A">
              <w:rPr>
                <w:rFonts w:ascii="Times New Roman" w:hAnsi="Times New Roman" w:cs="Times New Roman"/>
                <w:sz w:val="20"/>
                <w:szCs w:val="20"/>
              </w:rPr>
              <w:t>Reactivity</w:t>
            </w:r>
          </w:p>
        </w:tc>
        <w:tc>
          <w:tcPr>
            <w:tcW w:w="1829" w:type="dxa"/>
            <w:tcBorders>
              <w:top w:val="single" w:sz="4" w:space="0" w:color="auto"/>
              <w:bottom w:val="single" w:sz="4" w:space="0" w:color="auto"/>
            </w:tcBorders>
            <w:vAlign w:val="center"/>
          </w:tcPr>
          <w:p w14:paraId="76AA8B3C"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Molecular weight (</w:t>
            </w:r>
            <w:proofErr w:type="spellStart"/>
            <w:r w:rsidRPr="00FD478A">
              <w:rPr>
                <w:rFonts w:ascii="Times New Roman" w:hAnsi="Times New Roman" w:cs="Times New Roman"/>
                <w:sz w:val="20"/>
                <w:szCs w:val="20"/>
              </w:rPr>
              <w:t>kDA</w:t>
            </w:r>
            <w:proofErr w:type="spellEnd"/>
            <w:r w:rsidRPr="00FD478A">
              <w:rPr>
                <w:rFonts w:ascii="Times New Roman" w:hAnsi="Times New Roman" w:cs="Times New Roman"/>
                <w:sz w:val="20"/>
                <w:szCs w:val="20"/>
              </w:rPr>
              <w:t>)</w:t>
            </w:r>
          </w:p>
        </w:tc>
        <w:tc>
          <w:tcPr>
            <w:tcW w:w="1587" w:type="dxa"/>
            <w:tcBorders>
              <w:top w:val="single" w:sz="4" w:space="0" w:color="auto"/>
              <w:bottom w:val="single" w:sz="4" w:space="0" w:color="auto"/>
            </w:tcBorders>
            <w:vAlign w:val="center"/>
          </w:tcPr>
          <w:p w14:paraId="07AC73F0"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Dilution</w:t>
            </w:r>
          </w:p>
        </w:tc>
        <w:tc>
          <w:tcPr>
            <w:tcW w:w="2528" w:type="dxa"/>
            <w:tcBorders>
              <w:top w:val="single" w:sz="4" w:space="0" w:color="auto"/>
              <w:bottom w:val="single" w:sz="4" w:space="0" w:color="auto"/>
            </w:tcBorders>
            <w:vAlign w:val="center"/>
          </w:tcPr>
          <w:p w14:paraId="7DE86A77"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Secondary antibody</w:t>
            </w:r>
          </w:p>
        </w:tc>
      </w:tr>
      <w:tr w:rsidR="002248EE" w:rsidRPr="00FD478A" w14:paraId="6300A39F" w14:textId="77777777" w:rsidTr="00C92CFF">
        <w:trPr>
          <w:trHeight w:val="350"/>
        </w:trPr>
        <w:tc>
          <w:tcPr>
            <w:tcW w:w="1708" w:type="dxa"/>
            <w:tcBorders>
              <w:top w:val="single" w:sz="4" w:space="0" w:color="auto"/>
            </w:tcBorders>
            <w:vAlign w:val="center"/>
          </w:tcPr>
          <w:p w14:paraId="12AE9800"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β-catenin</w:t>
            </w:r>
          </w:p>
        </w:tc>
        <w:tc>
          <w:tcPr>
            <w:tcW w:w="1708" w:type="dxa"/>
            <w:tcBorders>
              <w:top w:val="single" w:sz="4" w:space="0" w:color="auto"/>
            </w:tcBorders>
            <w:vAlign w:val="center"/>
          </w:tcPr>
          <w:p w14:paraId="4F09F032" w14:textId="77777777" w:rsidR="002248EE" w:rsidRPr="00FD478A" w:rsidRDefault="002248EE" w:rsidP="00C92CFF">
            <w:pPr>
              <w:tabs>
                <w:tab w:val="left" w:pos="0"/>
              </w:tabs>
              <w:spacing w:after="0" w:line="240" w:lineRule="auto"/>
              <w:ind w:firstLine="27"/>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tcBorders>
              <w:top w:val="single" w:sz="4" w:space="0" w:color="auto"/>
            </w:tcBorders>
            <w:vAlign w:val="center"/>
          </w:tcPr>
          <w:p w14:paraId="4B5090D8"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92</w:t>
            </w:r>
          </w:p>
        </w:tc>
        <w:tc>
          <w:tcPr>
            <w:tcW w:w="1587" w:type="dxa"/>
            <w:tcBorders>
              <w:top w:val="single" w:sz="4" w:space="0" w:color="auto"/>
            </w:tcBorders>
            <w:vAlign w:val="center"/>
          </w:tcPr>
          <w:p w14:paraId="6CD190C6"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tcBorders>
              <w:top w:val="single" w:sz="4" w:space="0" w:color="auto"/>
            </w:tcBorders>
            <w:vAlign w:val="center"/>
          </w:tcPr>
          <w:p w14:paraId="3EABE1C2" w14:textId="77777777" w:rsidR="002248EE" w:rsidRPr="00FD478A" w:rsidRDefault="002248EE" w:rsidP="00C92CFF">
            <w:pPr>
              <w:tabs>
                <w:tab w:val="left" w:pos="0"/>
              </w:tabs>
              <w:spacing w:after="0" w:line="240" w:lineRule="auto"/>
              <w:contextualSpacing/>
              <w:jc w:val="center"/>
              <w:rPr>
                <w:rFonts w:ascii="Times New Roman" w:eastAsia="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5961556A" w14:textId="77777777" w:rsidTr="00C92CFF">
        <w:trPr>
          <w:trHeight w:val="350"/>
        </w:trPr>
        <w:tc>
          <w:tcPr>
            <w:tcW w:w="1708" w:type="dxa"/>
            <w:vAlign w:val="center"/>
          </w:tcPr>
          <w:p w14:paraId="2A91E3EE"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p-β-catenin</w:t>
            </w:r>
          </w:p>
        </w:tc>
        <w:tc>
          <w:tcPr>
            <w:tcW w:w="1708" w:type="dxa"/>
            <w:vAlign w:val="center"/>
          </w:tcPr>
          <w:p w14:paraId="39E1DAC8"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289302C6"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92</w:t>
            </w:r>
          </w:p>
        </w:tc>
        <w:tc>
          <w:tcPr>
            <w:tcW w:w="1587" w:type="dxa"/>
            <w:vAlign w:val="center"/>
          </w:tcPr>
          <w:p w14:paraId="2ADE30C9"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2902541B" w14:textId="77777777" w:rsidR="002248EE" w:rsidRPr="00FD478A" w:rsidRDefault="002248EE" w:rsidP="00C92CFF">
            <w:pPr>
              <w:tabs>
                <w:tab w:val="left" w:pos="0"/>
              </w:tabs>
              <w:spacing w:after="0" w:line="240" w:lineRule="auto"/>
              <w:contextualSpacing/>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67888FC0" w14:textId="77777777" w:rsidTr="00C92CFF">
        <w:trPr>
          <w:trHeight w:val="350"/>
        </w:trPr>
        <w:tc>
          <w:tcPr>
            <w:tcW w:w="1708" w:type="dxa"/>
            <w:vAlign w:val="center"/>
          </w:tcPr>
          <w:p w14:paraId="0616B9E6"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p-SMAD4</w:t>
            </w:r>
          </w:p>
        </w:tc>
        <w:tc>
          <w:tcPr>
            <w:tcW w:w="1708" w:type="dxa"/>
            <w:vAlign w:val="center"/>
          </w:tcPr>
          <w:p w14:paraId="30E65FBB"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10F36519"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70</w:t>
            </w:r>
          </w:p>
        </w:tc>
        <w:tc>
          <w:tcPr>
            <w:tcW w:w="1587" w:type="dxa"/>
            <w:vAlign w:val="center"/>
          </w:tcPr>
          <w:p w14:paraId="647A3397"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3F1A1AF2" w14:textId="77777777" w:rsidR="002248EE" w:rsidRPr="00FD478A" w:rsidRDefault="002248EE" w:rsidP="00C92CFF">
            <w:pPr>
              <w:tabs>
                <w:tab w:val="left" w:pos="0"/>
              </w:tabs>
              <w:spacing w:after="0" w:line="240" w:lineRule="auto"/>
              <w:contextualSpacing/>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29CD9C30" w14:textId="77777777" w:rsidTr="00C92CFF">
        <w:trPr>
          <w:trHeight w:val="350"/>
        </w:trPr>
        <w:tc>
          <w:tcPr>
            <w:tcW w:w="1708" w:type="dxa"/>
            <w:vAlign w:val="center"/>
          </w:tcPr>
          <w:p w14:paraId="7CFFB0C8"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p-SMAD1/5/9</w:t>
            </w:r>
          </w:p>
        </w:tc>
        <w:tc>
          <w:tcPr>
            <w:tcW w:w="1708" w:type="dxa"/>
            <w:vAlign w:val="center"/>
          </w:tcPr>
          <w:p w14:paraId="782DE868"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1439D273"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60</w:t>
            </w:r>
          </w:p>
        </w:tc>
        <w:tc>
          <w:tcPr>
            <w:tcW w:w="1587" w:type="dxa"/>
            <w:vAlign w:val="center"/>
          </w:tcPr>
          <w:p w14:paraId="094B3237"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24D21072" w14:textId="77777777" w:rsidR="002248EE" w:rsidRPr="00FD478A" w:rsidRDefault="002248EE" w:rsidP="00C92CFF">
            <w:pPr>
              <w:tabs>
                <w:tab w:val="left" w:pos="0"/>
              </w:tabs>
              <w:spacing w:after="0" w:line="240" w:lineRule="auto"/>
              <w:contextualSpacing/>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13253D4F" w14:textId="77777777" w:rsidTr="00C92CFF">
        <w:trPr>
          <w:trHeight w:val="350"/>
        </w:trPr>
        <w:tc>
          <w:tcPr>
            <w:tcW w:w="1708" w:type="dxa"/>
            <w:vAlign w:val="center"/>
          </w:tcPr>
          <w:p w14:paraId="4FEDAECF"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SMAD3</w:t>
            </w:r>
          </w:p>
        </w:tc>
        <w:tc>
          <w:tcPr>
            <w:tcW w:w="1708" w:type="dxa"/>
            <w:vAlign w:val="center"/>
          </w:tcPr>
          <w:p w14:paraId="6C581F14"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0BAD20FA"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52</w:t>
            </w:r>
          </w:p>
        </w:tc>
        <w:tc>
          <w:tcPr>
            <w:tcW w:w="1587" w:type="dxa"/>
            <w:vAlign w:val="center"/>
          </w:tcPr>
          <w:p w14:paraId="0BD6E114"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4D856FF7" w14:textId="77777777" w:rsidR="002248EE" w:rsidRPr="00FD478A" w:rsidRDefault="002248EE" w:rsidP="00C92CFF">
            <w:pPr>
              <w:tabs>
                <w:tab w:val="left" w:pos="0"/>
              </w:tabs>
              <w:spacing w:after="0" w:line="240" w:lineRule="auto"/>
              <w:contextualSpacing/>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118D00C4" w14:textId="77777777" w:rsidTr="00C92CFF">
        <w:trPr>
          <w:trHeight w:val="350"/>
        </w:trPr>
        <w:tc>
          <w:tcPr>
            <w:tcW w:w="1708" w:type="dxa"/>
            <w:vAlign w:val="center"/>
          </w:tcPr>
          <w:p w14:paraId="16ADCCBA"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p-SMAD3</w:t>
            </w:r>
          </w:p>
        </w:tc>
        <w:tc>
          <w:tcPr>
            <w:tcW w:w="1708" w:type="dxa"/>
            <w:vAlign w:val="center"/>
          </w:tcPr>
          <w:p w14:paraId="2493CAEC"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54DC80EC"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52</w:t>
            </w:r>
          </w:p>
        </w:tc>
        <w:tc>
          <w:tcPr>
            <w:tcW w:w="1587" w:type="dxa"/>
            <w:vAlign w:val="center"/>
          </w:tcPr>
          <w:p w14:paraId="2A4AB8A0"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0F999244" w14:textId="77777777" w:rsidR="002248EE" w:rsidRPr="00FD478A" w:rsidRDefault="002248EE" w:rsidP="00C92CFF">
            <w:pPr>
              <w:tabs>
                <w:tab w:val="left" w:pos="0"/>
              </w:tabs>
              <w:spacing w:after="0" w:line="240" w:lineRule="auto"/>
              <w:contextualSpacing/>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061EB0EB" w14:textId="77777777" w:rsidTr="00C92CFF">
        <w:trPr>
          <w:trHeight w:val="350"/>
        </w:trPr>
        <w:tc>
          <w:tcPr>
            <w:tcW w:w="1708" w:type="dxa"/>
            <w:vAlign w:val="center"/>
          </w:tcPr>
          <w:p w14:paraId="69630C4F"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NF-</w:t>
            </w:r>
            <w:proofErr w:type="spellStart"/>
            <w:r w:rsidRPr="00FD478A">
              <w:rPr>
                <w:rFonts w:ascii="Times New Roman" w:hAnsi="Times New Roman" w:cs="Times New Roman"/>
                <w:sz w:val="20"/>
                <w:szCs w:val="20"/>
              </w:rPr>
              <w:t>KappaB</w:t>
            </w:r>
            <w:proofErr w:type="spellEnd"/>
          </w:p>
        </w:tc>
        <w:tc>
          <w:tcPr>
            <w:tcW w:w="1708" w:type="dxa"/>
            <w:vAlign w:val="center"/>
          </w:tcPr>
          <w:p w14:paraId="17DC19E1"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vAlign w:val="center"/>
          </w:tcPr>
          <w:p w14:paraId="71D984C8"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65</w:t>
            </w:r>
          </w:p>
        </w:tc>
        <w:tc>
          <w:tcPr>
            <w:tcW w:w="1587" w:type="dxa"/>
            <w:vAlign w:val="center"/>
          </w:tcPr>
          <w:p w14:paraId="40C7E7C4"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vAlign w:val="center"/>
          </w:tcPr>
          <w:p w14:paraId="50130E76" w14:textId="77777777" w:rsidR="002248EE" w:rsidRPr="00FD478A" w:rsidRDefault="002248EE" w:rsidP="00C92CFF">
            <w:pPr>
              <w:tabs>
                <w:tab w:val="left" w:pos="0"/>
              </w:tabs>
              <w:spacing w:after="0" w:line="240" w:lineRule="auto"/>
              <w:jc w:val="center"/>
              <w:rPr>
                <w:rFonts w:ascii="Times New Roman" w:eastAsia="Times New Roman" w:hAnsi="Times New Roman" w:cs="Times New Roman"/>
                <w:i/>
                <w:iCs/>
                <w:sz w:val="20"/>
                <w:szCs w:val="20"/>
              </w:rPr>
            </w:pPr>
            <w:r w:rsidRPr="00FD478A">
              <w:rPr>
                <w:rFonts w:ascii="Times New Roman" w:hAnsi="Times New Roman" w:cs="Times New Roman"/>
                <w:i/>
                <w:iCs/>
                <w:sz w:val="20"/>
                <w:szCs w:val="20"/>
              </w:rPr>
              <w:t>Anti-rabbit</w:t>
            </w:r>
          </w:p>
        </w:tc>
      </w:tr>
      <w:tr w:rsidR="002248EE" w:rsidRPr="00FD478A" w14:paraId="2A7EFD75" w14:textId="77777777" w:rsidTr="00C92CFF">
        <w:trPr>
          <w:trHeight w:val="350"/>
        </w:trPr>
        <w:tc>
          <w:tcPr>
            <w:tcW w:w="1708" w:type="dxa"/>
            <w:tcBorders>
              <w:bottom w:val="single" w:sz="4" w:space="0" w:color="auto"/>
            </w:tcBorders>
            <w:vAlign w:val="center"/>
          </w:tcPr>
          <w:p w14:paraId="6275D7FF" w14:textId="77777777" w:rsidR="002248EE" w:rsidRPr="00FD478A" w:rsidRDefault="002248EE" w:rsidP="00C92CFF">
            <w:pPr>
              <w:tabs>
                <w:tab w:val="left" w:pos="0"/>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GAPDH</w:t>
            </w:r>
          </w:p>
        </w:tc>
        <w:tc>
          <w:tcPr>
            <w:tcW w:w="1708" w:type="dxa"/>
            <w:tcBorders>
              <w:bottom w:val="single" w:sz="4" w:space="0" w:color="auto"/>
            </w:tcBorders>
            <w:vAlign w:val="center"/>
          </w:tcPr>
          <w:p w14:paraId="5DEC4D6B" w14:textId="77777777" w:rsidR="002248EE" w:rsidRPr="00FD478A" w:rsidRDefault="002248EE" w:rsidP="00C92CFF">
            <w:pPr>
              <w:tabs>
                <w:tab w:val="left" w:pos="0"/>
                <w:tab w:val="left" w:pos="313"/>
              </w:tabs>
              <w:spacing w:after="0" w:line="240" w:lineRule="auto"/>
              <w:contextualSpacing/>
              <w:jc w:val="center"/>
              <w:rPr>
                <w:rFonts w:ascii="Times New Roman" w:hAnsi="Times New Roman" w:cs="Times New Roman"/>
                <w:sz w:val="20"/>
                <w:szCs w:val="20"/>
              </w:rPr>
            </w:pPr>
            <w:r w:rsidRPr="00FD478A">
              <w:rPr>
                <w:rFonts w:ascii="Times New Roman" w:hAnsi="Times New Roman" w:cs="Times New Roman"/>
                <w:sz w:val="20"/>
                <w:szCs w:val="20"/>
              </w:rPr>
              <w:t>Human</w:t>
            </w:r>
          </w:p>
        </w:tc>
        <w:tc>
          <w:tcPr>
            <w:tcW w:w="1829" w:type="dxa"/>
            <w:tcBorders>
              <w:bottom w:val="single" w:sz="4" w:space="0" w:color="auto"/>
            </w:tcBorders>
            <w:vAlign w:val="center"/>
          </w:tcPr>
          <w:p w14:paraId="4D62DE68" w14:textId="77777777" w:rsidR="002248EE" w:rsidRPr="00FD478A" w:rsidRDefault="002248EE" w:rsidP="00C92CFF">
            <w:pPr>
              <w:tabs>
                <w:tab w:val="left" w:pos="0"/>
              </w:tabs>
              <w:spacing w:after="0" w:line="240" w:lineRule="auto"/>
              <w:ind w:left="51" w:firstLine="21"/>
              <w:contextualSpacing/>
              <w:jc w:val="center"/>
              <w:rPr>
                <w:rFonts w:ascii="Times New Roman" w:hAnsi="Times New Roman" w:cs="Times New Roman"/>
                <w:sz w:val="20"/>
                <w:szCs w:val="20"/>
              </w:rPr>
            </w:pPr>
            <w:r w:rsidRPr="00FD478A">
              <w:rPr>
                <w:rFonts w:ascii="Times New Roman" w:hAnsi="Times New Roman" w:cs="Times New Roman"/>
                <w:sz w:val="20"/>
                <w:szCs w:val="20"/>
              </w:rPr>
              <w:t>37</w:t>
            </w:r>
          </w:p>
        </w:tc>
        <w:tc>
          <w:tcPr>
            <w:tcW w:w="1587" w:type="dxa"/>
            <w:tcBorders>
              <w:bottom w:val="single" w:sz="4" w:space="0" w:color="auto"/>
            </w:tcBorders>
            <w:vAlign w:val="center"/>
          </w:tcPr>
          <w:p w14:paraId="64FB2222" w14:textId="77777777" w:rsidR="002248EE" w:rsidRPr="00FD478A" w:rsidRDefault="002248EE" w:rsidP="00C92CFF">
            <w:pPr>
              <w:tabs>
                <w:tab w:val="left" w:pos="0"/>
              </w:tabs>
              <w:spacing w:after="0" w:line="240" w:lineRule="auto"/>
              <w:ind w:left="16" w:hanging="16"/>
              <w:contextualSpacing/>
              <w:jc w:val="center"/>
              <w:rPr>
                <w:rFonts w:ascii="Times New Roman" w:hAnsi="Times New Roman" w:cs="Times New Roman"/>
                <w:sz w:val="20"/>
                <w:szCs w:val="20"/>
              </w:rPr>
            </w:pPr>
            <w:r w:rsidRPr="00FD478A">
              <w:rPr>
                <w:rFonts w:ascii="Times New Roman" w:hAnsi="Times New Roman" w:cs="Times New Roman"/>
                <w:sz w:val="20"/>
                <w:szCs w:val="20"/>
              </w:rPr>
              <w:t>1:1000</w:t>
            </w:r>
          </w:p>
        </w:tc>
        <w:tc>
          <w:tcPr>
            <w:tcW w:w="2528" w:type="dxa"/>
            <w:tcBorders>
              <w:bottom w:val="single" w:sz="4" w:space="0" w:color="auto"/>
            </w:tcBorders>
            <w:vAlign w:val="center"/>
          </w:tcPr>
          <w:p w14:paraId="115950D7" w14:textId="77777777" w:rsidR="002248EE" w:rsidRPr="00FD478A" w:rsidRDefault="002248EE" w:rsidP="00C92CFF">
            <w:pPr>
              <w:tabs>
                <w:tab w:val="left" w:pos="0"/>
              </w:tabs>
              <w:spacing w:after="0" w:line="240" w:lineRule="auto"/>
              <w:jc w:val="center"/>
              <w:rPr>
                <w:rFonts w:ascii="Times New Roman" w:hAnsi="Times New Roman" w:cs="Times New Roman"/>
                <w:i/>
                <w:iCs/>
                <w:sz w:val="20"/>
                <w:szCs w:val="20"/>
              </w:rPr>
            </w:pPr>
            <w:r w:rsidRPr="00FD478A">
              <w:rPr>
                <w:rFonts w:ascii="Times New Roman" w:hAnsi="Times New Roman" w:cs="Times New Roman"/>
                <w:i/>
                <w:iCs/>
                <w:sz w:val="20"/>
                <w:szCs w:val="20"/>
              </w:rPr>
              <w:t>Anti-rabbit</w:t>
            </w:r>
          </w:p>
        </w:tc>
      </w:tr>
      <w:bookmarkEnd w:id="0"/>
    </w:tbl>
    <w:p w14:paraId="64CE3191" w14:textId="77777777" w:rsidR="002248EE" w:rsidRPr="00FD478A" w:rsidRDefault="002248EE" w:rsidP="002248EE">
      <w:pPr>
        <w:spacing w:line="360" w:lineRule="auto"/>
        <w:contextualSpacing/>
        <w:jc w:val="both"/>
        <w:rPr>
          <w:rFonts w:ascii="Times New Roman" w:hAnsi="Times New Roman" w:cs="Times New Roman"/>
        </w:rPr>
      </w:pPr>
    </w:p>
    <w:p w14:paraId="154271D3" w14:textId="77777777" w:rsidR="00BD71A6" w:rsidRDefault="00BD71A6"/>
    <w:p w14:paraId="2B37C832" w14:textId="77777777" w:rsidR="007A5845" w:rsidRDefault="007A5845"/>
    <w:p w14:paraId="28DE5A72" w14:textId="77777777" w:rsidR="00D54C28" w:rsidRPr="00FD478A" w:rsidRDefault="00D54C28" w:rsidP="00D54C28">
      <w:pPr>
        <w:spacing w:line="360" w:lineRule="auto"/>
        <w:jc w:val="both"/>
        <w:rPr>
          <w:rFonts w:ascii="Times New Roman" w:hAnsi="Times New Roman" w:cs="Times New Roman"/>
        </w:rPr>
      </w:pPr>
    </w:p>
    <w:p w14:paraId="7BCE71F8" w14:textId="77777777" w:rsidR="00D54C28" w:rsidRDefault="00D54C28" w:rsidP="00D54C28">
      <w:pPr>
        <w:spacing w:line="360" w:lineRule="auto"/>
        <w:jc w:val="both"/>
        <w:rPr>
          <w:rFonts w:ascii="Times New Roman" w:hAnsi="Times New Roman" w:cs="Times New Roman"/>
        </w:rPr>
      </w:pPr>
    </w:p>
    <w:p w14:paraId="58625AC6" w14:textId="77777777" w:rsidR="00D54C28" w:rsidRDefault="00D54C28" w:rsidP="00D54C28">
      <w:pPr>
        <w:spacing w:line="360" w:lineRule="auto"/>
        <w:jc w:val="both"/>
        <w:rPr>
          <w:rFonts w:ascii="Times New Roman" w:hAnsi="Times New Roman" w:cs="Times New Roman"/>
        </w:rPr>
      </w:pPr>
    </w:p>
    <w:p w14:paraId="73585777" w14:textId="77777777" w:rsidR="00D54C28" w:rsidRDefault="00D54C28" w:rsidP="00D54C28">
      <w:pPr>
        <w:spacing w:line="360" w:lineRule="auto"/>
        <w:jc w:val="both"/>
        <w:rPr>
          <w:rFonts w:ascii="Times New Roman" w:hAnsi="Times New Roman" w:cs="Times New Roman"/>
        </w:rPr>
      </w:pPr>
    </w:p>
    <w:p w14:paraId="3919146C" w14:textId="77777777" w:rsidR="00D54C28" w:rsidRDefault="00D54C28" w:rsidP="00D54C28">
      <w:pPr>
        <w:spacing w:line="360" w:lineRule="auto"/>
        <w:jc w:val="both"/>
        <w:rPr>
          <w:rFonts w:ascii="Times New Roman" w:hAnsi="Times New Roman" w:cs="Times New Roman"/>
        </w:rPr>
      </w:pPr>
    </w:p>
    <w:p w14:paraId="75408155" w14:textId="12313EEA" w:rsidR="00D54C28" w:rsidRPr="00FD478A" w:rsidRDefault="00D54C28" w:rsidP="00D54C28">
      <w:pPr>
        <w:spacing w:line="360" w:lineRule="auto"/>
        <w:jc w:val="both"/>
        <w:rPr>
          <w:rFonts w:ascii="Times New Roman" w:hAnsi="Times New Roman" w:cs="Times New Roman"/>
        </w:rPr>
      </w:pPr>
      <w:r w:rsidRPr="000E5BB7">
        <w:rPr>
          <w:rFonts w:ascii="Times New Roman" w:hAnsi="Times New Roman" w:cs="Times New Roman"/>
          <w:b/>
          <w:bCs/>
        </w:rPr>
        <w:lastRenderedPageBreak/>
        <w:t>Table 2.</w:t>
      </w:r>
      <w:r w:rsidRPr="00FD478A">
        <w:rPr>
          <w:rFonts w:ascii="Times New Roman" w:hAnsi="Times New Roman" w:cs="Times New Roman"/>
        </w:rPr>
        <w:t xml:space="preserve"> Information on the intra-experiment control primer (</w:t>
      </w:r>
      <w:r w:rsidRPr="00FD478A">
        <w:rPr>
          <w:rFonts w:ascii="Times New Roman" w:hAnsi="Times New Roman" w:cs="Times New Roman"/>
          <w:i/>
          <w:iCs/>
        </w:rPr>
        <w:t>YWHAZ</w:t>
      </w:r>
      <w:r w:rsidRPr="00FD478A">
        <w:rPr>
          <w:rFonts w:ascii="Times New Roman" w:hAnsi="Times New Roman" w:cs="Times New Roman"/>
        </w:rPr>
        <w:t>) and target primers</w:t>
      </w:r>
    </w:p>
    <w:tbl>
      <w:tblPr>
        <w:tblStyle w:val="PlainTable41"/>
        <w:tblW w:w="9586" w:type="dxa"/>
        <w:tblLook w:val="04A0" w:firstRow="1" w:lastRow="0" w:firstColumn="1" w:lastColumn="0" w:noHBand="0" w:noVBand="1"/>
      </w:tblPr>
      <w:tblGrid>
        <w:gridCol w:w="1170"/>
        <w:gridCol w:w="1530"/>
        <w:gridCol w:w="839"/>
        <w:gridCol w:w="3023"/>
        <w:gridCol w:w="3024"/>
      </w:tblGrid>
      <w:tr w:rsidR="00D54C28" w:rsidRPr="00FD478A" w14:paraId="6464D5CB" w14:textId="77777777" w:rsidTr="00C92CFF">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bottom w:val="single" w:sz="4" w:space="0" w:color="auto"/>
            </w:tcBorders>
            <w:vAlign w:val="center"/>
          </w:tcPr>
          <w:p w14:paraId="46AE8361" w14:textId="77777777" w:rsidR="00D54C28" w:rsidRPr="00FD478A" w:rsidRDefault="00D54C28" w:rsidP="00C92CFF">
            <w:pPr>
              <w:tabs>
                <w:tab w:val="left" w:pos="0"/>
              </w:tabs>
              <w:jc w:val="center"/>
              <w:rPr>
                <w:rFonts w:ascii="Times New Roman" w:hAnsi="Times New Roman"/>
                <w:b w:val="0"/>
                <w:bCs w:val="0"/>
                <w:sz w:val="20"/>
                <w:szCs w:val="20"/>
                <w:lang w:val="en-US"/>
              </w:rPr>
            </w:pPr>
            <w:r w:rsidRPr="00FD478A">
              <w:rPr>
                <w:rFonts w:ascii="Times New Roman" w:hAnsi="Times New Roman"/>
                <w:b w:val="0"/>
                <w:bCs w:val="0"/>
                <w:sz w:val="20"/>
                <w:szCs w:val="20"/>
                <w:lang w:val="en-US"/>
              </w:rPr>
              <w:t>Gene</w:t>
            </w:r>
          </w:p>
        </w:tc>
        <w:tc>
          <w:tcPr>
            <w:tcW w:w="1530" w:type="dxa"/>
            <w:tcBorders>
              <w:top w:val="single" w:sz="4" w:space="0" w:color="auto"/>
              <w:bottom w:val="single" w:sz="4" w:space="0" w:color="auto"/>
            </w:tcBorders>
            <w:vAlign w:val="center"/>
          </w:tcPr>
          <w:p w14:paraId="2FF2F07D" w14:textId="77777777" w:rsidR="00D54C28" w:rsidRPr="00FD478A" w:rsidRDefault="00D54C28" w:rsidP="00C92CFF">
            <w:pPr>
              <w:tabs>
                <w:tab w:val="left" w:pos="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US"/>
              </w:rPr>
            </w:pPr>
            <w:proofErr w:type="spellStart"/>
            <w:r w:rsidRPr="00FD478A">
              <w:rPr>
                <w:rFonts w:ascii="Times New Roman" w:hAnsi="Times New Roman"/>
                <w:b w:val="0"/>
                <w:bCs w:val="0"/>
                <w:sz w:val="20"/>
                <w:szCs w:val="20"/>
                <w:lang w:val="en-US"/>
              </w:rPr>
              <w:t>Acession</w:t>
            </w:r>
            <w:proofErr w:type="spellEnd"/>
            <w:r w:rsidRPr="00FD478A">
              <w:rPr>
                <w:rFonts w:ascii="Times New Roman" w:hAnsi="Times New Roman"/>
                <w:b w:val="0"/>
                <w:bCs w:val="0"/>
                <w:sz w:val="20"/>
                <w:szCs w:val="20"/>
                <w:lang w:val="en-US"/>
              </w:rPr>
              <w:t xml:space="preserve"> number</w:t>
            </w:r>
          </w:p>
        </w:tc>
        <w:tc>
          <w:tcPr>
            <w:tcW w:w="839" w:type="dxa"/>
            <w:tcBorders>
              <w:top w:val="single" w:sz="4" w:space="0" w:color="auto"/>
              <w:bottom w:val="single" w:sz="4" w:space="0" w:color="auto"/>
            </w:tcBorders>
            <w:vAlign w:val="center"/>
          </w:tcPr>
          <w:p w14:paraId="1600B37E" w14:textId="77777777" w:rsidR="00D54C28" w:rsidRPr="00FD478A" w:rsidRDefault="00D54C28" w:rsidP="00C92CFF">
            <w:pPr>
              <w:tabs>
                <w:tab w:val="left" w:pos="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US"/>
              </w:rPr>
            </w:pPr>
            <w:r w:rsidRPr="00FD478A">
              <w:rPr>
                <w:rFonts w:ascii="Times New Roman" w:hAnsi="Times New Roman"/>
                <w:b w:val="0"/>
                <w:bCs w:val="0"/>
                <w:sz w:val="20"/>
                <w:szCs w:val="20"/>
                <w:lang w:val="en-US"/>
              </w:rPr>
              <w:t>Product length</w:t>
            </w:r>
          </w:p>
        </w:tc>
        <w:tc>
          <w:tcPr>
            <w:tcW w:w="3023" w:type="dxa"/>
            <w:tcBorders>
              <w:top w:val="single" w:sz="4" w:space="0" w:color="auto"/>
              <w:bottom w:val="single" w:sz="4" w:space="0" w:color="auto"/>
            </w:tcBorders>
            <w:vAlign w:val="center"/>
          </w:tcPr>
          <w:p w14:paraId="33F2B893" w14:textId="77777777" w:rsidR="00D54C28" w:rsidRPr="00FD478A" w:rsidRDefault="00D54C28" w:rsidP="00C92CFF">
            <w:pPr>
              <w:tabs>
                <w:tab w:val="left" w:pos="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US"/>
              </w:rPr>
            </w:pPr>
            <w:r w:rsidRPr="00FD478A">
              <w:rPr>
                <w:rFonts w:ascii="Times New Roman" w:hAnsi="Times New Roman"/>
                <w:b w:val="0"/>
                <w:bCs w:val="0"/>
                <w:sz w:val="20"/>
                <w:szCs w:val="20"/>
                <w:lang w:val="en-US"/>
              </w:rPr>
              <w:t>Foward</w:t>
            </w:r>
          </w:p>
        </w:tc>
        <w:tc>
          <w:tcPr>
            <w:tcW w:w="3024" w:type="dxa"/>
            <w:tcBorders>
              <w:top w:val="single" w:sz="4" w:space="0" w:color="auto"/>
              <w:bottom w:val="single" w:sz="4" w:space="0" w:color="auto"/>
            </w:tcBorders>
            <w:vAlign w:val="center"/>
          </w:tcPr>
          <w:p w14:paraId="019FA40A" w14:textId="77777777" w:rsidR="00D54C28" w:rsidRPr="00FD478A" w:rsidRDefault="00D54C28" w:rsidP="00C92CFF">
            <w:pPr>
              <w:tabs>
                <w:tab w:val="left" w:pos="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US"/>
              </w:rPr>
            </w:pPr>
            <w:r w:rsidRPr="00FD478A">
              <w:rPr>
                <w:rFonts w:ascii="Times New Roman" w:hAnsi="Times New Roman"/>
                <w:b w:val="0"/>
                <w:bCs w:val="0"/>
                <w:sz w:val="20"/>
                <w:szCs w:val="20"/>
                <w:lang w:val="en-US"/>
              </w:rPr>
              <w:t>Reverse</w:t>
            </w:r>
          </w:p>
        </w:tc>
      </w:tr>
      <w:tr w:rsidR="00D54C28" w:rsidRPr="00FD478A" w14:paraId="4F010FB6" w14:textId="77777777" w:rsidTr="00C92C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tcBorders>
            <w:shd w:val="clear" w:color="auto" w:fill="auto"/>
          </w:tcPr>
          <w:p w14:paraId="0B6AB580"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 xml:space="preserve">YWHAZ </w:t>
            </w:r>
            <w:r w:rsidRPr="00FD478A">
              <w:rPr>
                <w:rFonts w:ascii="Times New Roman" w:hAnsi="Times New Roman"/>
                <w:i/>
                <w:iCs/>
                <w:sz w:val="16"/>
                <w:szCs w:val="16"/>
              </w:rPr>
              <w:fldChar w:fldCharType="begin" w:fldLock="1"/>
            </w:r>
            <w:r w:rsidRPr="00FD478A">
              <w:rPr>
                <w:rFonts w:ascii="Times New Roman" w:hAnsi="Times New Roman"/>
                <w:b w:val="0"/>
                <w:bCs w:val="0"/>
                <w:i/>
                <w:iCs/>
                <w:sz w:val="16"/>
                <w:szCs w:val="16"/>
                <w:lang w:val="en-US"/>
              </w:rPr>
              <w:instrText>ADDIN CSL_CITATION {"citationItems":[{"id":"ITEM-1","itemData":{"DOI":"10.1038/s41598-023-40835-w","ISSN":"2045-2322","abstract":"Ascorbic acid (Asc), dexamethasone (Dex) and β-glycerophosphate (β-Gly) are commonly used to promote osteogenic behaviour by osteoblasts in vitro. According to the literature, several osteosarcoma cells lines appear to respond differently to the latter with regards to proliferation kinetics and osteogenic gene transcription. Unsurprisingly, these differences lead to contrasting data between publications that necessitate preliminary studies to confirm the phenotype of the chosen osteosarcoma cell line in the presence of Asc, Dex and β-Gly. The present study exposed Saos-2 cells to different combinations of Asc, Dex and β-Gly for 14 days and compared the response with immortalised human mesenchymal stromal/stem cells (MSCs). Cell numbers, cytotoxicity, mineralised matrix deposition and cell proliferation were analysed to assess osteoblast-like behaviour in the presence of Asc, Dex and β-Gly. Additionally, gene expression of runt-related transcription factor 2 ( RUNX2 ); osteocalcin ( OCN ); alkaline phosphatase ( ALP ); phosphate regulating endopeptidase homolog X-linked ( PHEX ); marker of proliferation MKI67 and proliferating cell nuclear antigen ( PCNA ) was performed every two days during the 14-day cultures. It was found that proliferation of Saos-2 cells was significantly decreased by the presence of β-Gly which contrasted with hMSCs where no change was observed. Furthermore, unlike hMSCs, Saos-2 cells demonstrated an upregulated expression of late osteoblastic markers, OCN and PHEX that suggested β-Gly could affect later stages of osteogenic differentiation. In summary, it is important to consider that β-Gly significantly affects key cell processes of Saos-2 when using it as an osteoblast-like cell model.","author":[{"dropping-particle":"","family":"Yevlashevskaya","given":"Olga S.","non-dropping-particle":"","parse-names":false,"suffix":""},{"dropping-particle":"","family":"Scheven","given":"Ben A.","non-dropping-particle":"","parse-names":false,"suffix":""},{"dropping-particle":"","family":"Walmsley","given":"A. Damien","non-dropping-particle":"","parse-names":false,"suffix":""},{"dropping-particle":"","family":"Shelton","given":"Richard M.","non-dropping-particle":"","parse-names":false,"suffix":""}],"container-title":"Scientific Reports","id":"ITEM-1","issue":"1","issued":{"date-parts":[["2023","9","2"]]},"page":"14472","title":"Differing responses of osteogenic cell lines to β-glycerophosphate","type":"article-journal","volume":"13"},"uris":["http://www.mendeley.com/documents/?uuid=2c3e3d5d-cf15-424a-986d-6b431ba54e6e"]}],"mendeley":{"formattedCitation":"(16)","plainTextFormattedCitation":"(16)","previouslyFormattedCitation":"(16)"},"properties":{"noteIndex":0},"schema":"https://github.com/citation-style-language/schema/raw/master/csl-citation.json"}</w:instrText>
            </w:r>
            <w:r w:rsidRPr="00FD478A">
              <w:rPr>
                <w:rFonts w:ascii="Times New Roman" w:hAnsi="Times New Roman"/>
                <w:i/>
                <w:iCs/>
                <w:sz w:val="16"/>
                <w:szCs w:val="16"/>
              </w:rPr>
              <w:fldChar w:fldCharType="separate"/>
            </w:r>
            <w:r w:rsidRPr="00FD478A">
              <w:rPr>
                <w:rFonts w:ascii="Times New Roman" w:hAnsi="Times New Roman"/>
                <w:b w:val="0"/>
                <w:bCs w:val="0"/>
                <w:sz w:val="16"/>
                <w:szCs w:val="16"/>
                <w:lang w:val="en-US"/>
              </w:rPr>
              <w:t>(16)</w:t>
            </w:r>
            <w:r w:rsidRPr="00FD478A">
              <w:rPr>
                <w:rFonts w:ascii="Times New Roman" w:hAnsi="Times New Roman"/>
                <w:i/>
                <w:iCs/>
                <w:sz w:val="16"/>
                <w:szCs w:val="16"/>
              </w:rPr>
              <w:fldChar w:fldCharType="end"/>
            </w:r>
          </w:p>
        </w:tc>
        <w:tc>
          <w:tcPr>
            <w:tcW w:w="1530" w:type="dxa"/>
            <w:tcBorders>
              <w:top w:val="single" w:sz="4" w:space="0" w:color="auto"/>
            </w:tcBorders>
            <w:shd w:val="clear" w:color="auto" w:fill="auto"/>
          </w:tcPr>
          <w:p w14:paraId="17C1ABE5"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NM_145690.3</w:t>
            </w:r>
          </w:p>
        </w:tc>
        <w:tc>
          <w:tcPr>
            <w:tcW w:w="839" w:type="dxa"/>
            <w:tcBorders>
              <w:top w:val="single" w:sz="4" w:space="0" w:color="auto"/>
            </w:tcBorders>
            <w:shd w:val="clear" w:color="auto" w:fill="auto"/>
          </w:tcPr>
          <w:p w14:paraId="7BEC3319"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245</w:t>
            </w:r>
          </w:p>
        </w:tc>
        <w:tc>
          <w:tcPr>
            <w:tcW w:w="3023" w:type="dxa"/>
            <w:tcBorders>
              <w:top w:val="single" w:sz="4" w:space="0" w:color="auto"/>
            </w:tcBorders>
            <w:shd w:val="clear" w:color="auto" w:fill="auto"/>
          </w:tcPr>
          <w:p w14:paraId="2F714E27"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ACTTTTGGTACATTGCTTCAA</w:t>
            </w:r>
          </w:p>
        </w:tc>
        <w:tc>
          <w:tcPr>
            <w:tcW w:w="3024" w:type="dxa"/>
            <w:tcBorders>
              <w:top w:val="single" w:sz="4" w:space="0" w:color="auto"/>
            </w:tcBorders>
            <w:shd w:val="clear" w:color="auto" w:fill="auto"/>
          </w:tcPr>
          <w:p w14:paraId="28D0029D"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CCGCCAGGACAAACCAGTAT</w:t>
            </w:r>
          </w:p>
        </w:tc>
      </w:tr>
      <w:tr w:rsidR="00D54C28" w:rsidRPr="00FD478A" w14:paraId="0A5A1AE0" w14:textId="77777777" w:rsidTr="00C92CFF">
        <w:tc>
          <w:tcPr>
            <w:cnfStyle w:val="001000000000" w:firstRow="0" w:lastRow="0" w:firstColumn="1" w:lastColumn="0" w:oddVBand="0" w:evenVBand="0" w:oddHBand="0" w:evenHBand="0" w:firstRowFirstColumn="0" w:firstRowLastColumn="0" w:lastRowFirstColumn="0" w:lastRowLastColumn="0"/>
            <w:tcW w:w="1170" w:type="dxa"/>
          </w:tcPr>
          <w:p w14:paraId="76C48850"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ALPL</w:t>
            </w:r>
          </w:p>
        </w:tc>
        <w:tc>
          <w:tcPr>
            <w:tcW w:w="1530" w:type="dxa"/>
          </w:tcPr>
          <w:p w14:paraId="6CAE650A"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 xml:space="preserve">NM_000478.4 </w:t>
            </w:r>
          </w:p>
        </w:tc>
        <w:tc>
          <w:tcPr>
            <w:tcW w:w="839" w:type="dxa"/>
          </w:tcPr>
          <w:p w14:paraId="796713C3"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137</w:t>
            </w:r>
          </w:p>
        </w:tc>
        <w:tc>
          <w:tcPr>
            <w:tcW w:w="3023" w:type="dxa"/>
          </w:tcPr>
          <w:p w14:paraId="026E05AC"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GACCTCCTCGGAAGACACTC</w:t>
            </w:r>
          </w:p>
        </w:tc>
        <w:tc>
          <w:tcPr>
            <w:tcW w:w="3024" w:type="dxa"/>
          </w:tcPr>
          <w:p w14:paraId="51DC4544"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TGAAGGGCTTCTTGTCTGTG</w:t>
            </w:r>
          </w:p>
        </w:tc>
      </w:tr>
      <w:tr w:rsidR="00D54C28" w:rsidRPr="00FD478A" w14:paraId="771F23B4" w14:textId="77777777" w:rsidTr="00C92C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3DC5AD56"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 xml:space="preserve">BGLAP </w:t>
            </w:r>
          </w:p>
        </w:tc>
        <w:tc>
          <w:tcPr>
            <w:tcW w:w="1530" w:type="dxa"/>
            <w:shd w:val="clear" w:color="auto" w:fill="auto"/>
          </w:tcPr>
          <w:p w14:paraId="63978B4A"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NM_199173.6</w:t>
            </w:r>
          </w:p>
        </w:tc>
        <w:tc>
          <w:tcPr>
            <w:tcW w:w="839" w:type="dxa"/>
            <w:shd w:val="clear" w:color="auto" w:fill="auto"/>
          </w:tcPr>
          <w:p w14:paraId="47C787EC"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114</w:t>
            </w:r>
          </w:p>
        </w:tc>
        <w:tc>
          <w:tcPr>
            <w:tcW w:w="3023" w:type="dxa"/>
            <w:shd w:val="clear" w:color="auto" w:fill="auto"/>
          </w:tcPr>
          <w:p w14:paraId="4CB6541B"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TCACACTCCTCGCCCTATT</w:t>
            </w:r>
          </w:p>
        </w:tc>
        <w:tc>
          <w:tcPr>
            <w:tcW w:w="3024" w:type="dxa"/>
            <w:shd w:val="clear" w:color="auto" w:fill="auto"/>
          </w:tcPr>
          <w:p w14:paraId="09C574D1"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CCTCCTGCTTGGACACAAA</w:t>
            </w:r>
          </w:p>
        </w:tc>
      </w:tr>
      <w:tr w:rsidR="00D54C28" w:rsidRPr="00FD478A" w14:paraId="585A3453" w14:textId="77777777" w:rsidTr="00C92CFF">
        <w:tc>
          <w:tcPr>
            <w:cnfStyle w:val="001000000000" w:firstRow="0" w:lastRow="0" w:firstColumn="1" w:lastColumn="0" w:oddVBand="0" w:evenVBand="0" w:oddHBand="0" w:evenHBand="0" w:firstRowFirstColumn="0" w:firstRowLastColumn="0" w:lastRowFirstColumn="0" w:lastRowLastColumn="0"/>
            <w:tcW w:w="1170" w:type="dxa"/>
          </w:tcPr>
          <w:p w14:paraId="00A9AFEC"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TNFRSF11B</w:t>
            </w:r>
          </w:p>
        </w:tc>
        <w:tc>
          <w:tcPr>
            <w:tcW w:w="1530" w:type="dxa"/>
          </w:tcPr>
          <w:p w14:paraId="08CEAA35"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NM_002546.4</w:t>
            </w:r>
          </w:p>
        </w:tc>
        <w:tc>
          <w:tcPr>
            <w:tcW w:w="839" w:type="dxa"/>
          </w:tcPr>
          <w:p w14:paraId="7B6472F1" w14:textId="77777777" w:rsidR="00D54C28" w:rsidRPr="00FD478A" w:rsidRDefault="00D54C28" w:rsidP="00C92CFF">
            <w:pPr>
              <w:tabs>
                <w:tab w:val="left" w:pos="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95</w:t>
            </w:r>
          </w:p>
        </w:tc>
        <w:tc>
          <w:tcPr>
            <w:tcW w:w="3023" w:type="dxa"/>
          </w:tcPr>
          <w:p w14:paraId="579A7C07"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GATGTCCAGATGGGTTCTTCTC</w:t>
            </w:r>
          </w:p>
        </w:tc>
        <w:tc>
          <w:tcPr>
            <w:tcW w:w="3024" w:type="dxa"/>
          </w:tcPr>
          <w:p w14:paraId="5C94ED23"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CTGAGTTAGCAGGAGACCAAAG</w:t>
            </w:r>
          </w:p>
        </w:tc>
      </w:tr>
      <w:tr w:rsidR="00D54C28" w:rsidRPr="00FD478A" w14:paraId="33F17A2F" w14:textId="77777777" w:rsidTr="00C92C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1796417A"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CTNNB1</w:t>
            </w:r>
          </w:p>
        </w:tc>
        <w:tc>
          <w:tcPr>
            <w:tcW w:w="1530" w:type="dxa"/>
            <w:shd w:val="clear" w:color="auto" w:fill="auto"/>
          </w:tcPr>
          <w:p w14:paraId="7A5A9951"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NM_001438871.1</w:t>
            </w:r>
          </w:p>
        </w:tc>
        <w:tc>
          <w:tcPr>
            <w:tcW w:w="839" w:type="dxa"/>
            <w:shd w:val="clear" w:color="auto" w:fill="auto"/>
          </w:tcPr>
          <w:p w14:paraId="00B8BAE1"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99</w:t>
            </w:r>
          </w:p>
        </w:tc>
        <w:tc>
          <w:tcPr>
            <w:tcW w:w="3023" w:type="dxa"/>
            <w:shd w:val="clear" w:color="auto" w:fill="auto"/>
          </w:tcPr>
          <w:p w14:paraId="49E6065B"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CTGCTGTTTTGTTCCGAATGTC</w:t>
            </w:r>
          </w:p>
        </w:tc>
        <w:tc>
          <w:tcPr>
            <w:tcW w:w="3024" w:type="dxa"/>
            <w:shd w:val="clear" w:color="auto" w:fill="auto"/>
          </w:tcPr>
          <w:p w14:paraId="188EA8E1"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CCATTGGCTCTGTTCTGAAGAGA</w:t>
            </w:r>
          </w:p>
        </w:tc>
      </w:tr>
      <w:tr w:rsidR="00D54C28" w:rsidRPr="00FD478A" w14:paraId="406730DF" w14:textId="77777777" w:rsidTr="00C92CFF">
        <w:tc>
          <w:tcPr>
            <w:cnfStyle w:val="001000000000" w:firstRow="0" w:lastRow="0" w:firstColumn="1" w:lastColumn="0" w:oddVBand="0" w:evenVBand="0" w:oddHBand="0" w:evenHBand="0" w:firstRowFirstColumn="0" w:firstRowLastColumn="0" w:lastRowFirstColumn="0" w:lastRowLastColumn="0"/>
            <w:tcW w:w="1170" w:type="dxa"/>
          </w:tcPr>
          <w:p w14:paraId="51E92AA0"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IL-1B</w:t>
            </w:r>
          </w:p>
        </w:tc>
        <w:tc>
          <w:tcPr>
            <w:tcW w:w="1530" w:type="dxa"/>
          </w:tcPr>
          <w:p w14:paraId="791515E3"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NM_000576.3</w:t>
            </w:r>
          </w:p>
        </w:tc>
        <w:tc>
          <w:tcPr>
            <w:tcW w:w="839" w:type="dxa"/>
          </w:tcPr>
          <w:p w14:paraId="38F59688" w14:textId="77777777" w:rsidR="00D54C28" w:rsidRPr="00FD478A" w:rsidRDefault="00D54C28" w:rsidP="00C92CFF">
            <w:pPr>
              <w:tabs>
                <w:tab w:val="left" w:pos="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145</w:t>
            </w:r>
          </w:p>
        </w:tc>
        <w:tc>
          <w:tcPr>
            <w:tcW w:w="3023" w:type="dxa"/>
          </w:tcPr>
          <w:p w14:paraId="409CBCFE"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val="en-US"/>
              </w:rPr>
            </w:pPr>
            <w:r w:rsidRPr="00FD478A">
              <w:rPr>
                <w:rFonts w:ascii="Times New Roman" w:hAnsi="Times New Roman"/>
                <w:sz w:val="16"/>
                <w:szCs w:val="16"/>
                <w:lang w:val="en-US"/>
              </w:rPr>
              <w:t>TGAAATGATGGCTTATTACAGTGG</w:t>
            </w:r>
          </w:p>
        </w:tc>
        <w:tc>
          <w:tcPr>
            <w:tcW w:w="3024" w:type="dxa"/>
          </w:tcPr>
          <w:p w14:paraId="580B3117"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GTAGTGGTGGTCGGAGATTCGTAG</w:t>
            </w:r>
          </w:p>
        </w:tc>
      </w:tr>
      <w:tr w:rsidR="00D54C28" w:rsidRPr="00FD478A" w14:paraId="16F44EF1" w14:textId="77777777" w:rsidTr="00C92C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51CABBF8"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DKK1</w:t>
            </w:r>
          </w:p>
        </w:tc>
        <w:tc>
          <w:tcPr>
            <w:tcW w:w="1530" w:type="dxa"/>
            <w:shd w:val="clear" w:color="auto" w:fill="auto"/>
          </w:tcPr>
          <w:p w14:paraId="6999F494"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NM_012242.4</w:t>
            </w:r>
          </w:p>
        </w:tc>
        <w:tc>
          <w:tcPr>
            <w:tcW w:w="839" w:type="dxa"/>
            <w:shd w:val="clear" w:color="auto" w:fill="auto"/>
          </w:tcPr>
          <w:p w14:paraId="5248C9A6"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115</w:t>
            </w:r>
          </w:p>
        </w:tc>
        <w:tc>
          <w:tcPr>
            <w:tcW w:w="3023" w:type="dxa"/>
            <w:shd w:val="clear" w:color="auto" w:fill="auto"/>
          </w:tcPr>
          <w:p w14:paraId="4D6CD71F"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TGGAACTCCCCTGTGATTGC</w:t>
            </w:r>
          </w:p>
        </w:tc>
        <w:tc>
          <w:tcPr>
            <w:tcW w:w="3024" w:type="dxa"/>
            <w:shd w:val="clear" w:color="auto" w:fill="auto"/>
          </w:tcPr>
          <w:p w14:paraId="638596BA"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AATAGGCAGTGCAGCACCTT</w:t>
            </w:r>
          </w:p>
        </w:tc>
      </w:tr>
      <w:tr w:rsidR="00D54C28" w:rsidRPr="00FD478A" w14:paraId="43B27200" w14:textId="77777777" w:rsidTr="00C92CFF">
        <w:tc>
          <w:tcPr>
            <w:cnfStyle w:val="001000000000" w:firstRow="0" w:lastRow="0" w:firstColumn="1" w:lastColumn="0" w:oddVBand="0" w:evenVBand="0" w:oddHBand="0" w:evenHBand="0" w:firstRowFirstColumn="0" w:firstRowLastColumn="0" w:lastRowFirstColumn="0" w:lastRowLastColumn="0"/>
            <w:tcW w:w="1170" w:type="dxa"/>
          </w:tcPr>
          <w:p w14:paraId="35852036"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BMP4</w:t>
            </w:r>
          </w:p>
        </w:tc>
        <w:tc>
          <w:tcPr>
            <w:tcW w:w="1530" w:type="dxa"/>
          </w:tcPr>
          <w:p w14:paraId="4F3174FC"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hyperlink r:id="rId4" w:history="1">
              <w:r w:rsidRPr="00FD478A">
                <w:rPr>
                  <w:rStyle w:val="Hyperlink"/>
                  <w:rFonts w:ascii="Times New Roman" w:hAnsi="Times New Roman"/>
                  <w:color w:val="auto"/>
                  <w:sz w:val="16"/>
                  <w:szCs w:val="16"/>
                  <w:u w:val="none"/>
                  <w:lang w:val="en-US"/>
                </w:rPr>
                <w:t>NM_001347916.1</w:t>
              </w:r>
            </w:hyperlink>
          </w:p>
        </w:tc>
        <w:tc>
          <w:tcPr>
            <w:tcW w:w="839" w:type="dxa"/>
          </w:tcPr>
          <w:p w14:paraId="3761B852" w14:textId="77777777" w:rsidR="00D54C28" w:rsidRPr="00FD478A" w:rsidRDefault="00D54C28" w:rsidP="00C92CFF">
            <w:pPr>
              <w:tabs>
                <w:tab w:val="left" w:pos="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277</w:t>
            </w:r>
          </w:p>
        </w:tc>
        <w:tc>
          <w:tcPr>
            <w:tcW w:w="3023" w:type="dxa"/>
          </w:tcPr>
          <w:p w14:paraId="3AE8F449"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TGTGACACGGTGGGAAACT</w:t>
            </w:r>
          </w:p>
        </w:tc>
        <w:tc>
          <w:tcPr>
            <w:tcW w:w="3024" w:type="dxa"/>
          </w:tcPr>
          <w:p w14:paraId="15F06DD6" w14:textId="77777777" w:rsidR="00D54C28" w:rsidRPr="00FD478A"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CCGCTGTGAGTGATGCTTAG</w:t>
            </w:r>
          </w:p>
        </w:tc>
      </w:tr>
      <w:tr w:rsidR="00D54C28" w:rsidRPr="00FD478A" w14:paraId="3549E47E" w14:textId="77777777" w:rsidTr="00C92C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2FCC39E0" w14:textId="77777777" w:rsidR="00D54C28" w:rsidRPr="00FD478A" w:rsidRDefault="00D54C28" w:rsidP="00C92CFF">
            <w:pPr>
              <w:tabs>
                <w:tab w:val="left" w:pos="0"/>
              </w:tabs>
              <w:spacing w:line="360" w:lineRule="auto"/>
              <w:jc w:val="center"/>
              <w:rPr>
                <w:rFonts w:ascii="Times New Roman" w:hAnsi="Times New Roman"/>
                <w:b w:val="0"/>
                <w:bCs w:val="0"/>
                <w:i/>
                <w:iCs/>
                <w:sz w:val="16"/>
                <w:szCs w:val="16"/>
                <w:lang w:val="en-US"/>
              </w:rPr>
            </w:pPr>
            <w:r w:rsidRPr="00FD478A">
              <w:rPr>
                <w:rFonts w:ascii="Times New Roman" w:hAnsi="Times New Roman"/>
                <w:b w:val="0"/>
                <w:bCs w:val="0"/>
                <w:i/>
                <w:iCs/>
                <w:sz w:val="16"/>
                <w:szCs w:val="16"/>
                <w:lang w:val="en-US"/>
              </w:rPr>
              <w:t>TGFB</w:t>
            </w:r>
          </w:p>
        </w:tc>
        <w:tc>
          <w:tcPr>
            <w:tcW w:w="1530" w:type="dxa"/>
            <w:shd w:val="clear" w:color="auto" w:fill="auto"/>
          </w:tcPr>
          <w:p w14:paraId="48D511FA"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hyperlink r:id="rId5" w:history="1">
              <w:r w:rsidRPr="00FD478A">
                <w:rPr>
                  <w:rStyle w:val="Hyperlink"/>
                  <w:rFonts w:ascii="Times New Roman" w:hAnsi="Times New Roman"/>
                  <w:color w:val="auto"/>
                  <w:sz w:val="16"/>
                  <w:szCs w:val="16"/>
                  <w:u w:val="none"/>
                  <w:lang w:val="en-US"/>
                </w:rPr>
                <w:t>NM_001407430.1</w:t>
              </w:r>
            </w:hyperlink>
          </w:p>
        </w:tc>
        <w:tc>
          <w:tcPr>
            <w:tcW w:w="839" w:type="dxa"/>
            <w:shd w:val="clear" w:color="auto" w:fill="auto"/>
          </w:tcPr>
          <w:p w14:paraId="311F883A" w14:textId="77777777" w:rsidR="00D54C28" w:rsidRPr="00FD478A" w:rsidRDefault="00D54C28" w:rsidP="00C92CFF">
            <w:pPr>
              <w:tabs>
                <w:tab w:val="left" w:pos="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235</w:t>
            </w:r>
          </w:p>
        </w:tc>
        <w:tc>
          <w:tcPr>
            <w:tcW w:w="3023" w:type="dxa"/>
            <w:shd w:val="clear" w:color="auto" w:fill="auto"/>
          </w:tcPr>
          <w:p w14:paraId="21B9DBD5"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CATTTTTCCCAAGTGCCAGT</w:t>
            </w:r>
          </w:p>
        </w:tc>
        <w:tc>
          <w:tcPr>
            <w:tcW w:w="3024" w:type="dxa"/>
            <w:shd w:val="clear" w:color="auto" w:fill="auto"/>
          </w:tcPr>
          <w:p w14:paraId="72334E25" w14:textId="77777777" w:rsidR="00D54C28" w:rsidRPr="00FD478A" w:rsidRDefault="00D54C28" w:rsidP="00C92C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lang w:val="en-US"/>
              </w:rPr>
            </w:pPr>
            <w:r w:rsidRPr="00FD478A">
              <w:rPr>
                <w:rFonts w:ascii="Times New Roman" w:hAnsi="Times New Roman"/>
                <w:sz w:val="16"/>
                <w:szCs w:val="16"/>
                <w:lang w:val="en-US"/>
              </w:rPr>
              <w:t>ACACCCCTAAGCATGTGGAG</w:t>
            </w:r>
          </w:p>
        </w:tc>
      </w:tr>
      <w:tr w:rsidR="00D54C28" w:rsidRPr="00FD478A" w14:paraId="2B93EA23" w14:textId="77777777" w:rsidTr="00C92CFF">
        <w:tc>
          <w:tcPr>
            <w:cnfStyle w:val="001000000000" w:firstRow="0" w:lastRow="0" w:firstColumn="1" w:lastColumn="0" w:oddVBand="0" w:evenVBand="0" w:oddHBand="0" w:evenHBand="0" w:firstRowFirstColumn="0" w:firstRowLastColumn="0" w:lastRowFirstColumn="0" w:lastRowLastColumn="0"/>
            <w:tcW w:w="1170" w:type="dxa"/>
            <w:tcBorders>
              <w:bottom w:val="single" w:sz="4" w:space="0" w:color="auto"/>
            </w:tcBorders>
          </w:tcPr>
          <w:p w14:paraId="6ECF83C5" w14:textId="77777777" w:rsidR="00D54C28" w:rsidRPr="00927E01" w:rsidRDefault="00D54C28" w:rsidP="00C92CFF">
            <w:pPr>
              <w:tabs>
                <w:tab w:val="left" w:pos="0"/>
              </w:tabs>
              <w:spacing w:line="360" w:lineRule="auto"/>
              <w:jc w:val="center"/>
              <w:rPr>
                <w:rFonts w:ascii="Times New Roman" w:hAnsi="Times New Roman"/>
                <w:b w:val="0"/>
                <w:bCs w:val="0"/>
                <w:sz w:val="16"/>
                <w:szCs w:val="16"/>
                <w:lang w:val="en-US"/>
              </w:rPr>
            </w:pPr>
            <w:r w:rsidRPr="00927E01">
              <w:rPr>
                <w:rFonts w:ascii="Times New Roman" w:hAnsi="Times New Roman"/>
                <w:b w:val="0"/>
                <w:bCs w:val="0"/>
                <w:sz w:val="16"/>
                <w:szCs w:val="16"/>
                <w:lang w:val="en-US"/>
              </w:rPr>
              <w:t>NF-kB-p65</w:t>
            </w:r>
          </w:p>
        </w:tc>
        <w:tc>
          <w:tcPr>
            <w:tcW w:w="1530" w:type="dxa"/>
            <w:tcBorders>
              <w:bottom w:val="single" w:sz="4" w:space="0" w:color="auto"/>
            </w:tcBorders>
          </w:tcPr>
          <w:p w14:paraId="29FF2024" w14:textId="77777777" w:rsidR="00D54C28" w:rsidRPr="00927E01"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hyperlink r:id="rId6" w:history="1">
              <w:r w:rsidRPr="00927E01">
                <w:rPr>
                  <w:rFonts w:ascii="Times New Roman" w:hAnsi="Times New Roman"/>
                  <w:sz w:val="16"/>
                  <w:szCs w:val="16"/>
                  <w:lang w:val="en-US"/>
                </w:rPr>
                <w:t>NM_021975.4</w:t>
              </w:r>
            </w:hyperlink>
          </w:p>
        </w:tc>
        <w:tc>
          <w:tcPr>
            <w:tcW w:w="839" w:type="dxa"/>
            <w:tcBorders>
              <w:bottom w:val="single" w:sz="4" w:space="0" w:color="auto"/>
            </w:tcBorders>
          </w:tcPr>
          <w:p w14:paraId="3B80DD6B" w14:textId="77777777" w:rsidR="00D54C28" w:rsidRPr="00927E01" w:rsidRDefault="00D54C28" w:rsidP="00C92CFF">
            <w:pPr>
              <w:tabs>
                <w:tab w:val="left" w:pos="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927E01">
              <w:rPr>
                <w:rFonts w:ascii="Times New Roman" w:hAnsi="Times New Roman"/>
                <w:sz w:val="16"/>
                <w:szCs w:val="16"/>
                <w:lang w:val="en-US"/>
              </w:rPr>
              <w:t>123</w:t>
            </w:r>
          </w:p>
        </w:tc>
        <w:tc>
          <w:tcPr>
            <w:tcW w:w="3023" w:type="dxa"/>
            <w:tcBorders>
              <w:bottom w:val="single" w:sz="4" w:space="0" w:color="auto"/>
            </w:tcBorders>
          </w:tcPr>
          <w:p w14:paraId="59BB31A1" w14:textId="77777777" w:rsidR="00D54C28" w:rsidRPr="00927E01"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927E01">
              <w:rPr>
                <w:rFonts w:ascii="Times New Roman" w:hAnsi="Times New Roman"/>
                <w:sz w:val="16"/>
                <w:szCs w:val="16"/>
                <w:lang w:val="en-US"/>
              </w:rPr>
              <w:t>TGTGAAGAAGCGGGACCTGGAG</w:t>
            </w:r>
          </w:p>
        </w:tc>
        <w:tc>
          <w:tcPr>
            <w:tcW w:w="3024" w:type="dxa"/>
            <w:tcBorders>
              <w:bottom w:val="single" w:sz="4" w:space="0" w:color="auto"/>
            </w:tcBorders>
          </w:tcPr>
          <w:p w14:paraId="7D6BCC92" w14:textId="77777777" w:rsidR="00D54C28" w:rsidRPr="00927E01" w:rsidRDefault="00D54C28" w:rsidP="00C92C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lang w:val="en-US"/>
              </w:rPr>
            </w:pPr>
            <w:r w:rsidRPr="00927E01">
              <w:rPr>
                <w:rFonts w:ascii="Times New Roman" w:hAnsi="Times New Roman"/>
                <w:sz w:val="16"/>
                <w:szCs w:val="16"/>
                <w:lang w:val="en-US"/>
              </w:rPr>
              <w:t>AAGCAGAGCCGCACAGCATTC</w:t>
            </w:r>
          </w:p>
        </w:tc>
      </w:tr>
    </w:tbl>
    <w:p w14:paraId="648A062C" w14:textId="77777777" w:rsidR="00D54C28" w:rsidRPr="00FD478A" w:rsidRDefault="00D54C28" w:rsidP="00D54C28">
      <w:pPr>
        <w:tabs>
          <w:tab w:val="left" w:pos="0"/>
        </w:tabs>
        <w:spacing w:after="0" w:line="240" w:lineRule="auto"/>
        <w:jc w:val="both"/>
        <w:rPr>
          <w:rFonts w:ascii="Times New Roman" w:hAnsi="Times New Roman"/>
          <w:sz w:val="20"/>
          <w:szCs w:val="20"/>
        </w:rPr>
      </w:pPr>
      <w:r w:rsidRPr="00FD478A">
        <w:rPr>
          <w:rFonts w:ascii="Times New Roman" w:hAnsi="Times New Roman"/>
          <w:sz w:val="20"/>
          <w:szCs w:val="20"/>
        </w:rPr>
        <w:t xml:space="preserve">Primers: Tyrosine 3-Monooxygenase/Tryptophan 5-Monooxygenase Activation Protein Zeta (YWHAZ); Runt-related transcription factor 2 (RUNX2); Alkaline phosphatase (ALPL); Bone Gamma-Carboxyglutamate Protein (BGLAP, </w:t>
      </w:r>
      <w:proofErr w:type="spellStart"/>
      <w:r w:rsidRPr="00FD478A">
        <w:rPr>
          <w:rFonts w:ascii="Times New Roman" w:hAnsi="Times New Roman"/>
          <w:sz w:val="20"/>
          <w:szCs w:val="20"/>
        </w:rPr>
        <w:t>osteocalcina</w:t>
      </w:r>
      <w:proofErr w:type="spellEnd"/>
      <w:r w:rsidRPr="00FD478A">
        <w:rPr>
          <w:rFonts w:ascii="Times New Roman" w:hAnsi="Times New Roman"/>
          <w:sz w:val="20"/>
          <w:szCs w:val="20"/>
        </w:rPr>
        <w:t xml:space="preserve">); TNF Receptor Superfamily Member 11b (TNFRSF11B, </w:t>
      </w:r>
      <w:proofErr w:type="spellStart"/>
      <w:r w:rsidRPr="00FD478A">
        <w:rPr>
          <w:rFonts w:ascii="Times New Roman" w:hAnsi="Times New Roman"/>
          <w:sz w:val="20"/>
          <w:szCs w:val="20"/>
        </w:rPr>
        <w:t>osteoprotegerina</w:t>
      </w:r>
      <w:proofErr w:type="spellEnd"/>
      <w:r w:rsidRPr="00FD478A">
        <w:rPr>
          <w:rFonts w:ascii="Times New Roman" w:hAnsi="Times New Roman"/>
          <w:sz w:val="20"/>
          <w:szCs w:val="20"/>
        </w:rPr>
        <w:t xml:space="preserve">); Catenin Beta 1 (CTBNN1), </w:t>
      </w:r>
      <w:proofErr w:type="spellStart"/>
      <w:r w:rsidRPr="00FD478A">
        <w:rPr>
          <w:rFonts w:ascii="Times New Roman" w:hAnsi="Times New Roman"/>
          <w:sz w:val="20"/>
          <w:szCs w:val="20"/>
        </w:rPr>
        <w:t>Interleucin</w:t>
      </w:r>
      <w:proofErr w:type="spellEnd"/>
      <w:r w:rsidRPr="00FD478A">
        <w:rPr>
          <w:rFonts w:ascii="Times New Roman" w:hAnsi="Times New Roman"/>
          <w:sz w:val="20"/>
          <w:szCs w:val="20"/>
        </w:rPr>
        <w:t xml:space="preserve"> 1 beta (IL-1β); </w:t>
      </w:r>
      <w:proofErr w:type="spellStart"/>
      <w:r w:rsidRPr="00FD478A">
        <w:rPr>
          <w:rFonts w:ascii="Times New Roman" w:hAnsi="Times New Roman"/>
          <w:sz w:val="20"/>
          <w:szCs w:val="20"/>
        </w:rPr>
        <w:t>Dickkopf</w:t>
      </w:r>
      <w:proofErr w:type="spellEnd"/>
      <w:r w:rsidRPr="00FD478A">
        <w:rPr>
          <w:rFonts w:ascii="Times New Roman" w:hAnsi="Times New Roman"/>
          <w:sz w:val="20"/>
          <w:szCs w:val="20"/>
        </w:rPr>
        <w:t xml:space="preserve"> </w:t>
      </w:r>
      <w:proofErr w:type="spellStart"/>
      <w:r w:rsidRPr="00FD478A">
        <w:rPr>
          <w:rFonts w:ascii="Times New Roman" w:hAnsi="Times New Roman"/>
          <w:sz w:val="20"/>
          <w:szCs w:val="20"/>
        </w:rPr>
        <w:t>Wnt</w:t>
      </w:r>
      <w:proofErr w:type="spellEnd"/>
      <w:r w:rsidRPr="00FD478A">
        <w:rPr>
          <w:rFonts w:ascii="Times New Roman" w:hAnsi="Times New Roman"/>
          <w:sz w:val="20"/>
          <w:szCs w:val="20"/>
        </w:rPr>
        <w:t xml:space="preserve"> Signaling Pathway Inhibitor 1 (DKK1); Bone Morphogenetic Protein 4 (BMP4); Transforming Growth Factor Beta 1 (TGFβ); </w:t>
      </w:r>
      <w:bookmarkStart w:id="1" w:name="OLE_LINK4"/>
      <w:r w:rsidRPr="009C0BAB">
        <w:rPr>
          <w:rFonts w:ascii="Times New Roman" w:hAnsi="Times New Roman"/>
          <w:sz w:val="20"/>
          <w:szCs w:val="20"/>
        </w:rPr>
        <w:t>NF-kappa-B transcription complex (</w:t>
      </w:r>
      <w:proofErr w:type="spellStart"/>
      <w:r w:rsidRPr="009C0BAB">
        <w:rPr>
          <w:rFonts w:ascii="Times New Roman" w:hAnsi="Times New Roman"/>
          <w:sz w:val="20"/>
          <w:szCs w:val="20"/>
        </w:rPr>
        <w:t>NFkB</w:t>
      </w:r>
      <w:proofErr w:type="spellEnd"/>
      <w:r w:rsidRPr="009C0BAB">
        <w:rPr>
          <w:rFonts w:ascii="Times New Roman" w:hAnsi="Times New Roman"/>
          <w:sz w:val="20"/>
          <w:szCs w:val="20"/>
        </w:rPr>
        <w:t>) subunit p65 (NF-kB-p65).</w:t>
      </w:r>
      <w:bookmarkEnd w:id="1"/>
    </w:p>
    <w:p w14:paraId="1E1BAE70" w14:textId="77777777" w:rsidR="00D54C28" w:rsidRDefault="00D54C28" w:rsidP="00D54C28">
      <w:pPr>
        <w:spacing w:line="360" w:lineRule="auto"/>
        <w:jc w:val="both"/>
        <w:rPr>
          <w:rFonts w:ascii="Times New Roman" w:hAnsi="Times New Roman" w:cs="Times New Roman"/>
          <w:b/>
          <w:bCs/>
        </w:rPr>
      </w:pPr>
    </w:p>
    <w:p w14:paraId="0EE1BCFE" w14:textId="77777777" w:rsidR="00F41058" w:rsidRDefault="00F41058" w:rsidP="00D54C28">
      <w:pPr>
        <w:spacing w:line="360" w:lineRule="auto"/>
        <w:jc w:val="both"/>
        <w:rPr>
          <w:rFonts w:ascii="Times New Roman" w:hAnsi="Times New Roman" w:cs="Times New Roman"/>
          <w:b/>
          <w:bCs/>
        </w:rPr>
      </w:pPr>
    </w:p>
    <w:p w14:paraId="5CD0A1E2" w14:textId="327F68DB" w:rsidR="004345D9" w:rsidRDefault="0018149D" w:rsidP="0018149D">
      <w:pPr>
        <w:spacing w:line="360" w:lineRule="auto"/>
        <w:jc w:val="center"/>
        <w:rPr>
          <w:rFonts w:ascii="Times New Roman" w:hAnsi="Times New Roman" w:cs="Times New Roman"/>
          <w:b/>
          <w:bCs/>
        </w:rPr>
      </w:pPr>
      <w:r w:rsidRPr="0018149D">
        <w:rPr>
          <w:rFonts w:ascii="Times New Roman" w:hAnsi="Times New Roman" w:cs="Times New Roman"/>
          <w:b/>
          <w:bCs/>
        </w:rPr>
        <w:lastRenderedPageBreak/>
        <w:drawing>
          <wp:inline distT="0" distB="0" distL="0" distR="0" wp14:anchorId="4A58AD43" wp14:editId="46FBC160">
            <wp:extent cx="3939881" cy="6607113"/>
            <wp:effectExtent l="0" t="0" r="3810" b="3810"/>
            <wp:docPr id="141536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62330" name=""/>
                    <pic:cNvPicPr/>
                  </pic:nvPicPr>
                  <pic:blipFill>
                    <a:blip r:embed="rId7"/>
                    <a:stretch>
                      <a:fillRect/>
                    </a:stretch>
                  </pic:blipFill>
                  <pic:spPr>
                    <a:xfrm>
                      <a:off x="0" y="0"/>
                      <a:ext cx="3939881" cy="6607113"/>
                    </a:xfrm>
                    <a:prstGeom prst="rect">
                      <a:avLst/>
                    </a:prstGeom>
                  </pic:spPr>
                </pic:pic>
              </a:graphicData>
            </a:graphic>
          </wp:inline>
        </w:drawing>
      </w:r>
    </w:p>
    <w:p w14:paraId="2B25C780" w14:textId="2FBEBB4F" w:rsidR="00284338" w:rsidRPr="00062B42" w:rsidRDefault="00D7044D" w:rsidP="00284338">
      <w:pPr>
        <w:spacing w:line="240" w:lineRule="auto"/>
        <w:jc w:val="both"/>
        <w:rPr>
          <w:rFonts w:ascii="Times New Roman" w:hAnsi="Times New Roman" w:cs="Times New Roman"/>
        </w:rPr>
      </w:pPr>
      <w:r w:rsidRPr="00755B8E">
        <w:rPr>
          <w:rFonts w:ascii="Times New Roman" w:hAnsi="Times New Roman" w:cs="Times New Roman"/>
          <w:b/>
          <w:bCs/>
        </w:rPr>
        <w:t>Figure S</w:t>
      </w:r>
      <w:r w:rsidR="001324DE">
        <w:rPr>
          <w:rFonts w:ascii="Times New Roman" w:hAnsi="Times New Roman" w:cs="Times New Roman"/>
          <w:b/>
          <w:bCs/>
        </w:rPr>
        <w:t>1</w:t>
      </w:r>
      <w:r w:rsidRPr="00755B8E">
        <w:rPr>
          <w:rFonts w:ascii="Times New Roman" w:hAnsi="Times New Roman" w:cs="Times New Roman"/>
          <w:b/>
          <w:bCs/>
        </w:rPr>
        <w:t>.</w:t>
      </w:r>
      <w:r w:rsidRPr="00755B8E">
        <w:rPr>
          <w:rFonts w:ascii="Times New Roman" w:hAnsi="Times New Roman" w:cs="Times New Roman"/>
        </w:rPr>
        <w:t xml:space="preserve"> </w:t>
      </w:r>
      <w:r w:rsidR="00755B8E" w:rsidRPr="00A10214">
        <w:rPr>
          <w:rFonts w:ascii="Times New Roman" w:hAnsi="Times New Roman" w:cs="Times New Roman"/>
        </w:rPr>
        <w:t xml:space="preserve">Quantification of bone-related proteins in cell lysates and supernatants using the </w:t>
      </w:r>
      <w:proofErr w:type="spellStart"/>
      <w:r w:rsidR="00755B8E" w:rsidRPr="00A10214">
        <w:rPr>
          <w:rFonts w:ascii="Times New Roman" w:hAnsi="Times New Roman" w:cs="Times New Roman"/>
        </w:rPr>
        <w:t>Milliplex</w:t>
      </w:r>
      <w:proofErr w:type="spellEnd"/>
      <w:r w:rsidR="00755B8E" w:rsidRPr="00A10214">
        <w:rPr>
          <w:rFonts w:ascii="Times New Roman" w:hAnsi="Times New Roman" w:cs="Times New Roman"/>
        </w:rPr>
        <w:t>™ Bone Panel after exposure to PS-MPs (10 and 25 µg/mL)</w:t>
      </w:r>
      <w:r w:rsidR="00755B8E">
        <w:rPr>
          <w:rFonts w:ascii="Times New Roman" w:hAnsi="Times New Roman" w:cs="Times New Roman"/>
        </w:rPr>
        <w:t xml:space="preserve">. </w:t>
      </w:r>
      <w:r w:rsidR="000506D0">
        <w:rPr>
          <w:rFonts w:ascii="Times New Roman" w:hAnsi="Times New Roman" w:cs="Times New Roman"/>
        </w:rPr>
        <w:t xml:space="preserve">Osteopontin (OPN), sclerostin (SCL) and </w:t>
      </w:r>
      <w:r w:rsidR="000A299D" w:rsidRPr="000A299D">
        <w:rPr>
          <w:rFonts w:ascii="Times New Roman" w:hAnsi="Times New Roman" w:cs="Times New Roman"/>
        </w:rPr>
        <w:t>fibroblast growth factor 23 (FGF-23)</w:t>
      </w:r>
      <w:r w:rsidR="005C7BDC">
        <w:rPr>
          <w:rFonts w:ascii="Times New Roman" w:hAnsi="Times New Roman" w:cs="Times New Roman"/>
        </w:rPr>
        <w:t xml:space="preserve"> </w:t>
      </w:r>
      <w:r w:rsidR="005C7BDC" w:rsidRPr="00FD478A">
        <w:rPr>
          <w:rFonts w:ascii="Times New Roman" w:hAnsi="Times New Roman" w:cs="Times New Roman"/>
        </w:rPr>
        <w:t>concentrations remained unchanged across treatments in both cell lysates and supernatants</w:t>
      </w:r>
      <w:r w:rsidR="005C7BDC">
        <w:rPr>
          <w:rFonts w:ascii="Times New Roman" w:hAnsi="Times New Roman" w:cs="Times New Roman"/>
        </w:rPr>
        <w:t>.</w:t>
      </w:r>
      <w:r w:rsidR="00284338">
        <w:rPr>
          <w:rFonts w:ascii="Times New Roman" w:hAnsi="Times New Roman" w:cs="Times New Roman"/>
        </w:rPr>
        <w:t xml:space="preserve"> </w:t>
      </w:r>
      <w:r w:rsidR="00284338" w:rsidRPr="00FD478A">
        <w:rPr>
          <w:rFonts w:ascii="Times New Roman" w:hAnsi="Times New Roman" w:cs="Times New Roman"/>
        </w:rPr>
        <w:t xml:space="preserve">Data are presented as </w:t>
      </w:r>
      <w:r w:rsidR="00284338">
        <w:rPr>
          <w:rFonts w:ascii="Times New Roman" w:hAnsi="Times New Roman" w:cs="Times New Roman"/>
        </w:rPr>
        <w:t>fold-change related to the control, representing t</w:t>
      </w:r>
      <w:r w:rsidR="00284338" w:rsidRPr="00FD478A">
        <w:rPr>
          <w:rFonts w:ascii="Times New Roman" w:hAnsi="Times New Roman" w:cs="Times New Roman"/>
        </w:rPr>
        <w:t xml:space="preserve">hree independent biological </w:t>
      </w:r>
      <w:r w:rsidR="00284338">
        <w:rPr>
          <w:rFonts w:ascii="Times New Roman" w:hAnsi="Times New Roman" w:cs="Times New Roman"/>
        </w:rPr>
        <w:t xml:space="preserve">and two technical </w:t>
      </w:r>
      <w:r w:rsidR="00284338" w:rsidRPr="00FD478A">
        <w:rPr>
          <w:rFonts w:ascii="Times New Roman" w:hAnsi="Times New Roman" w:cs="Times New Roman"/>
        </w:rPr>
        <w:t xml:space="preserve">replicates (n = </w:t>
      </w:r>
      <w:r w:rsidR="0010059A">
        <w:rPr>
          <w:rFonts w:ascii="Times New Roman" w:hAnsi="Times New Roman" w:cs="Times New Roman"/>
        </w:rPr>
        <w:t>4</w:t>
      </w:r>
      <w:r w:rsidR="00284338" w:rsidRPr="00FD478A">
        <w:rPr>
          <w:rFonts w:ascii="Times New Roman" w:hAnsi="Times New Roman" w:cs="Times New Roman"/>
        </w:rPr>
        <w:t>)</w:t>
      </w:r>
      <w:r w:rsidR="00284338">
        <w:rPr>
          <w:rFonts w:ascii="Times New Roman" w:hAnsi="Times New Roman" w:cs="Times New Roman"/>
        </w:rPr>
        <w:t>,</w:t>
      </w:r>
      <w:r w:rsidR="00284338" w:rsidRPr="00062B42">
        <w:rPr>
          <w:rFonts w:ascii="Times New Roman" w:hAnsi="Times New Roman" w:cs="Times New Roman"/>
        </w:rPr>
        <w:t xml:space="preserve"> and were analyzed using GraphPad Prism </w:t>
      </w:r>
      <w:proofErr w:type="gramStart"/>
      <w:r w:rsidR="00284338" w:rsidRPr="00062B42">
        <w:rPr>
          <w:rFonts w:ascii="Times New Roman" w:hAnsi="Times New Roman" w:cs="Times New Roman"/>
        </w:rPr>
        <w:t>10.1.1</w:t>
      </w:r>
      <w:proofErr w:type="gramEnd"/>
      <w:r w:rsidR="00284338" w:rsidRPr="00062B42">
        <w:rPr>
          <w:rFonts w:ascii="Times New Roman" w:hAnsi="Times New Roman" w:cs="Times New Roman"/>
        </w:rPr>
        <w:t xml:space="preserve"> (v. 323). The significance level of p &lt; 0.05 was considered.</w:t>
      </w:r>
    </w:p>
    <w:p w14:paraId="4670F9B9" w14:textId="7C83CE08" w:rsidR="007C6F2E" w:rsidRDefault="00112D6A" w:rsidP="000A299D">
      <w:pPr>
        <w:jc w:val="both"/>
        <w:rPr>
          <w:rFonts w:ascii="Times New Roman" w:hAnsi="Times New Roman" w:cs="Times New Roman"/>
        </w:rPr>
      </w:pPr>
      <w:r w:rsidRPr="00112D6A">
        <w:rPr>
          <w:rFonts w:ascii="Times New Roman" w:hAnsi="Times New Roman" w:cs="Times New Roman"/>
        </w:rPr>
        <w:lastRenderedPageBreak/>
        <w:drawing>
          <wp:inline distT="0" distB="0" distL="0" distR="0" wp14:anchorId="6783F40D" wp14:editId="0B5331F5">
            <wp:extent cx="5943600" cy="3268345"/>
            <wp:effectExtent l="0" t="0" r="0" b="8255"/>
            <wp:docPr id="1198071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071835" name=""/>
                    <pic:cNvPicPr/>
                  </pic:nvPicPr>
                  <pic:blipFill>
                    <a:blip r:embed="rId8"/>
                    <a:stretch>
                      <a:fillRect/>
                    </a:stretch>
                  </pic:blipFill>
                  <pic:spPr>
                    <a:xfrm>
                      <a:off x="0" y="0"/>
                      <a:ext cx="5943600" cy="3268345"/>
                    </a:xfrm>
                    <a:prstGeom prst="rect">
                      <a:avLst/>
                    </a:prstGeom>
                  </pic:spPr>
                </pic:pic>
              </a:graphicData>
            </a:graphic>
          </wp:inline>
        </w:drawing>
      </w:r>
    </w:p>
    <w:p w14:paraId="5DFA651D" w14:textId="77777777" w:rsidR="006473FA" w:rsidRDefault="00354A55" w:rsidP="006473FA">
      <w:pPr>
        <w:spacing w:line="240" w:lineRule="auto"/>
        <w:jc w:val="both"/>
        <w:rPr>
          <w:rFonts w:ascii="Times New Roman" w:hAnsi="Times New Roman" w:cs="Times New Roman"/>
        </w:rPr>
      </w:pPr>
      <w:r w:rsidRPr="00755B8E">
        <w:rPr>
          <w:rFonts w:ascii="Times New Roman" w:hAnsi="Times New Roman" w:cs="Times New Roman"/>
          <w:b/>
          <w:bCs/>
        </w:rPr>
        <w:t>Figure S</w:t>
      </w:r>
      <w:r>
        <w:rPr>
          <w:rFonts w:ascii="Times New Roman" w:hAnsi="Times New Roman" w:cs="Times New Roman"/>
          <w:b/>
          <w:bCs/>
        </w:rPr>
        <w:t>2</w:t>
      </w:r>
      <w:r w:rsidRPr="00755B8E">
        <w:rPr>
          <w:rFonts w:ascii="Times New Roman" w:hAnsi="Times New Roman" w:cs="Times New Roman"/>
          <w:b/>
          <w:bCs/>
        </w:rPr>
        <w:t>.</w:t>
      </w:r>
      <w:r w:rsidR="009D7617">
        <w:rPr>
          <w:rFonts w:ascii="Times New Roman" w:hAnsi="Times New Roman" w:cs="Times New Roman"/>
          <w:b/>
          <w:bCs/>
        </w:rPr>
        <w:t xml:space="preserve"> </w:t>
      </w:r>
      <w:r w:rsidR="009D7617">
        <w:rPr>
          <w:rFonts w:ascii="Times New Roman" w:hAnsi="Times New Roman" w:cs="Times New Roman"/>
        </w:rPr>
        <w:t>Representation of the d</w:t>
      </w:r>
      <w:r w:rsidR="009D7617" w:rsidRPr="00A10214">
        <w:rPr>
          <w:rFonts w:ascii="Times New Roman" w:hAnsi="Times New Roman" w:cs="Times New Roman"/>
        </w:rPr>
        <w:t>ensitometric analysis of Western blot data</w:t>
      </w:r>
      <w:r w:rsidR="009D7617">
        <w:rPr>
          <w:rFonts w:ascii="Times New Roman" w:hAnsi="Times New Roman" w:cs="Times New Roman"/>
        </w:rPr>
        <w:t xml:space="preserve"> of non-altered proteins </w:t>
      </w:r>
      <w:r w:rsidR="009A1FAF">
        <w:rPr>
          <w:rFonts w:ascii="Times New Roman" w:hAnsi="Times New Roman" w:cs="Times New Roman"/>
        </w:rPr>
        <w:t xml:space="preserve">from cells treated with </w:t>
      </w:r>
      <w:r w:rsidR="009A1FAF" w:rsidRPr="00A10214">
        <w:rPr>
          <w:rFonts w:ascii="Times New Roman" w:hAnsi="Times New Roman" w:cs="Times New Roman"/>
        </w:rPr>
        <w:t>10 and 25 µg/mL</w:t>
      </w:r>
      <w:r w:rsidR="009A1FAF">
        <w:rPr>
          <w:rFonts w:ascii="Times New Roman" w:hAnsi="Times New Roman" w:cs="Times New Roman"/>
        </w:rPr>
        <w:t xml:space="preserve"> polystyrene microplastics (PS-MPs)</w:t>
      </w:r>
      <w:r w:rsidR="000E5BB7">
        <w:rPr>
          <w:rFonts w:ascii="Times New Roman" w:hAnsi="Times New Roman" w:cs="Times New Roman"/>
        </w:rPr>
        <w:t xml:space="preserve"> </w:t>
      </w:r>
      <w:r w:rsidR="000E5BB7" w:rsidRPr="000E5BB7">
        <w:rPr>
          <w:rFonts w:ascii="Times New Roman" w:hAnsi="Times New Roman" w:cs="Times New Roman"/>
          <w:b/>
          <w:bCs/>
        </w:rPr>
        <w:t>(a)</w:t>
      </w:r>
      <w:r w:rsidR="000E5BB7">
        <w:rPr>
          <w:rFonts w:ascii="Times New Roman" w:hAnsi="Times New Roman" w:cs="Times New Roman"/>
        </w:rPr>
        <w:t xml:space="preserve"> and </w:t>
      </w:r>
      <w:r w:rsidR="009D7617" w:rsidRPr="00A10214">
        <w:rPr>
          <w:rFonts w:ascii="Times New Roman" w:hAnsi="Times New Roman" w:cs="Times New Roman"/>
        </w:rPr>
        <w:t>Representative Western blot images corresponding to the quantified proteins. Protein expression levels were normalized to GAPDH and expressed relative to control cells</w:t>
      </w:r>
      <w:r w:rsidR="000E5BB7">
        <w:rPr>
          <w:rFonts w:ascii="Times New Roman" w:hAnsi="Times New Roman" w:cs="Times New Roman"/>
        </w:rPr>
        <w:t xml:space="preserve"> </w:t>
      </w:r>
      <w:r w:rsidR="000E5BB7" w:rsidRPr="000E5BB7">
        <w:rPr>
          <w:rFonts w:ascii="Times New Roman" w:hAnsi="Times New Roman" w:cs="Times New Roman"/>
          <w:b/>
          <w:bCs/>
        </w:rPr>
        <w:t>(b)</w:t>
      </w:r>
      <w:r w:rsidR="009D7617" w:rsidRPr="000E5BB7">
        <w:rPr>
          <w:rFonts w:ascii="Times New Roman" w:hAnsi="Times New Roman" w:cs="Times New Roman"/>
        </w:rPr>
        <w:t>.</w:t>
      </w:r>
      <w:r w:rsidR="009D7617" w:rsidRPr="00A10214">
        <w:rPr>
          <w:rFonts w:ascii="Times New Roman" w:hAnsi="Times New Roman" w:cs="Times New Roman"/>
        </w:rPr>
        <w:t xml:space="preserve"> Band quantification was performed using the ImageJ gel analysis tool, based on the area under the curve, and normalized to the internal loading control (GAPDH). Molecular weights (</w:t>
      </w:r>
      <w:proofErr w:type="spellStart"/>
      <w:r w:rsidR="009D7617" w:rsidRPr="00A10214">
        <w:rPr>
          <w:rFonts w:ascii="Times New Roman" w:hAnsi="Times New Roman" w:cs="Times New Roman"/>
        </w:rPr>
        <w:t>kDa</w:t>
      </w:r>
      <w:proofErr w:type="spellEnd"/>
      <w:r w:rsidR="009D7617" w:rsidRPr="00A10214">
        <w:rPr>
          <w:rFonts w:ascii="Times New Roman" w:hAnsi="Times New Roman" w:cs="Times New Roman"/>
        </w:rPr>
        <w:t>) are indicated for each protein according to the molecular weight marker.</w:t>
      </w:r>
      <w:r w:rsidR="009D7617">
        <w:rPr>
          <w:rFonts w:ascii="Times New Roman" w:hAnsi="Times New Roman" w:cs="Times New Roman"/>
        </w:rPr>
        <w:t xml:space="preserve"> </w:t>
      </w:r>
      <w:r w:rsidR="006473FA" w:rsidRPr="00062B42">
        <w:rPr>
          <w:rFonts w:ascii="Times New Roman" w:hAnsi="Times New Roman" w:cs="Times New Roman"/>
        </w:rPr>
        <w:t xml:space="preserve">Statistical analysis was performed using one-way ANOVA or Kruskal-Wallis followed by Dunnett’s multiple comparisons test. </w:t>
      </w:r>
      <w:r w:rsidR="006473FA" w:rsidRPr="00FD478A">
        <w:rPr>
          <w:rFonts w:ascii="Times New Roman" w:hAnsi="Times New Roman" w:cs="Times New Roman"/>
        </w:rPr>
        <w:t xml:space="preserve">Data are presented as </w:t>
      </w:r>
      <w:r w:rsidR="006473FA">
        <w:rPr>
          <w:rFonts w:ascii="Times New Roman" w:hAnsi="Times New Roman" w:cs="Times New Roman"/>
        </w:rPr>
        <w:t>fold-change related to the control, representing t</w:t>
      </w:r>
      <w:r w:rsidR="006473FA" w:rsidRPr="00FD478A">
        <w:rPr>
          <w:rFonts w:ascii="Times New Roman" w:hAnsi="Times New Roman" w:cs="Times New Roman"/>
        </w:rPr>
        <w:t xml:space="preserve">hree independent biological </w:t>
      </w:r>
      <w:r w:rsidR="006473FA">
        <w:rPr>
          <w:rFonts w:ascii="Times New Roman" w:hAnsi="Times New Roman" w:cs="Times New Roman"/>
        </w:rPr>
        <w:t xml:space="preserve">and two technical </w:t>
      </w:r>
      <w:r w:rsidR="006473FA" w:rsidRPr="00FD478A">
        <w:rPr>
          <w:rFonts w:ascii="Times New Roman" w:hAnsi="Times New Roman" w:cs="Times New Roman"/>
        </w:rPr>
        <w:t xml:space="preserve">replicates (n = </w:t>
      </w:r>
      <w:r w:rsidR="006473FA">
        <w:rPr>
          <w:rFonts w:ascii="Times New Roman" w:hAnsi="Times New Roman" w:cs="Times New Roman"/>
        </w:rPr>
        <w:t>6</w:t>
      </w:r>
      <w:r w:rsidR="006473FA" w:rsidRPr="00FD478A">
        <w:rPr>
          <w:rFonts w:ascii="Times New Roman" w:hAnsi="Times New Roman" w:cs="Times New Roman"/>
        </w:rPr>
        <w:t>)</w:t>
      </w:r>
      <w:r w:rsidR="006473FA">
        <w:rPr>
          <w:rFonts w:ascii="Times New Roman" w:hAnsi="Times New Roman" w:cs="Times New Roman"/>
        </w:rPr>
        <w:t>,</w:t>
      </w:r>
      <w:r w:rsidR="006473FA" w:rsidRPr="00062B42">
        <w:rPr>
          <w:rFonts w:ascii="Times New Roman" w:hAnsi="Times New Roman" w:cs="Times New Roman"/>
        </w:rPr>
        <w:t xml:space="preserve"> and were analyzed using GraphPad Prism 10.1.1 (v. 323). The significance level of p &lt; 0.05 was considered.</w:t>
      </w:r>
    </w:p>
    <w:p w14:paraId="3289419F" w14:textId="77777777" w:rsidR="00112D6A" w:rsidRDefault="00112D6A" w:rsidP="006473FA">
      <w:pPr>
        <w:spacing w:line="240" w:lineRule="auto"/>
        <w:jc w:val="both"/>
        <w:rPr>
          <w:rFonts w:ascii="Times New Roman" w:hAnsi="Times New Roman" w:cs="Times New Roman"/>
        </w:rPr>
      </w:pPr>
    </w:p>
    <w:p w14:paraId="68A9C15A" w14:textId="77777777" w:rsidR="00112D6A" w:rsidRDefault="00112D6A" w:rsidP="006473FA">
      <w:pPr>
        <w:spacing w:line="240" w:lineRule="auto"/>
        <w:jc w:val="both"/>
        <w:rPr>
          <w:rFonts w:ascii="Times New Roman" w:hAnsi="Times New Roman" w:cs="Times New Roman"/>
        </w:rPr>
      </w:pPr>
    </w:p>
    <w:p w14:paraId="5E55A842" w14:textId="77777777" w:rsidR="00112D6A" w:rsidRDefault="00112D6A" w:rsidP="006473FA">
      <w:pPr>
        <w:spacing w:line="240" w:lineRule="auto"/>
        <w:jc w:val="both"/>
        <w:rPr>
          <w:rFonts w:ascii="Times New Roman" w:hAnsi="Times New Roman" w:cs="Times New Roman"/>
        </w:rPr>
      </w:pPr>
    </w:p>
    <w:p w14:paraId="78331B31" w14:textId="77777777" w:rsidR="00112D6A" w:rsidRDefault="00112D6A" w:rsidP="006473FA">
      <w:pPr>
        <w:spacing w:line="240" w:lineRule="auto"/>
        <w:jc w:val="both"/>
        <w:rPr>
          <w:rFonts w:ascii="Times New Roman" w:hAnsi="Times New Roman" w:cs="Times New Roman"/>
        </w:rPr>
      </w:pPr>
    </w:p>
    <w:p w14:paraId="337F667E" w14:textId="77777777" w:rsidR="00112D6A" w:rsidRDefault="00112D6A" w:rsidP="006473FA">
      <w:pPr>
        <w:spacing w:line="240" w:lineRule="auto"/>
        <w:jc w:val="both"/>
        <w:rPr>
          <w:rFonts w:ascii="Times New Roman" w:hAnsi="Times New Roman" w:cs="Times New Roman"/>
        </w:rPr>
      </w:pPr>
    </w:p>
    <w:p w14:paraId="40E8130C" w14:textId="77777777" w:rsidR="00112D6A" w:rsidRDefault="00112D6A" w:rsidP="006473FA">
      <w:pPr>
        <w:spacing w:line="240" w:lineRule="auto"/>
        <w:jc w:val="both"/>
        <w:rPr>
          <w:rFonts w:ascii="Times New Roman" w:hAnsi="Times New Roman" w:cs="Times New Roman"/>
        </w:rPr>
      </w:pPr>
    </w:p>
    <w:p w14:paraId="13A22237" w14:textId="77777777" w:rsidR="00112D6A" w:rsidRDefault="00112D6A" w:rsidP="006473FA">
      <w:pPr>
        <w:spacing w:line="240" w:lineRule="auto"/>
        <w:jc w:val="both"/>
        <w:rPr>
          <w:rFonts w:ascii="Times New Roman" w:hAnsi="Times New Roman" w:cs="Times New Roman"/>
        </w:rPr>
      </w:pPr>
    </w:p>
    <w:p w14:paraId="07A1C7CB" w14:textId="77777777" w:rsidR="00112D6A" w:rsidRDefault="00112D6A" w:rsidP="006473FA">
      <w:pPr>
        <w:spacing w:line="240" w:lineRule="auto"/>
        <w:jc w:val="both"/>
        <w:rPr>
          <w:rFonts w:ascii="Times New Roman" w:hAnsi="Times New Roman" w:cs="Times New Roman"/>
        </w:rPr>
      </w:pPr>
    </w:p>
    <w:p w14:paraId="4804B5F9" w14:textId="77777777" w:rsidR="00112D6A" w:rsidRDefault="00112D6A" w:rsidP="006473FA">
      <w:pPr>
        <w:spacing w:line="240" w:lineRule="auto"/>
        <w:jc w:val="both"/>
        <w:rPr>
          <w:rFonts w:ascii="Times New Roman" w:hAnsi="Times New Roman" w:cs="Times New Roman"/>
        </w:rPr>
      </w:pPr>
    </w:p>
    <w:p w14:paraId="7EE933E4" w14:textId="77777777" w:rsidR="00112D6A" w:rsidRDefault="00112D6A" w:rsidP="006473FA">
      <w:pPr>
        <w:spacing w:line="240" w:lineRule="auto"/>
        <w:jc w:val="both"/>
        <w:rPr>
          <w:rFonts w:ascii="Times New Roman" w:hAnsi="Times New Roman" w:cs="Times New Roman"/>
        </w:rPr>
      </w:pPr>
    </w:p>
    <w:p w14:paraId="566A04A3" w14:textId="0782B518" w:rsidR="00112D6A" w:rsidRPr="00062B42" w:rsidRDefault="00237303" w:rsidP="006473FA">
      <w:pPr>
        <w:spacing w:line="240" w:lineRule="auto"/>
        <w:jc w:val="both"/>
        <w:rPr>
          <w:rFonts w:ascii="Times New Roman" w:hAnsi="Times New Roman" w:cs="Times New Roman"/>
        </w:rPr>
      </w:pPr>
      <w:r w:rsidRPr="00237303">
        <w:rPr>
          <w:rFonts w:ascii="Times New Roman" w:hAnsi="Times New Roman" w:cs="Times New Roman"/>
        </w:rPr>
        <w:lastRenderedPageBreak/>
        <w:drawing>
          <wp:inline distT="0" distB="0" distL="0" distR="0" wp14:anchorId="3C6A08B3" wp14:editId="5F3F35E8">
            <wp:extent cx="5943600" cy="5204460"/>
            <wp:effectExtent l="0" t="0" r="0" b="0"/>
            <wp:docPr id="1682845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528" name=""/>
                    <pic:cNvPicPr/>
                  </pic:nvPicPr>
                  <pic:blipFill>
                    <a:blip r:embed="rId9"/>
                    <a:stretch>
                      <a:fillRect/>
                    </a:stretch>
                  </pic:blipFill>
                  <pic:spPr>
                    <a:xfrm>
                      <a:off x="0" y="0"/>
                      <a:ext cx="5943600" cy="5204460"/>
                    </a:xfrm>
                    <a:prstGeom prst="rect">
                      <a:avLst/>
                    </a:prstGeom>
                  </pic:spPr>
                </pic:pic>
              </a:graphicData>
            </a:graphic>
          </wp:inline>
        </w:drawing>
      </w:r>
    </w:p>
    <w:p w14:paraId="2A9B9EC6" w14:textId="77777777" w:rsidR="00111D82" w:rsidRPr="0026205A" w:rsidRDefault="00354A55" w:rsidP="00111D82">
      <w:pPr>
        <w:spacing w:line="240" w:lineRule="auto"/>
        <w:jc w:val="both"/>
        <w:rPr>
          <w:rFonts w:ascii="Times New Roman" w:hAnsi="Times New Roman" w:cs="Times New Roman"/>
        </w:rPr>
      </w:pPr>
      <w:r w:rsidRPr="00755B8E">
        <w:rPr>
          <w:rFonts w:ascii="Times New Roman" w:hAnsi="Times New Roman" w:cs="Times New Roman"/>
          <w:b/>
          <w:bCs/>
        </w:rPr>
        <w:t>Figure S</w:t>
      </w:r>
      <w:r>
        <w:rPr>
          <w:rFonts w:ascii="Times New Roman" w:hAnsi="Times New Roman" w:cs="Times New Roman"/>
          <w:b/>
          <w:bCs/>
        </w:rPr>
        <w:t>3</w:t>
      </w:r>
      <w:r w:rsidRPr="00755B8E">
        <w:rPr>
          <w:rFonts w:ascii="Times New Roman" w:hAnsi="Times New Roman" w:cs="Times New Roman"/>
          <w:b/>
          <w:bCs/>
        </w:rPr>
        <w:t>.</w:t>
      </w:r>
      <w:r w:rsidR="00292239">
        <w:rPr>
          <w:rFonts w:ascii="Times New Roman" w:hAnsi="Times New Roman" w:cs="Times New Roman"/>
          <w:b/>
          <w:bCs/>
        </w:rPr>
        <w:t xml:space="preserve"> </w:t>
      </w:r>
      <w:r w:rsidR="00292239" w:rsidRPr="00AE3AEB">
        <w:rPr>
          <w:rFonts w:ascii="Times New Roman" w:hAnsi="Times New Roman" w:cs="Times New Roman"/>
        </w:rPr>
        <w:t xml:space="preserve">Relative gene expression in MG-63 cells exposed to polystyrene microplastics (PS-MPs) for 7 days. Gene expression was assessed by </w:t>
      </w:r>
      <w:r w:rsidR="00292239">
        <w:rPr>
          <w:rFonts w:ascii="Times New Roman" w:hAnsi="Times New Roman" w:cs="Times New Roman"/>
        </w:rPr>
        <w:t>RT-</w:t>
      </w:r>
      <w:r w:rsidR="00292239" w:rsidRPr="00AE3AEB">
        <w:rPr>
          <w:rFonts w:ascii="Times New Roman" w:hAnsi="Times New Roman" w:cs="Times New Roman"/>
        </w:rPr>
        <w:t>qPCR (</w:t>
      </w:r>
      <w:proofErr w:type="spellStart"/>
      <w:r w:rsidR="00292239" w:rsidRPr="00AE3AEB">
        <w:rPr>
          <w:rFonts w:ascii="Times New Roman" w:hAnsi="Times New Roman" w:cs="Times New Roman"/>
        </w:rPr>
        <w:t>QuantStudio</w:t>
      </w:r>
      <w:proofErr w:type="spellEnd"/>
      <w:r w:rsidR="00292239" w:rsidRPr="00AE3AEB">
        <w:rPr>
          <w:rFonts w:ascii="Times New Roman" w:hAnsi="Times New Roman" w:cs="Times New Roman"/>
        </w:rPr>
        <w:t xml:space="preserve"> 3) and normalized using the </w:t>
      </w:r>
      <w:r w:rsidR="00292239" w:rsidRPr="0077754D">
        <w:rPr>
          <w:rFonts w:ascii="Times New Roman" w:hAnsi="Times New Roman" w:cs="Times New Roman"/>
          <w:i/>
          <w:iCs/>
        </w:rPr>
        <w:t>YWHAZ</w:t>
      </w:r>
      <w:r w:rsidR="00292239" w:rsidRPr="00AE3AEB">
        <w:rPr>
          <w:rFonts w:ascii="Times New Roman" w:hAnsi="Times New Roman" w:cs="Times New Roman"/>
        </w:rPr>
        <w:t xml:space="preserve"> reference gene. </w:t>
      </w:r>
      <w:r w:rsidR="00292239">
        <w:rPr>
          <w:rFonts w:ascii="Times New Roman" w:hAnsi="Times New Roman" w:cs="Times New Roman"/>
        </w:rPr>
        <w:t>O</w:t>
      </w:r>
      <w:r w:rsidR="00292239" w:rsidRPr="00231873">
        <w:rPr>
          <w:rFonts w:ascii="Times New Roman" w:hAnsi="Times New Roman" w:cs="Times New Roman"/>
        </w:rPr>
        <w:t>steogenic and inflammatory signaling genes were not altered.</w:t>
      </w:r>
      <w:r w:rsidR="00111D82">
        <w:rPr>
          <w:rFonts w:ascii="Times New Roman" w:hAnsi="Times New Roman" w:cs="Times New Roman"/>
        </w:rPr>
        <w:t xml:space="preserve"> </w:t>
      </w:r>
      <w:r w:rsidR="00111D82" w:rsidRPr="0026205A">
        <w:rPr>
          <w:rFonts w:ascii="Times New Roman" w:hAnsi="Times New Roman" w:cs="Times New Roman"/>
        </w:rPr>
        <w:t xml:space="preserve">Statistical analysis was performed using one-way ANOVA or Kruskal-Wallis followed by Dunnett’s multiple comparisons test. </w:t>
      </w:r>
      <w:r w:rsidR="00111D82" w:rsidRPr="00FD478A">
        <w:rPr>
          <w:rFonts w:ascii="Times New Roman" w:hAnsi="Times New Roman" w:cs="Times New Roman"/>
        </w:rPr>
        <w:t xml:space="preserve">Data are presented as </w:t>
      </w:r>
      <w:r w:rsidR="00111D82">
        <w:rPr>
          <w:rFonts w:ascii="Times New Roman" w:hAnsi="Times New Roman" w:cs="Times New Roman"/>
        </w:rPr>
        <w:t>fold-change related to the control, representing t</w:t>
      </w:r>
      <w:r w:rsidR="00111D82" w:rsidRPr="00FD478A">
        <w:rPr>
          <w:rFonts w:ascii="Times New Roman" w:hAnsi="Times New Roman" w:cs="Times New Roman"/>
        </w:rPr>
        <w:t xml:space="preserve">hree independent biological </w:t>
      </w:r>
      <w:r w:rsidR="00111D82">
        <w:rPr>
          <w:rFonts w:ascii="Times New Roman" w:hAnsi="Times New Roman" w:cs="Times New Roman"/>
        </w:rPr>
        <w:t xml:space="preserve">and two technical </w:t>
      </w:r>
      <w:r w:rsidR="00111D82" w:rsidRPr="00FD478A">
        <w:rPr>
          <w:rFonts w:ascii="Times New Roman" w:hAnsi="Times New Roman" w:cs="Times New Roman"/>
        </w:rPr>
        <w:t xml:space="preserve">replicates (n = </w:t>
      </w:r>
      <w:r w:rsidR="00111D82">
        <w:rPr>
          <w:rFonts w:ascii="Times New Roman" w:hAnsi="Times New Roman" w:cs="Times New Roman"/>
        </w:rPr>
        <w:t>6</w:t>
      </w:r>
      <w:r w:rsidR="00111D82" w:rsidRPr="00FD478A">
        <w:rPr>
          <w:rFonts w:ascii="Times New Roman" w:hAnsi="Times New Roman" w:cs="Times New Roman"/>
        </w:rPr>
        <w:t>)</w:t>
      </w:r>
      <w:r w:rsidR="00111D82">
        <w:rPr>
          <w:rFonts w:ascii="Times New Roman" w:hAnsi="Times New Roman" w:cs="Times New Roman"/>
        </w:rPr>
        <w:t>,</w:t>
      </w:r>
      <w:r w:rsidR="00111D82" w:rsidRPr="00062B42">
        <w:rPr>
          <w:rFonts w:ascii="Times New Roman" w:hAnsi="Times New Roman" w:cs="Times New Roman"/>
        </w:rPr>
        <w:t xml:space="preserve"> </w:t>
      </w:r>
      <w:r w:rsidR="00111D82" w:rsidRPr="0026205A">
        <w:rPr>
          <w:rFonts w:ascii="Times New Roman" w:hAnsi="Times New Roman" w:cs="Times New Roman"/>
        </w:rPr>
        <w:t>and were analyzed using GraphPad Prism 10.1.1 (v. 323). The significance level of p &lt; 0.05 was considered.</w:t>
      </w:r>
    </w:p>
    <w:sectPr w:rsidR="00111D82" w:rsidRPr="0026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A6"/>
    <w:rsid w:val="00042032"/>
    <w:rsid w:val="000506D0"/>
    <w:rsid w:val="0005199A"/>
    <w:rsid w:val="000A299D"/>
    <w:rsid w:val="000E5BB7"/>
    <w:rsid w:val="0010059A"/>
    <w:rsid w:val="00111D82"/>
    <w:rsid w:val="00112D6A"/>
    <w:rsid w:val="0012064E"/>
    <w:rsid w:val="001274D0"/>
    <w:rsid w:val="001324DE"/>
    <w:rsid w:val="00137475"/>
    <w:rsid w:val="0018149D"/>
    <w:rsid w:val="001C6D2C"/>
    <w:rsid w:val="002248EE"/>
    <w:rsid w:val="00237303"/>
    <w:rsid w:val="00284338"/>
    <w:rsid w:val="00292239"/>
    <w:rsid w:val="00292C14"/>
    <w:rsid w:val="00354A55"/>
    <w:rsid w:val="00422FBD"/>
    <w:rsid w:val="004345D9"/>
    <w:rsid w:val="00462F17"/>
    <w:rsid w:val="004D5889"/>
    <w:rsid w:val="00501EFA"/>
    <w:rsid w:val="00560F86"/>
    <w:rsid w:val="005C7BDC"/>
    <w:rsid w:val="005E2107"/>
    <w:rsid w:val="006473FA"/>
    <w:rsid w:val="006A4C05"/>
    <w:rsid w:val="00755B8E"/>
    <w:rsid w:val="00792317"/>
    <w:rsid w:val="007A5845"/>
    <w:rsid w:val="007C6F2E"/>
    <w:rsid w:val="008C0BB4"/>
    <w:rsid w:val="008C7554"/>
    <w:rsid w:val="009426C1"/>
    <w:rsid w:val="009A1FAF"/>
    <w:rsid w:val="009C18AD"/>
    <w:rsid w:val="009C1968"/>
    <w:rsid w:val="009D7617"/>
    <w:rsid w:val="00A965BE"/>
    <w:rsid w:val="00AF6E83"/>
    <w:rsid w:val="00B251A2"/>
    <w:rsid w:val="00BD71A6"/>
    <w:rsid w:val="00CF277C"/>
    <w:rsid w:val="00D54C28"/>
    <w:rsid w:val="00D7044D"/>
    <w:rsid w:val="00DA0372"/>
    <w:rsid w:val="00DB5598"/>
    <w:rsid w:val="00E257C9"/>
    <w:rsid w:val="00F41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62848"/>
  <w15:chartTrackingRefBased/>
  <w15:docId w15:val="{75413443-0BAA-4FC9-8278-681D4E8C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1A6"/>
    <w:rPr>
      <w:rFonts w:eastAsiaTheme="majorEastAsia" w:cstheme="majorBidi"/>
      <w:color w:val="272727" w:themeColor="text1" w:themeTint="D8"/>
    </w:rPr>
  </w:style>
  <w:style w:type="paragraph" w:styleId="Title">
    <w:name w:val="Title"/>
    <w:basedOn w:val="Normal"/>
    <w:next w:val="Normal"/>
    <w:link w:val="TitleChar"/>
    <w:uiPriority w:val="10"/>
    <w:qFormat/>
    <w:rsid w:val="00BD7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1A6"/>
    <w:pPr>
      <w:spacing w:before="160"/>
      <w:jc w:val="center"/>
    </w:pPr>
    <w:rPr>
      <w:i/>
      <w:iCs/>
      <w:color w:val="404040" w:themeColor="text1" w:themeTint="BF"/>
    </w:rPr>
  </w:style>
  <w:style w:type="character" w:customStyle="1" w:styleId="QuoteChar">
    <w:name w:val="Quote Char"/>
    <w:basedOn w:val="DefaultParagraphFont"/>
    <w:link w:val="Quote"/>
    <w:uiPriority w:val="29"/>
    <w:rsid w:val="00BD71A6"/>
    <w:rPr>
      <w:i/>
      <w:iCs/>
      <w:color w:val="404040" w:themeColor="text1" w:themeTint="BF"/>
    </w:rPr>
  </w:style>
  <w:style w:type="paragraph" w:styleId="ListParagraph">
    <w:name w:val="List Paragraph"/>
    <w:basedOn w:val="Normal"/>
    <w:uiPriority w:val="34"/>
    <w:qFormat/>
    <w:rsid w:val="00BD71A6"/>
    <w:pPr>
      <w:ind w:left="720"/>
      <w:contextualSpacing/>
    </w:pPr>
  </w:style>
  <w:style w:type="character" w:styleId="IntenseEmphasis">
    <w:name w:val="Intense Emphasis"/>
    <w:basedOn w:val="DefaultParagraphFont"/>
    <w:uiPriority w:val="21"/>
    <w:qFormat/>
    <w:rsid w:val="00BD71A6"/>
    <w:rPr>
      <w:i/>
      <w:iCs/>
      <w:color w:val="0F4761" w:themeColor="accent1" w:themeShade="BF"/>
    </w:rPr>
  </w:style>
  <w:style w:type="paragraph" w:styleId="IntenseQuote">
    <w:name w:val="Intense Quote"/>
    <w:basedOn w:val="Normal"/>
    <w:next w:val="Normal"/>
    <w:link w:val="IntenseQuoteChar"/>
    <w:uiPriority w:val="30"/>
    <w:qFormat/>
    <w:rsid w:val="00BD7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1A6"/>
    <w:rPr>
      <w:i/>
      <w:iCs/>
      <w:color w:val="0F4761" w:themeColor="accent1" w:themeShade="BF"/>
    </w:rPr>
  </w:style>
  <w:style w:type="character" w:styleId="IntenseReference">
    <w:name w:val="Intense Reference"/>
    <w:basedOn w:val="DefaultParagraphFont"/>
    <w:uiPriority w:val="32"/>
    <w:qFormat/>
    <w:rsid w:val="00BD71A6"/>
    <w:rPr>
      <w:b/>
      <w:bCs/>
      <w:smallCaps/>
      <w:color w:val="0F4761" w:themeColor="accent1" w:themeShade="BF"/>
      <w:spacing w:val="5"/>
    </w:rPr>
  </w:style>
  <w:style w:type="character" w:styleId="Hyperlink">
    <w:name w:val="Hyperlink"/>
    <w:basedOn w:val="DefaultParagraphFont"/>
    <w:uiPriority w:val="99"/>
    <w:unhideWhenUsed/>
    <w:rsid w:val="00D54C28"/>
    <w:rPr>
      <w:color w:val="467886" w:themeColor="hyperlink"/>
      <w:u w:val="single"/>
    </w:rPr>
  </w:style>
  <w:style w:type="table" w:customStyle="1" w:styleId="PlainTable41">
    <w:name w:val="Plain Table 41"/>
    <w:basedOn w:val="TableNormal"/>
    <w:uiPriority w:val="44"/>
    <w:rsid w:val="00D54C28"/>
    <w:pPr>
      <w:spacing w:after="0" w:line="240" w:lineRule="auto"/>
    </w:pPr>
    <w:rPr>
      <w:lang w:val="pt-BR"/>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entrez/viewer.fcgi?db=nucleotide&amp;id=1519314148" TargetMode="External"/><Relationship Id="rId11" Type="http://schemas.openxmlformats.org/officeDocument/2006/relationships/theme" Target="theme/theme1.xml"/><Relationship Id="rId5" Type="http://schemas.openxmlformats.org/officeDocument/2006/relationships/hyperlink" Target="https://www.ncbi.nlm.nih.gov/entrez/viewer.fcgi?db=nucleotide&amp;id=2247445895" TargetMode="External"/><Relationship Id="rId10" Type="http://schemas.openxmlformats.org/officeDocument/2006/relationships/fontTable" Target="fontTable.xml"/><Relationship Id="rId4" Type="http://schemas.openxmlformats.org/officeDocument/2006/relationships/hyperlink" Target="https://www.ncbi.nlm.nih.gov/entrez/viewer.fcgi?db=nucleotide&amp;id=1122780681"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1091</Words>
  <Characters>6935</Characters>
  <Application>Microsoft Office Word</Application>
  <DocSecurity>0</DocSecurity>
  <Lines>96</Lines>
  <Paragraphs>23</Paragraphs>
  <ScaleCrop>false</ScaleCrop>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Oliveira</dc:creator>
  <cp:keywords/>
  <dc:description/>
  <cp:lastModifiedBy>Mariana Oliveira</cp:lastModifiedBy>
  <cp:revision>2</cp:revision>
  <dcterms:created xsi:type="dcterms:W3CDTF">2026-09-25T13:56:00Z</dcterms:created>
  <dcterms:modified xsi:type="dcterms:W3CDTF">2026-09-25T13:56:00Z</dcterms:modified>
</cp:coreProperties>
</file>