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02A" w:rsidRDefault="0035602A" w:rsidP="0035602A">
      <w:pPr>
        <w:spacing w:after="120" w:line="360" w:lineRule="auto"/>
        <w:ind w:left="720" w:hanging="720"/>
        <w:jc w:val="center"/>
      </w:pPr>
      <w:r>
        <w:rPr>
          <w:b/>
          <w:sz w:val="20"/>
        </w:rPr>
        <w:t>Supplementary Appendix A: Documents Included in the Analysis</w:t>
      </w:r>
    </w:p>
    <w:p w:rsidR="0035602A" w:rsidRDefault="0035602A" w:rsidP="0035602A">
      <w:pPr>
        <w:jc w:val="center"/>
      </w:pPr>
      <w:r>
        <w:t>Note. This appendix presents the complete documentary corpus used in the study. The documents are organized in the order of their inclusion in the analytical corpus. Each entry identifies the author or organization and title, year, source or publisher, document type, and relevance to the study.</w:t>
      </w:r>
    </w:p>
    <w:p w:rsidR="0035602A" w:rsidRDefault="0035602A" w:rsidP="0035602A">
      <w:pPr>
        <w:keepNext/>
        <w:spacing w:before="240" w:after="160"/>
      </w:pPr>
      <w:r>
        <w:rPr>
          <w:b/>
        </w:rPr>
        <w:t>Appendix: Major / Core Analytical Documents-24</w:t>
      </w:r>
    </w:p>
    <w:tbl>
      <w:tblPr>
        <w:tblStyle w:val="TableGrid"/>
        <w:tblW w:w="0" w:type="auto"/>
        <w:jc w:val="center"/>
        <w:tblLook w:val="04A0"/>
      </w:tblPr>
      <w:tblGrid>
        <w:gridCol w:w="534"/>
        <w:gridCol w:w="2410"/>
        <w:gridCol w:w="705"/>
        <w:gridCol w:w="1514"/>
        <w:gridCol w:w="1673"/>
        <w:gridCol w:w="2740"/>
      </w:tblGrid>
      <w:tr w:rsidR="0035602A" w:rsidTr="007B1C73">
        <w:trPr>
          <w:cantSplit/>
          <w:tblHeader/>
          <w:jc w:val="center"/>
        </w:trPr>
        <w:tc>
          <w:tcPr>
            <w:tcW w:w="648" w:type="dxa"/>
            <w:shd w:val="clear" w:color="auto" w:fill="D9EAF7"/>
          </w:tcPr>
          <w:p w:rsidR="0035602A" w:rsidRDefault="0035602A" w:rsidP="007B1C73">
            <w:pPr>
              <w:spacing w:after="60" w:line="252" w:lineRule="auto"/>
            </w:pPr>
            <w:r>
              <w:rPr>
                <w:b/>
                <w:sz w:val="18"/>
              </w:rPr>
              <w:t>No.</w:t>
            </w:r>
          </w:p>
        </w:tc>
        <w:tc>
          <w:tcPr>
            <w:tcW w:w="3672" w:type="dxa"/>
            <w:shd w:val="clear" w:color="auto" w:fill="D9EAF7"/>
          </w:tcPr>
          <w:p w:rsidR="0035602A" w:rsidRDefault="0035602A" w:rsidP="007B1C73">
            <w:pPr>
              <w:spacing w:after="60" w:line="252" w:lineRule="auto"/>
            </w:pPr>
            <w:r>
              <w:rPr>
                <w:b/>
                <w:sz w:val="18"/>
              </w:rPr>
              <w:t>Document (author/organization and title)</w:t>
            </w:r>
          </w:p>
        </w:tc>
        <w:tc>
          <w:tcPr>
            <w:tcW w:w="936" w:type="dxa"/>
            <w:shd w:val="clear" w:color="auto" w:fill="D9EAF7"/>
          </w:tcPr>
          <w:p w:rsidR="0035602A" w:rsidRDefault="0035602A" w:rsidP="007B1C73">
            <w:pPr>
              <w:spacing w:after="60" w:line="252" w:lineRule="auto"/>
            </w:pPr>
            <w:r>
              <w:rPr>
                <w:b/>
                <w:sz w:val="18"/>
              </w:rPr>
              <w:t>Year</w:t>
            </w:r>
          </w:p>
        </w:tc>
        <w:tc>
          <w:tcPr>
            <w:tcW w:w="2232" w:type="dxa"/>
            <w:shd w:val="clear" w:color="auto" w:fill="D9EAF7"/>
          </w:tcPr>
          <w:p w:rsidR="0035602A" w:rsidRDefault="0035602A" w:rsidP="007B1C73">
            <w:pPr>
              <w:spacing w:after="60" w:line="252" w:lineRule="auto"/>
            </w:pPr>
            <w:r>
              <w:rPr>
                <w:b/>
                <w:sz w:val="18"/>
              </w:rPr>
              <w:t>Source / publisher</w:t>
            </w:r>
          </w:p>
        </w:tc>
        <w:tc>
          <w:tcPr>
            <w:tcW w:w="1944" w:type="dxa"/>
            <w:shd w:val="clear" w:color="auto" w:fill="D9EAF7"/>
          </w:tcPr>
          <w:p w:rsidR="0035602A" w:rsidRDefault="0035602A" w:rsidP="007B1C73">
            <w:pPr>
              <w:spacing w:after="60" w:line="252" w:lineRule="auto"/>
            </w:pPr>
            <w:r>
              <w:rPr>
                <w:b/>
                <w:sz w:val="18"/>
              </w:rPr>
              <w:t>Document type</w:t>
            </w:r>
          </w:p>
        </w:tc>
        <w:tc>
          <w:tcPr>
            <w:tcW w:w="5256" w:type="dxa"/>
            <w:shd w:val="clear" w:color="auto" w:fill="D9EAF7"/>
          </w:tcPr>
          <w:p w:rsidR="0035602A" w:rsidRDefault="0035602A" w:rsidP="007B1C73">
            <w:pPr>
              <w:spacing w:after="60" w:line="252" w:lineRule="auto"/>
            </w:pPr>
            <w:r>
              <w:rPr>
                <w:b/>
                <w:sz w:val="18"/>
              </w:rPr>
              <w:t>Relevance to the study and cited for which reason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w:t>
            </w:r>
          </w:p>
        </w:tc>
        <w:tc>
          <w:tcPr>
            <w:tcW w:w="3672" w:type="dxa"/>
          </w:tcPr>
          <w:p w:rsidR="0035602A" w:rsidRDefault="0035602A" w:rsidP="007B1C73">
            <w:pPr>
              <w:spacing w:after="60" w:line="252" w:lineRule="auto"/>
            </w:pPr>
            <w:r>
              <w:rPr>
                <w:sz w:val="18"/>
              </w:rPr>
              <w:t>International Energy Agency, Oil Market Report—March 2026</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International Energy Agency</w:t>
            </w:r>
          </w:p>
        </w:tc>
        <w:tc>
          <w:tcPr>
            <w:tcW w:w="1944" w:type="dxa"/>
          </w:tcPr>
          <w:p w:rsidR="0035602A" w:rsidRDefault="0035602A" w:rsidP="007B1C73">
            <w:pPr>
              <w:spacing w:after="60" w:line="252" w:lineRule="auto"/>
            </w:pPr>
            <w:r>
              <w:rPr>
                <w:sz w:val="18"/>
              </w:rPr>
              <w:t>Intergovernmental market report</w:t>
            </w:r>
          </w:p>
        </w:tc>
        <w:tc>
          <w:tcPr>
            <w:tcW w:w="5256" w:type="dxa"/>
          </w:tcPr>
          <w:p w:rsidR="0035602A" w:rsidRDefault="0035602A" w:rsidP="007B1C73">
            <w:pPr>
              <w:spacing w:after="60" w:line="252" w:lineRule="auto"/>
            </w:pPr>
            <w:r>
              <w:rPr>
                <w:sz w:val="18"/>
              </w:rPr>
              <w:t>Cited for documents the 28 February outbreak, tanker-flow disruption and initial global oil-market response.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w:t>
            </w:r>
          </w:p>
        </w:tc>
        <w:tc>
          <w:tcPr>
            <w:tcW w:w="3672" w:type="dxa"/>
          </w:tcPr>
          <w:p w:rsidR="0035602A" w:rsidRDefault="0035602A" w:rsidP="007B1C73">
            <w:pPr>
              <w:spacing w:after="60" w:line="252" w:lineRule="auto"/>
            </w:pPr>
            <w:r>
              <w:rPr>
                <w:sz w:val="18"/>
              </w:rPr>
              <w:t>International Energy Agency, How global oil supplies have readjusted to help fill the huge gap left by the Strait of Hormuz shock</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International Energy Agency</w:t>
            </w:r>
          </w:p>
        </w:tc>
        <w:tc>
          <w:tcPr>
            <w:tcW w:w="1944" w:type="dxa"/>
          </w:tcPr>
          <w:p w:rsidR="0035602A" w:rsidRDefault="0035602A" w:rsidP="007B1C73">
            <w:pPr>
              <w:spacing w:after="60" w:line="252" w:lineRule="auto"/>
            </w:pPr>
            <w:r>
              <w:rPr>
                <w:sz w:val="18"/>
              </w:rPr>
              <w:t>Analytical commentary</w:t>
            </w:r>
          </w:p>
        </w:tc>
        <w:tc>
          <w:tcPr>
            <w:tcW w:w="5256" w:type="dxa"/>
          </w:tcPr>
          <w:p w:rsidR="0035602A" w:rsidRDefault="0035602A" w:rsidP="007B1C73">
            <w:pPr>
              <w:spacing w:after="60" w:line="252" w:lineRule="auto"/>
            </w:pPr>
            <w:r>
              <w:rPr>
                <w:sz w:val="18"/>
              </w:rPr>
              <w:t>Cited for supports evidence on flow recovery, inventories, alternative routes and the scale of the disruption.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3</w:t>
            </w:r>
          </w:p>
        </w:tc>
        <w:tc>
          <w:tcPr>
            <w:tcW w:w="3672" w:type="dxa"/>
          </w:tcPr>
          <w:p w:rsidR="0035602A" w:rsidRDefault="0035602A" w:rsidP="007B1C73">
            <w:pPr>
              <w:spacing w:after="60" w:line="252" w:lineRule="auto"/>
            </w:pPr>
            <w:r>
              <w:rPr>
                <w:sz w:val="18"/>
              </w:rPr>
              <w:t>Ministry of Petroleum and Natural Gas, India’s reliance on imported oil</w:t>
            </w:r>
          </w:p>
        </w:tc>
        <w:tc>
          <w:tcPr>
            <w:tcW w:w="936" w:type="dxa"/>
          </w:tcPr>
          <w:p w:rsidR="0035602A" w:rsidRDefault="0035602A" w:rsidP="007B1C73">
            <w:pPr>
              <w:spacing w:after="60" w:line="252" w:lineRule="auto"/>
            </w:pPr>
            <w:r>
              <w:rPr>
                <w:sz w:val="18"/>
              </w:rPr>
              <w:t>2024</w:t>
            </w:r>
          </w:p>
        </w:tc>
        <w:tc>
          <w:tcPr>
            <w:tcW w:w="2232" w:type="dxa"/>
          </w:tcPr>
          <w:p w:rsidR="0035602A" w:rsidRDefault="0035602A" w:rsidP="007B1C73">
            <w:pPr>
              <w:spacing w:after="60" w:line="252" w:lineRule="auto"/>
            </w:pPr>
            <w:r>
              <w:rPr>
                <w:sz w:val="18"/>
              </w:rPr>
              <w:t>Government of India / Parliament of India</w:t>
            </w:r>
          </w:p>
        </w:tc>
        <w:tc>
          <w:tcPr>
            <w:tcW w:w="1944" w:type="dxa"/>
          </w:tcPr>
          <w:p w:rsidR="0035602A" w:rsidRDefault="0035602A" w:rsidP="007B1C73">
            <w:pPr>
              <w:spacing w:after="60" w:line="252" w:lineRule="auto"/>
            </w:pPr>
            <w:r>
              <w:rPr>
                <w:sz w:val="18"/>
              </w:rPr>
              <w:t>Parliamentary document</w:t>
            </w:r>
          </w:p>
        </w:tc>
        <w:tc>
          <w:tcPr>
            <w:tcW w:w="5256" w:type="dxa"/>
          </w:tcPr>
          <w:p w:rsidR="0035602A" w:rsidRDefault="0035602A" w:rsidP="007B1C73">
            <w:pPr>
              <w:spacing w:after="60" w:line="252" w:lineRule="auto"/>
            </w:pPr>
            <w:r>
              <w:rPr>
                <w:sz w:val="18"/>
              </w:rPr>
              <w:t>Cited for provides the baseline and trend for India’s crude-oil import dependence.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4</w:t>
            </w:r>
          </w:p>
        </w:tc>
        <w:tc>
          <w:tcPr>
            <w:tcW w:w="3672" w:type="dxa"/>
          </w:tcPr>
          <w:p w:rsidR="0035602A" w:rsidRDefault="0035602A" w:rsidP="007B1C73">
            <w:pPr>
              <w:spacing w:after="60" w:line="252" w:lineRule="auto"/>
            </w:pPr>
            <w:r>
              <w:rPr>
                <w:sz w:val="18"/>
              </w:rPr>
              <w:t>Wright Research, Is India in an oil &amp; gas crisis? Iran war &amp; Strait of Hormuz disruption</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Wright Research</w:t>
            </w:r>
          </w:p>
        </w:tc>
        <w:tc>
          <w:tcPr>
            <w:tcW w:w="1944" w:type="dxa"/>
          </w:tcPr>
          <w:p w:rsidR="0035602A" w:rsidRDefault="0035602A" w:rsidP="007B1C73">
            <w:pPr>
              <w:spacing w:after="60" w:line="252" w:lineRule="auto"/>
            </w:pPr>
            <w:r>
              <w:rPr>
                <w:sz w:val="18"/>
              </w:rPr>
              <w:t>Financial/analyst research</w:t>
            </w:r>
          </w:p>
        </w:tc>
        <w:tc>
          <w:tcPr>
            <w:tcW w:w="5256" w:type="dxa"/>
          </w:tcPr>
          <w:p w:rsidR="0035602A" w:rsidRDefault="0035602A" w:rsidP="007B1C73">
            <w:pPr>
              <w:spacing w:after="60" w:line="252" w:lineRule="auto"/>
            </w:pPr>
            <w:r>
              <w:rPr>
                <w:sz w:val="18"/>
              </w:rPr>
              <w:t>Cited for provides provisional estimates of India’s crude, LNG and LPG exposure to the Strait of Hormuz.</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5</w:t>
            </w:r>
          </w:p>
        </w:tc>
        <w:tc>
          <w:tcPr>
            <w:tcW w:w="3672" w:type="dxa"/>
          </w:tcPr>
          <w:p w:rsidR="0035602A" w:rsidRDefault="0035602A" w:rsidP="007B1C73">
            <w:pPr>
              <w:spacing w:after="60" w:line="252" w:lineRule="auto"/>
            </w:pPr>
            <w:r>
              <w:rPr>
                <w:sz w:val="18"/>
              </w:rPr>
              <w:t>Petroleum Planning &amp; Analysis Cell, Retail selling price and price build-up of petrol, diesel and domestic LPG</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Ministry of Petroleum &amp; Natural Gas, Government of India</w:t>
            </w:r>
          </w:p>
        </w:tc>
        <w:tc>
          <w:tcPr>
            <w:tcW w:w="1944" w:type="dxa"/>
          </w:tcPr>
          <w:p w:rsidR="0035602A" w:rsidRDefault="0035602A" w:rsidP="007B1C73">
            <w:pPr>
              <w:spacing w:after="60" w:line="252" w:lineRule="auto"/>
            </w:pPr>
            <w:r>
              <w:rPr>
                <w:sz w:val="18"/>
              </w:rPr>
              <w:t>Official statistics</w:t>
            </w:r>
          </w:p>
        </w:tc>
        <w:tc>
          <w:tcPr>
            <w:tcW w:w="5256" w:type="dxa"/>
          </w:tcPr>
          <w:p w:rsidR="0035602A" w:rsidRDefault="0035602A" w:rsidP="007B1C73">
            <w:pPr>
              <w:spacing w:after="60" w:line="252" w:lineRule="auto"/>
            </w:pPr>
            <w:r>
              <w:rPr>
                <w:sz w:val="18"/>
              </w:rPr>
              <w:t>Cited for provides official retail-price evidence for petrol, diesel and domestic LPG.</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6</w:t>
            </w:r>
          </w:p>
        </w:tc>
        <w:tc>
          <w:tcPr>
            <w:tcW w:w="3672" w:type="dxa"/>
          </w:tcPr>
          <w:p w:rsidR="0035602A" w:rsidRDefault="0035602A" w:rsidP="007B1C73">
            <w:pPr>
              <w:spacing w:after="60" w:line="252" w:lineRule="auto"/>
            </w:pPr>
            <w:r>
              <w:rPr>
                <w:sz w:val="18"/>
              </w:rPr>
              <w:t>Gupta &amp; Tiwary, The fiscal cost of holding down fuel prices in India after the Middle East war</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Indian Council for Research on International Economic Relations</w:t>
            </w:r>
          </w:p>
        </w:tc>
        <w:tc>
          <w:tcPr>
            <w:tcW w:w="1944" w:type="dxa"/>
          </w:tcPr>
          <w:p w:rsidR="0035602A" w:rsidRDefault="0035602A" w:rsidP="007B1C73">
            <w:pPr>
              <w:spacing w:after="60" w:line="252" w:lineRule="auto"/>
            </w:pPr>
            <w:r>
              <w:rPr>
                <w:sz w:val="18"/>
              </w:rPr>
              <w:t>Policy brief</w:t>
            </w:r>
          </w:p>
        </w:tc>
        <w:tc>
          <w:tcPr>
            <w:tcW w:w="5256" w:type="dxa"/>
          </w:tcPr>
          <w:p w:rsidR="0035602A" w:rsidRDefault="0035602A" w:rsidP="007B1C73">
            <w:pPr>
              <w:spacing w:after="60" w:line="252" w:lineRule="auto"/>
            </w:pPr>
            <w:r>
              <w:rPr>
                <w:sz w:val="18"/>
              </w:rPr>
              <w:t>Cited for provides the modeled fiscal-shielding estimate and its stated assumptions.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7</w:t>
            </w:r>
          </w:p>
        </w:tc>
        <w:tc>
          <w:tcPr>
            <w:tcW w:w="3672" w:type="dxa"/>
          </w:tcPr>
          <w:p w:rsidR="0035602A" w:rsidRDefault="0035602A" w:rsidP="007B1C73">
            <w:pPr>
              <w:spacing w:after="60" w:line="252" w:lineRule="auto"/>
            </w:pPr>
            <w:r>
              <w:rPr>
                <w:sz w:val="18"/>
              </w:rPr>
              <w:t>Lok Sabha Secretariat, LPG price increase by OMCs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Parliament of India</w:t>
            </w:r>
          </w:p>
        </w:tc>
        <w:tc>
          <w:tcPr>
            <w:tcW w:w="1944" w:type="dxa"/>
          </w:tcPr>
          <w:p w:rsidR="0035602A" w:rsidRDefault="0035602A" w:rsidP="007B1C73">
            <w:pPr>
              <w:spacing w:after="60" w:line="252" w:lineRule="auto"/>
            </w:pPr>
            <w:r>
              <w:rPr>
                <w:sz w:val="18"/>
              </w:rPr>
              <w:t>Parliamentary question and answer</w:t>
            </w:r>
          </w:p>
        </w:tc>
        <w:tc>
          <w:tcPr>
            <w:tcW w:w="5256" w:type="dxa"/>
          </w:tcPr>
          <w:p w:rsidR="0035602A" w:rsidRDefault="0035602A" w:rsidP="007B1C73">
            <w:pPr>
              <w:spacing w:after="60" w:line="252" w:lineRule="auto"/>
            </w:pPr>
            <w:r>
              <w:rPr>
                <w:sz w:val="18"/>
              </w:rPr>
              <w:t>Cited for provides the official LPG price increase, commercial-cylinder change and PMUY subsidy details.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8</w:t>
            </w:r>
          </w:p>
        </w:tc>
        <w:tc>
          <w:tcPr>
            <w:tcW w:w="3672" w:type="dxa"/>
          </w:tcPr>
          <w:p w:rsidR="0035602A" w:rsidRDefault="0035602A" w:rsidP="007B1C73">
            <w:pPr>
              <w:spacing w:after="60" w:line="252" w:lineRule="auto"/>
            </w:pPr>
            <w:r>
              <w:rPr>
                <w:sz w:val="18"/>
              </w:rPr>
              <w:t>Sharma &amp; Lau, Securing the flow: Maritime energy resilience under correlated and decision-dependent disruptions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proofErr w:type="spellStart"/>
            <w:r>
              <w:rPr>
                <w:sz w:val="18"/>
              </w:rPr>
              <w:t>arXiv</w:t>
            </w:r>
            <w:proofErr w:type="spellEnd"/>
          </w:p>
        </w:tc>
        <w:tc>
          <w:tcPr>
            <w:tcW w:w="1944" w:type="dxa"/>
          </w:tcPr>
          <w:p w:rsidR="0035602A" w:rsidRDefault="0035602A" w:rsidP="007B1C73">
            <w:pPr>
              <w:spacing w:after="60" w:line="252" w:lineRule="auto"/>
            </w:pPr>
            <w:r>
              <w:rPr>
                <w:sz w:val="18"/>
              </w:rPr>
              <w:t>Research preprint / stochastic network model</w:t>
            </w:r>
          </w:p>
        </w:tc>
        <w:tc>
          <w:tcPr>
            <w:tcW w:w="5256" w:type="dxa"/>
          </w:tcPr>
          <w:p w:rsidR="0035602A" w:rsidRDefault="0035602A" w:rsidP="007B1C73">
            <w:pPr>
              <w:spacing w:after="60" w:line="252" w:lineRule="auto"/>
            </w:pPr>
            <w:r>
              <w:rPr>
                <w:sz w:val="18"/>
              </w:rPr>
              <w:t>Cited for provides India-specific maritime resilience evidence and identifies LPG as particularly exposed.</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9</w:t>
            </w:r>
          </w:p>
        </w:tc>
        <w:tc>
          <w:tcPr>
            <w:tcW w:w="3672" w:type="dxa"/>
          </w:tcPr>
          <w:p w:rsidR="0035602A" w:rsidRDefault="0035602A" w:rsidP="007B1C73">
            <w:pPr>
              <w:spacing w:after="60" w:line="252" w:lineRule="auto"/>
            </w:pPr>
            <w:r>
              <w:rPr>
                <w:sz w:val="18"/>
              </w:rPr>
              <w:t>Council on Energy, Environment and Water, Access to clean cooking energy and electricity: Survey of states (ACCESS 2015)</w:t>
            </w:r>
          </w:p>
        </w:tc>
        <w:tc>
          <w:tcPr>
            <w:tcW w:w="936" w:type="dxa"/>
          </w:tcPr>
          <w:p w:rsidR="0035602A" w:rsidRDefault="0035602A" w:rsidP="007B1C73">
            <w:pPr>
              <w:spacing w:after="60" w:line="252" w:lineRule="auto"/>
            </w:pPr>
            <w:r>
              <w:rPr>
                <w:sz w:val="18"/>
              </w:rPr>
              <w:t>2015</w:t>
            </w:r>
          </w:p>
        </w:tc>
        <w:tc>
          <w:tcPr>
            <w:tcW w:w="2232" w:type="dxa"/>
          </w:tcPr>
          <w:p w:rsidR="0035602A" w:rsidRDefault="0035602A" w:rsidP="007B1C73">
            <w:pPr>
              <w:spacing w:after="60" w:line="252" w:lineRule="auto"/>
            </w:pPr>
            <w:r>
              <w:rPr>
                <w:sz w:val="18"/>
              </w:rPr>
              <w:t>Council on Energy, Environment and Water</w:t>
            </w:r>
          </w:p>
        </w:tc>
        <w:tc>
          <w:tcPr>
            <w:tcW w:w="1944" w:type="dxa"/>
          </w:tcPr>
          <w:p w:rsidR="0035602A" w:rsidRDefault="0035602A" w:rsidP="007B1C73">
            <w:pPr>
              <w:spacing w:after="60" w:line="252" w:lineRule="auto"/>
            </w:pPr>
            <w:r>
              <w:rPr>
                <w:sz w:val="18"/>
              </w:rPr>
              <w:t>Survey report</w:t>
            </w:r>
          </w:p>
        </w:tc>
        <w:tc>
          <w:tcPr>
            <w:tcW w:w="5256" w:type="dxa"/>
          </w:tcPr>
          <w:p w:rsidR="0035602A" w:rsidRDefault="0035602A" w:rsidP="007B1C73">
            <w:pPr>
              <w:spacing w:after="60" w:line="252" w:lineRule="auto"/>
            </w:pPr>
            <w:r>
              <w:rPr>
                <w:sz w:val="18"/>
              </w:rPr>
              <w:t>Cited for provides the baseline for geographic clean-cooking vulnerability and monitoring design.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lastRenderedPageBreak/>
              <w:t>10</w:t>
            </w:r>
          </w:p>
        </w:tc>
        <w:tc>
          <w:tcPr>
            <w:tcW w:w="3672" w:type="dxa"/>
          </w:tcPr>
          <w:p w:rsidR="0035602A" w:rsidRDefault="0035602A" w:rsidP="007B1C73">
            <w:pPr>
              <w:spacing w:after="60" w:line="252" w:lineRule="auto"/>
            </w:pPr>
            <w:r>
              <w:rPr>
                <w:sz w:val="18"/>
              </w:rPr>
              <w:t>Zhang et al., Oil price shocks reveal unequal capacities for mobility adaptation</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proofErr w:type="spellStart"/>
            <w:r>
              <w:rPr>
                <w:sz w:val="18"/>
              </w:rPr>
              <w:t>arXiv</w:t>
            </w:r>
            <w:proofErr w:type="spellEnd"/>
          </w:p>
        </w:tc>
        <w:tc>
          <w:tcPr>
            <w:tcW w:w="1944" w:type="dxa"/>
          </w:tcPr>
          <w:p w:rsidR="0035602A" w:rsidRDefault="0035602A" w:rsidP="007B1C73">
            <w:pPr>
              <w:spacing w:after="60" w:line="252" w:lineRule="auto"/>
            </w:pPr>
            <w:r>
              <w:rPr>
                <w:sz w:val="18"/>
              </w:rPr>
              <w:t>Research preprint / natural experiment</w:t>
            </w:r>
          </w:p>
        </w:tc>
        <w:tc>
          <w:tcPr>
            <w:tcW w:w="5256" w:type="dxa"/>
          </w:tcPr>
          <w:p w:rsidR="0035602A" w:rsidRDefault="0035602A" w:rsidP="007B1C73">
            <w:pPr>
              <w:spacing w:after="60" w:line="252" w:lineRule="auto"/>
            </w:pPr>
            <w:r>
              <w:rPr>
                <w:sz w:val="18"/>
              </w:rPr>
              <w:t>Cited for provides evidence of heterogeneous mobility responses to the 2026 oil-price shock.</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11</w:t>
            </w:r>
          </w:p>
        </w:tc>
        <w:tc>
          <w:tcPr>
            <w:tcW w:w="3672" w:type="dxa"/>
          </w:tcPr>
          <w:p w:rsidR="0035602A" w:rsidRDefault="0035602A" w:rsidP="007B1C73">
            <w:pPr>
              <w:spacing w:after="60" w:line="252" w:lineRule="auto"/>
            </w:pPr>
            <w:r>
              <w:rPr>
                <w:sz w:val="18"/>
              </w:rPr>
              <w:t>Congressional Research Service, Iran conflict and the Strait of Hormuz: Oil and gas market impacts</w:t>
            </w:r>
          </w:p>
        </w:tc>
        <w:tc>
          <w:tcPr>
            <w:tcW w:w="936" w:type="dxa"/>
          </w:tcPr>
          <w:p w:rsidR="0035602A" w:rsidRDefault="0035602A" w:rsidP="007B1C73">
            <w:pPr>
              <w:spacing w:after="60" w:line="252" w:lineRule="auto"/>
            </w:pPr>
            <w:r>
              <w:rPr>
                <w:sz w:val="18"/>
              </w:rPr>
              <w:t>2025</w:t>
            </w:r>
          </w:p>
        </w:tc>
        <w:tc>
          <w:tcPr>
            <w:tcW w:w="2232" w:type="dxa"/>
          </w:tcPr>
          <w:p w:rsidR="0035602A" w:rsidRDefault="0035602A" w:rsidP="007B1C73">
            <w:pPr>
              <w:spacing w:after="60" w:line="252" w:lineRule="auto"/>
            </w:pPr>
            <w:r>
              <w:rPr>
                <w:sz w:val="18"/>
              </w:rPr>
              <w:t>U.S. Congress / Library of Congress</w:t>
            </w:r>
          </w:p>
        </w:tc>
        <w:tc>
          <w:tcPr>
            <w:tcW w:w="1944" w:type="dxa"/>
          </w:tcPr>
          <w:p w:rsidR="0035602A" w:rsidRDefault="0035602A" w:rsidP="007B1C73">
            <w:pPr>
              <w:spacing w:after="60" w:line="252" w:lineRule="auto"/>
            </w:pPr>
            <w:r>
              <w:rPr>
                <w:sz w:val="18"/>
              </w:rPr>
              <w:t>Government research report</w:t>
            </w:r>
          </w:p>
        </w:tc>
        <w:tc>
          <w:tcPr>
            <w:tcW w:w="5256" w:type="dxa"/>
          </w:tcPr>
          <w:p w:rsidR="0035602A" w:rsidRDefault="0035602A" w:rsidP="007B1C73">
            <w:pPr>
              <w:spacing w:after="60" w:line="252" w:lineRule="auto"/>
            </w:pPr>
            <w:r>
              <w:rPr>
                <w:sz w:val="18"/>
              </w:rPr>
              <w:t>Cited for provides background on the Strait as a global oil and LNG chokepoint.</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12</w:t>
            </w:r>
          </w:p>
        </w:tc>
        <w:tc>
          <w:tcPr>
            <w:tcW w:w="3672" w:type="dxa"/>
          </w:tcPr>
          <w:p w:rsidR="0035602A" w:rsidRDefault="0035602A" w:rsidP="007B1C73">
            <w:pPr>
              <w:spacing w:after="60" w:line="252" w:lineRule="auto"/>
            </w:pPr>
            <w:r>
              <w:rPr>
                <w:sz w:val="18"/>
              </w:rPr>
              <w:t>Business Standard, Iran shutting Strait of Hormuz to hit Indian economy</w:t>
            </w:r>
          </w:p>
        </w:tc>
        <w:tc>
          <w:tcPr>
            <w:tcW w:w="936" w:type="dxa"/>
          </w:tcPr>
          <w:p w:rsidR="0035602A" w:rsidRDefault="0035602A" w:rsidP="007B1C73">
            <w:pPr>
              <w:spacing w:after="60" w:line="252" w:lineRule="auto"/>
            </w:pPr>
            <w:r>
              <w:rPr>
                <w:sz w:val="18"/>
              </w:rPr>
              <w:t>2025</w:t>
            </w:r>
          </w:p>
        </w:tc>
        <w:tc>
          <w:tcPr>
            <w:tcW w:w="2232" w:type="dxa"/>
          </w:tcPr>
          <w:p w:rsidR="0035602A" w:rsidRDefault="0035602A" w:rsidP="007B1C73">
            <w:pPr>
              <w:spacing w:after="60" w:line="252" w:lineRule="auto"/>
            </w:pPr>
            <w:r>
              <w:rPr>
                <w:sz w:val="18"/>
              </w:rPr>
              <w:t>Business Standard / Deccan Herald syndication</w:t>
            </w:r>
          </w:p>
        </w:tc>
        <w:tc>
          <w:tcPr>
            <w:tcW w:w="1944" w:type="dxa"/>
          </w:tcPr>
          <w:p w:rsidR="0035602A" w:rsidRDefault="0035602A" w:rsidP="007B1C73">
            <w:pPr>
              <w:spacing w:after="60" w:line="252" w:lineRule="auto"/>
            </w:pPr>
            <w:r>
              <w:rPr>
                <w:sz w:val="18"/>
              </w:rPr>
              <w:t>Media report</w:t>
            </w:r>
          </w:p>
        </w:tc>
        <w:tc>
          <w:tcPr>
            <w:tcW w:w="5256" w:type="dxa"/>
          </w:tcPr>
          <w:p w:rsidR="0035602A" w:rsidRDefault="0035602A" w:rsidP="007B1C73">
            <w:pPr>
              <w:spacing w:after="60" w:line="252" w:lineRule="auto"/>
            </w:pPr>
            <w:r>
              <w:rPr>
                <w:sz w:val="18"/>
              </w:rPr>
              <w:t>Cited for provides pre-2026 contextual reporting on perceived closure risk; not used for 2026 quantitative magnitudes.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13</w:t>
            </w:r>
          </w:p>
        </w:tc>
        <w:tc>
          <w:tcPr>
            <w:tcW w:w="3672" w:type="dxa"/>
          </w:tcPr>
          <w:p w:rsidR="0035602A" w:rsidRDefault="0035602A" w:rsidP="007B1C73">
            <w:pPr>
              <w:spacing w:after="60" w:line="252" w:lineRule="auto"/>
            </w:pPr>
            <w:r>
              <w:rPr>
                <w:sz w:val="18"/>
              </w:rPr>
              <w:t>Sahai, India’s oil security strategy: Structural vulnerabilities and strategic choices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Carnegie Endowment for International Peace</w:t>
            </w:r>
          </w:p>
        </w:tc>
        <w:tc>
          <w:tcPr>
            <w:tcW w:w="1944" w:type="dxa"/>
          </w:tcPr>
          <w:p w:rsidR="0035602A" w:rsidRDefault="0035602A" w:rsidP="007B1C73">
            <w:pPr>
              <w:spacing w:after="60" w:line="252" w:lineRule="auto"/>
            </w:pPr>
            <w:r>
              <w:rPr>
                <w:sz w:val="18"/>
              </w:rPr>
              <w:t>Policy research</w:t>
            </w:r>
          </w:p>
        </w:tc>
        <w:tc>
          <w:tcPr>
            <w:tcW w:w="5256" w:type="dxa"/>
          </w:tcPr>
          <w:p w:rsidR="0035602A" w:rsidRDefault="0035602A" w:rsidP="007B1C73">
            <w:pPr>
              <w:spacing w:after="60" w:line="252" w:lineRule="auto"/>
            </w:pPr>
            <w:r>
              <w:rPr>
                <w:sz w:val="18"/>
              </w:rPr>
              <w:t>Cited for supports the analysis of supplier diversification, sanctions exposure, reserves and refinery compatibility.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14</w:t>
            </w:r>
          </w:p>
        </w:tc>
        <w:tc>
          <w:tcPr>
            <w:tcW w:w="3672" w:type="dxa"/>
          </w:tcPr>
          <w:p w:rsidR="0035602A" w:rsidRDefault="0035602A" w:rsidP="007B1C73">
            <w:pPr>
              <w:spacing w:after="60" w:line="252" w:lineRule="auto"/>
            </w:pPr>
            <w:r>
              <w:rPr>
                <w:sz w:val="18"/>
              </w:rPr>
              <w:t xml:space="preserve">Argus Media, India to </w:t>
            </w:r>
            <w:proofErr w:type="spellStart"/>
            <w:r>
              <w:rPr>
                <w:sz w:val="18"/>
              </w:rPr>
              <w:t>commercialise</w:t>
            </w:r>
            <w:proofErr w:type="spellEnd"/>
            <w:r>
              <w:rPr>
                <w:sz w:val="18"/>
              </w:rPr>
              <w:t xml:space="preserve"> strategic oil reserve capacity</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Argus Media</w:t>
            </w:r>
          </w:p>
        </w:tc>
        <w:tc>
          <w:tcPr>
            <w:tcW w:w="1944" w:type="dxa"/>
          </w:tcPr>
          <w:p w:rsidR="0035602A" w:rsidRDefault="0035602A" w:rsidP="007B1C73">
            <w:pPr>
              <w:spacing w:after="60" w:line="252" w:lineRule="auto"/>
            </w:pPr>
            <w:r>
              <w:rPr>
                <w:sz w:val="18"/>
              </w:rPr>
              <w:t>Industry news / market report</w:t>
            </w:r>
          </w:p>
        </w:tc>
        <w:tc>
          <w:tcPr>
            <w:tcW w:w="5256" w:type="dxa"/>
          </w:tcPr>
          <w:p w:rsidR="0035602A" w:rsidRDefault="0035602A" w:rsidP="007B1C73">
            <w:pPr>
              <w:spacing w:after="60" w:line="252" w:lineRule="auto"/>
            </w:pPr>
            <w:r>
              <w:rPr>
                <w:sz w:val="18"/>
              </w:rPr>
              <w:t>Cited for provides evidence on SPR capacity, commercialization and the ADNOC arrangement.</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15</w:t>
            </w:r>
          </w:p>
        </w:tc>
        <w:tc>
          <w:tcPr>
            <w:tcW w:w="3672" w:type="dxa"/>
          </w:tcPr>
          <w:p w:rsidR="0035602A" w:rsidRDefault="0035602A" w:rsidP="007B1C73">
            <w:pPr>
              <w:spacing w:after="60" w:line="252" w:lineRule="auto"/>
            </w:pPr>
            <w:r>
              <w:rPr>
                <w:sz w:val="18"/>
              </w:rPr>
              <w:t>Ministry of Petroleum and Natural Gas, Revised order: Petroleum Products (Maintenance of Production, Storage and Supply) Order, 1999</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Government of India, Ministry of Petroleum and Natural Gas</w:t>
            </w:r>
          </w:p>
        </w:tc>
        <w:tc>
          <w:tcPr>
            <w:tcW w:w="1944" w:type="dxa"/>
          </w:tcPr>
          <w:p w:rsidR="0035602A" w:rsidRDefault="0035602A" w:rsidP="007B1C73">
            <w:pPr>
              <w:spacing w:after="60" w:line="252" w:lineRule="auto"/>
            </w:pPr>
            <w:r>
              <w:rPr>
                <w:sz w:val="18"/>
              </w:rPr>
              <w:t>Government order</w:t>
            </w:r>
          </w:p>
        </w:tc>
        <w:tc>
          <w:tcPr>
            <w:tcW w:w="5256" w:type="dxa"/>
          </w:tcPr>
          <w:p w:rsidR="0035602A" w:rsidRDefault="0035602A" w:rsidP="007B1C73">
            <w:pPr>
              <w:spacing w:after="60" w:line="252" w:lineRule="auto"/>
            </w:pPr>
            <w:r>
              <w:rPr>
                <w:sz w:val="18"/>
              </w:rPr>
              <w:t>Cited for documents the March 2026 intervention to prioritize LPG production and domestic supply.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16</w:t>
            </w:r>
          </w:p>
        </w:tc>
        <w:tc>
          <w:tcPr>
            <w:tcW w:w="3672" w:type="dxa"/>
          </w:tcPr>
          <w:p w:rsidR="0035602A" w:rsidRDefault="0035602A" w:rsidP="007B1C73">
            <w:pPr>
              <w:spacing w:after="60" w:line="252" w:lineRule="auto"/>
            </w:pPr>
            <w:r>
              <w:rPr>
                <w:sz w:val="18"/>
              </w:rPr>
              <w:t>Ministry of Petroleum and Natural Gas, Marketing—Product pricing</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Government of India, Ministry of Petroleum and Natural Gas</w:t>
            </w:r>
          </w:p>
        </w:tc>
        <w:tc>
          <w:tcPr>
            <w:tcW w:w="1944" w:type="dxa"/>
          </w:tcPr>
          <w:p w:rsidR="0035602A" w:rsidRDefault="0035602A" w:rsidP="007B1C73">
            <w:pPr>
              <w:spacing w:after="60" w:line="252" w:lineRule="auto"/>
            </w:pPr>
            <w:r>
              <w:rPr>
                <w:sz w:val="18"/>
              </w:rPr>
              <w:t>Government policy page</w:t>
            </w:r>
          </w:p>
        </w:tc>
        <w:tc>
          <w:tcPr>
            <w:tcW w:w="5256" w:type="dxa"/>
          </w:tcPr>
          <w:p w:rsidR="0035602A" w:rsidRDefault="0035602A" w:rsidP="007B1C73">
            <w:pPr>
              <w:spacing w:after="60" w:line="252" w:lineRule="auto"/>
            </w:pPr>
            <w:r>
              <w:rPr>
                <w:sz w:val="18"/>
              </w:rPr>
              <w:t>Cited for documents the LPG pricing regime and benchmark linkage.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17</w:t>
            </w:r>
          </w:p>
        </w:tc>
        <w:tc>
          <w:tcPr>
            <w:tcW w:w="3672" w:type="dxa"/>
          </w:tcPr>
          <w:p w:rsidR="0035602A" w:rsidRDefault="0035602A" w:rsidP="007B1C73">
            <w:pPr>
              <w:spacing w:after="60" w:line="252" w:lineRule="auto"/>
            </w:pPr>
            <w:r>
              <w:rPr>
                <w:sz w:val="18"/>
              </w:rPr>
              <w:t xml:space="preserve">Indian Express, LPG refill booking rules remain unchanged, </w:t>
            </w:r>
            <w:proofErr w:type="spellStart"/>
            <w:r>
              <w:rPr>
                <w:sz w:val="18"/>
              </w:rPr>
              <w:t>govt</w:t>
            </w:r>
            <w:proofErr w:type="spellEnd"/>
            <w:r>
              <w:rPr>
                <w:sz w:val="18"/>
              </w:rPr>
              <w:t xml:space="preserve"> debunks 45-day timeline claims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The Indian Express</w:t>
            </w:r>
          </w:p>
        </w:tc>
        <w:tc>
          <w:tcPr>
            <w:tcW w:w="1944" w:type="dxa"/>
          </w:tcPr>
          <w:p w:rsidR="0035602A" w:rsidRDefault="0035602A" w:rsidP="007B1C73">
            <w:pPr>
              <w:spacing w:after="60" w:line="252" w:lineRule="auto"/>
            </w:pPr>
            <w:r>
              <w:rPr>
                <w:sz w:val="18"/>
              </w:rPr>
              <w:t>Media report</w:t>
            </w:r>
          </w:p>
        </w:tc>
        <w:tc>
          <w:tcPr>
            <w:tcW w:w="5256" w:type="dxa"/>
          </w:tcPr>
          <w:p w:rsidR="0035602A" w:rsidRDefault="0035602A" w:rsidP="007B1C73">
            <w:pPr>
              <w:spacing w:after="60" w:line="252" w:lineRule="auto"/>
            </w:pPr>
            <w:r>
              <w:rPr>
                <w:sz w:val="18"/>
              </w:rPr>
              <w:t>Cited for documents the official clarification of LPG booking intervals during panic-booking concerns.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18</w:t>
            </w:r>
          </w:p>
        </w:tc>
        <w:tc>
          <w:tcPr>
            <w:tcW w:w="3672" w:type="dxa"/>
          </w:tcPr>
          <w:p w:rsidR="0035602A" w:rsidRDefault="0035602A" w:rsidP="007B1C73">
            <w:pPr>
              <w:spacing w:after="60" w:line="252" w:lineRule="auto"/>
            </w:pPr>
            <w:r>
              <w:rPr>
                <w:sz w:val="18"/>
              </w:rPr>
              <w:t>International Energy Agency, How governments can best support consumers during this energy crisis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r>
              <w:rPr>
                <w:sz w:val="18"/>
              </w:rPr>
              <w:t>International Energy Agency</w:t>
            </w:r>
          </w:p>
        </w:tc>
        <w:tc>
          <w:tcPr>
            <w:tcW w:w="1944" w:type="dxa"/>
          </w:tcPr>
          <w:p w:rsidR="0035602A" w:rsidRDefault="0035602A" w:rsidP="007B1C73">
            <w:pPr>
              <w:spacing w:after="60" w:line="252" w:lineRule="auto"/>
            </w:pPr>
            <w:r>
              <w:rPr>
                <w:sz w:val="18"/>
              </w:rPr>
              <w:t>Policy commentary</w:t>
            </w:r>
          </w:p>
        </w:tc>
        <w:tc>
          <w:tcPr>
            <w:tcW w:w="5256" w:type="dxa"/>
          </w:tcPr>
          <w:p w:rsidR="0035602A" w:rsidRDefault="0035602A" w:rsidP="007B1C73">
            <w:pPr>
              <w:spacing w:after="60" w:line="252" w:lineRule="auto"/>
            </w:pPr>
            <w:r>
              <w:rPr>
                <w:sz w:val="18"/>
              </w:rPr>
              <w:t>Cited for provides international context on emergency stock release and consumer-protection measures.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19</w:t>
            </w:r>
          </w:p>
        </w:tc>
        <w:tc>
          <w:tcPr>
            <w:tcW w:w="3672" w:type="dxa"/>
          </w:tcPr>
          <w:p w:rsidR="0035602A" w:rsidRDefault="0035602A" w:rsidP="007B1C73">
            <w:pPr>
              <w:spacing w:after="60" w:line="252" w:lineRule="auto"/>
            </w:pPr>
            <w:r>
              <w:rPr>
                <w:sz w:val="18"/>
              </w:rPr>
              <w:t>Lok Sabha Secretariat, LPG consumption and PMUY connections</w:t>
            </w:r>
          </w:p>
        </w:tc>
        <w:tc>
          <w:tcPr>
            <w:tcW w:w="936" w:type="dxa"/>
          </w:tcPr>
          <w:p w:rsidR="0035602A" w:rsidRDefault="0035602A" w:rsidP="007B1C73">
            <w:pPr>
              <w:spacing w:after="60" w:line="252" w:lineRule="auto"/>
            </w:pPr>
            <w:r>
              <w:rPr>
                <w:sz w:val="18"/>
              </w:rPr>
              <w:t>2025</w:t>
            </w:r>
          </w:p>
        </w:tc>
        <w:tc>
          <w:tcPr>
            <w:tcW w:w="2232" w:type="dxa"/>
          </w:tcPr>
          <w:p w:rsidR="0035602A" w:rsidRDefault="0035602A" w:rsidP="007B1C73">
            <w:pPr>
              <w:spacing w:after="60" w:line="252" w:lineRule="auto"/>
            </w:pPr>
            <w:r>
              <w:rPr>
                <w:sz w:val="18"/>
              </w:rPr>
              <w:t>Parliament of India</w:t>
            </w:r>
          </w:p>
        </w:tc>
        <w:tc>
          <w:tcPr>
            <w:tcW w:w="1944" w:type="dxa"/>
          </w:tcPr>
          <w:p w:rsidR="0035602A" w:rsidRDefault="0035602A" w:rsidP="007B1C73">
            <w:pPr>
              <w:spacing w:after="60" w:line="252" w:lineRule="auto"/>
            </w:pPr>
            <w:r>
              <w:rPr>
                <w:sz w:val="18"/>
              </w:rPr>
              <w:t>Parliamentary document</w:t>
            </w:r>
          </w:p>
        </w:tc>
        <w:tc>
          <w:tcPr>
            <w:tcW w:w="5256" w:type="dxa"/>
          </w:tcPr>
          <w:p w:rsidR="0035602A" w:rsidRDefault="0035602A" w:rsidP="007B1C73">
            <w:pPr>
              <w:spacing w:after="60" w:line="252" w:lineRule="auto"/>
            </w:pPr>
            <w:r>
              <w:rPr>
                <w:sz w:val="18"/>
              </w:rPr>
              <w:t>Cited for provides the PMUY connection base and subsidy information used in the policy-cost illustration.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20</w:t>
            </w:r>
          </w:p>
        </w:tc>
        <w:tc>
          <w:tcPr>
            <w:tcW w:w="3672" w:type="dxa"/>
          </w:tcPr>
          <w:p w:rsidR="0035602A" w:rsidRDefault="0035602A" w:rsidP="007B1C73">
            <w:pPr>
              <w:spacing w:after="60" w:line="252" w:lineRule="auto"/>
            </w:pPr>
            <w:r>
              <w:rPr>
                <w:sz w:val="18"/>
              </w:rPr>
              <w:t>Mani et al., State of clean cooking energy access in India: Insights from the India Residential Energy Survey (IRES) 2020</w:t>
            </w:r>
          </w:p>
        </w:tc>
        <w:tc>
          <w:tcPr>
            <w:tcW w:w="936" w:type="dxa"/>
          </w:tcPr>
          <w:p w:rsidR="0035602A" w:rsidRDefault="0035602A" w:rsidP="007B1C73">
            <w:pPr>
              <w:spacing w:after="60" w:line="252" w:lineRule="auto"/>
            </w:pPr>
            <w:r>
              <w:rPr>
                <w:sz w:val="18"/>
              </w:rPr>
              <w:t>2021</w:t>
            </w:r>
          </w:p>
        </w:tc>
        <w:tc>
          <w:tcPr>
            <w:tcW w:w="2232" w:type="dxa"/>
          </w:tcPr>
          <w:p w:rsidR="0035602A" w:rsidRDefault="0035602A" w:rsidP="007B1C73">
            <w:pPr>
              <w:spacing w:after="60" w:line="252" w:lineRule="auto"/>
            </w:pPr>
            <w:r>
              <w:rPr>
                <w:sz w:val="18"/>
              </w:rPr>
              <w:t>Council on Energy, Environment and Water</w:t>
            </w:r>
          </w:p>
        </w:tc>
        <w:tc>
          <w:tcPr>
            <w:tcW w:w="1944" w:type="dxa"/>
          </w:tcPr>
          <w:p w:rsidR="0035602A" w:rsidRDefault="0035602A" w:rsidP="007B1C73">
            <w:pPr>
              <w:spacing w:after="60" w:line="252" w:lineRule="auto"/>
            </w:pPr>
            <w:r>
              <w:rPr>
                <w:sz w:val="18"/>
              </w:rPr>
              <w:t>National survey report</w:t>
            </w:r>
          </w:p>
        </w:tc>
        <w:tc>
          <w:tcPr>
            <w:tcW w:w="5256" w:type="dxa"/>
          </w:tcPr>
          <w:p w:rsidR="0035602A" w:rsidRDefault="0035602A" w:rsidP="007B1C73">
            <w:pPr>
              <w:spacing w:after="60" w:line="252" w:lineRule="auto"/>
            </w:pPr>
            <w:r>
              <w:rPr>
                <w:sz w:val="18"/>
              </w:rPr>
              <w:t>Cited for provides evidence on clean-cooking access, fuel stacking and the IRES monitoring baseline.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21</w:t>
            </w:r>
          </w:p>
        </w:tc>
        <w:tc>
          <w:tcPr>
            <w:tcW w:w="3672" w:type="dxa"/>
          </w:tcPr>
          <w:p w:rsidR="0035602A" w:rsidRDefault="0035602A" w:rsidP="007B1C73">
            <w:pPr>
              <w:spacing w:after="60" w:line="252" w:lineRule="auto"/>
            </w:pPr>
            <w:r>
              <w:rPr>
                <w:sz w:val="18"/>
              </w:rPr>
              <w:t xml:space="preserve">Angoori &amp; Kumar, Barriers to </w:t>
            </w:r>
            <w:proofErr w:type="spellStart"/>
            <w:r>
              <w:rPr>
                <w:sz w:val="18"/>
              </w:rPr>
              <w:t>reusage</w:t>
            </w:r>
            <w:proofErr w:type="spellEnd"/>
            <w:r>
              <w:rPr>
                <w:sz w:val="18"/>
              </w:rPr>
              <w:t xml:space="preserve"> and adoption of Pradhan Mantri Ujjwala Yojana</w:t>
            </w:r>
          </w:p>
        </w:tc>
        <w:tc>
          <w:tcPr>
            <w:tcW w:w="936" w:type="dxa"/>
          </w:tcPr>
          <w:p w:rsidR="0035602A" w:rsidRDefault="0035602A" w:rsidP="007B1C73">
            <w:pPr>
              <w:spacing w:after="60" w:line="252" w:lineRule="auto"/>
            </w:pPr>
            <w:r>
              <w:rPr>
                <w:sz w:val="18"/>
              </w:rPr>
              <w:t>2025</w:t>
            </w:r>
          </w:p>
        </w:tc>
        <w:tc>
          <w:tcPr>
            <w:tcW w:w="2232" w:type="dxa"/>
          </w:tcPr>
          <w:p w:rsidR="0035602A" w:rsidRDefault="0035602A" w:rsidP="007B1C73">
            <w:pPr>
              <w:spacing w:after="60" w:line="252" w:lineRule="auto"/>
            </w:pPr>
            <w:r>
              <w:rPr>
                <w:sz w:val="18"/>
              </w:rPr>
              <w:t xml:space="preserve">International Journal of Business Forecasting and Marketing Intelligence / </w:t>
            </w:r>
            <w:proofErr w:type="spellStart"/>
            <w:r>
              <w:rPr>
                <w:sz w:val="18"/>
              </w:rPr>
              <w:t>Inderscience</w:t>
            </w:r>
            <w:proofErr w:type="spellEnd"/>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role of price, access and cooking practices in sustained LPG use.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lastRenderedPageBreak/>
              <w:t>22</w:t>
            </w:r>
          </w:p>
        </w:tc>
        <w:tc>
          <w:tcPr>
            <w:tcW w:w="3672" w:type="dxa"/>
          </w:tcPr>
          <w:p w:rsidR="0035602A" w:rsidRDefault="0035602A" w:rsidP="007B1C73">
            <w:pPr>
              <w:spacing w:after="60" w:line="252" w:lineRule="auto"/>
            </w:pPr>
            <w:r>
              <w:rPr>
                <w:sz w:val="18"/>
              </w:rPr>
              <w:t>Mandal, Bhattacharyya, &amp; Bhoi, Is the oil price pass-through in India any different?</w:t>
            </w:r>
          </w:p>
        </w:tc>
        <w:tc>
          <w:tcPr>
            <w:tcW w:w="936" w:type="dxa"/>
          </w:tcPr>
          <w:p w:rsidR="0035602A" w:rsidRDefault="0035602A" w:rsidP="007B1C73">
            <w:pPr>
              <w:spacing w:after="60" w:line="252" w:lineRule="auto"/>
            </w:pPr>
            <w:r>
              <w:rPr>
                <w:sz w:val="18"/>
              </w:rPr>
              <w:t>2012</w:t>
            </w:r>
          </w:p>
        </w:tc>
        <w:tc>
          <w:tcPr>
            <w:tcW w:w="2232" w:type="dxa"/>
          </w:tcPr>
          <w:p w:rsidR="0035602A" w:rsidRDefault="0035602A" w:rsidP="007B1C73">
            <w:pPr>
              <w:spacing w:after="60" w:line="252" w:lineRule="auto"/>
            </w:pPr>
            <w:r>
              <w:rPr>
                <w:sz w:val="18"/>
              </w:rPr>
              <w:t>Journal of Policy Modeling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discussion of Indian oil-price pass-through and asymmetric adjustment.</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23</w:t>
            </w:r>
          </w:p>
        </w:tc>
        <w:tc>
          <w:tcPr>
            <w:tcW w:w="3672" w:type="dxa"/>
          </w:tcPr>
          <w:p w:rsidR="0035602A" w:rsidRDefault="0035602A" w:rsidP="007B1C73">
            <w:pPr>
              <w:spacing w:after="60" w:line="252" w:lineRule="auto"/>
            </w:pPr>
            <w:r>
              <w:rPr>
                <w:sz w:val="18"/>
              </w:rPr>
              <w:t>Anand, Reforming fossil fuel prices in India: Dilemma of a developing economy</w:t>
            </w:r>
          </w:p>
        </w:tc>
        <w:tc>
          <w:tcPr>
            <w:tcW w:w="936" w:type="dxa"/>
          </w:tcPr>
          <w:p w:rsidR="0035602A" w:rsidRDefault="0035602A" w:rsidP="007B1C73">
            <w:pPr>
              <w:spacing w:after="60" w:line="252" w:lineRule="auto"/>
            </w:pPr>
            <w:r>
              <w:rPr>
                <w:sz w:val="18"/>
              </w:rPr>
              <w:t>2016</w:t>
            </w:r>
          </w:p>
        </w:tc>
        <w:tc>
          <w:tcPr>
            <w:tcW w:w="2232" w:type="dxa"/>
          </w:tcPr>
          <w:p w:rsidR="0035602A" w:rsidRDefault="0035602A" w:rsidP="007B1C73">
            <w:pPr>
              <w:spacing w:after="60" w:line="252" w:lineRule="auto"/>
            </w:pPr>
            <w:r>
              <w:rPr>
                <w:sz w:val="18"/>
              </w:rPr>
              <w:t>Energy Policy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analysis of administered pricing, fiscal effects and price-signal trade-offs.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24</w:t>
            </w:r>
          </w:p>
        </w:tc>
        <w:tc>
          <w:tcPr>
            <w:tcW w:w="3672" w:type="dxa"/>
          </w:tcPr>
          <w:p w:rsidR="0035602A" w:rsidRDefault="0035602A" w:rsidP="007B1C73">
            <w:pPr>
              <w:spacing w:after="60" w:line="252" w:lineRule="auto"/>
            </w:pPr>
            <w:r>
              <w:rPr>
                <w:sz w:val="18"/>
              </w:rPr>
              <w:t xml:space="preserve">Pradeep, Impact of diesel price reforms on </w:t>
            </w:r>
            <w:proofErr w:type="spellStart"/>
            <w:r>
              <w:rPr>
                <w:sz w:val="18"/>
              </w:rPr>
              <w:t>asymmetricity</w:t>
            </w:r>
            <w:proofErr w:type="spellEnd"/>
            <w:r>
              <w:rPr>
                <w:sz w:val="18"/>
              </w:rPr>
              <w:t xml:space="preserve"> of oil price pass-through to inflation: Indian perspective</w:t>
            </w:r>
          </w:p>
        </w:tc>
        <w:tc>
          <w:tcPr>
            <w:tcW w:w="936" w:type="dxa"/>
          </w:tcPr>
          <w:p w:rsidR="0035602A" w:rsidRDefault="0035602A" w:rsidP="007B1C73">
            <w:pPr>
              <w:spacing w:after="60" w:line="252" w:lineRule="auto"/>
            </w:pPr>
            <w:r>
              <w:rPr>
                <w:sz w:val="18"/>
              </w:rPr>
              <w:t>2022</w:t>
            </w:r>
          </w:p>
        </w:tc>
        <w:tc>
          <w:tcPr>
            <w:tcW w:w="2232" w:type="dxa"/>
          </w:tcPr>
          <w:p w:rsidR="0035602A" w:rsidRDefault="0035602A" w:rsidP="007B1C73">
            <w:pPr>
              <w:spacing w:after="60" w:line="252" w:lineRule="auto"/>
            </w:pPr>
            <w:r>
              <w:rPr>
                <w:sz w:val="18"/>
              </w:rPr>
              <w:t>Journal of Economic Asymmetries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historical evidence on asymmetric diesel-price pass-through in India.</w:t>
            </w:r>
          </w:p>
        </w:tc>
      </w:tr>
    </w:tbl>
    <w:p w:rsidR="0035602A" w:rsidRDefault="0035602A" w:rsidP="0035602A">
      <w:pPr>
        <w:keepNext/>
        <w:spacing w:before="240" w:after="160"/>
      </w:pPr>
      <w:r>
        <w:rPr>
          <w:b/>
        </w:rPr>
        <w:t>Appendix: Remaining / Supporting Documents-31</w:t>
      </w:r>
    </w:p>
    <w:tbl>
      <w:tblPr>
        <w:tblStyle w:val="TableGrid"/>
        <w:tblW w:w="0" w:type="auto"/>
        <w:jc w:val="center"/>
        <w:tblLook w:val="04A0"/>
      </w:tblPr>
      <w:tblGrid>
        <w:gridCol w:w="539"/>
        <w:gridCol w:w="2460"/>
        <w:gridCol w:w="714"/>
        <w:gridCol w:w="1614"/>
        <w:gridCol w:w="1436"/>
        <w:gridCol w:w="2813"/>
      </w:tblGrid>
      <w:tr w:rsidR="0035602A" w:rsidTr="007B1C73">
        <w:trPr>
          <w:cantSplit/>
          <w:tblHeader/>
          <w:jc w:val="center"/>
        </w:trPr>
        <w:tc>
          <w:tcPr>
            <w:tcW w:w="648" w:type="dxa"/>
            <w:shd w:val="clear" w:color="auto" w:fill="D9EAF7"/>
          </w:tcPr>
          <w:p w:rsidR="0035602A" w:rsidRDefault="0035602A" w:rsidP="007B1C73">
            <w:pPr>
              <w:spacing w:after="60" w:line="252" w:lineRule="auto"/>
            </w:pPr>
            <w:r>
              <w:rPr>
                <w:b/>
                <w:sz w:val="18"/>
              </w:rPr>
              <w:t>No.</w:t>
            </w:r>
          </w:p>
        </w:tc>
        <w:tc>
          <w:tcPr>
            <w:tcW w:w="3672" w:type="dxa"/>
            <w:shd w:val="clear" w:color="auto" w:fill="D9EAF7"/>
          </w:tcPr>
          <w:p w:rsidR="0035602A" w:rsidRDefault="0035602A" w:rsidP="007B1C73">
            <w:pPr>
              <w:spacing w:after="60" w:line="252" w:lineRule="auto"/>
            </w:pPr>
            <w:r>
              <w:rPr>
                <w:b/>
                <w:sz w:val="18"/>
              </w:rPr>
              <w:t>Document (author/organization and title)</w:t>
            </w:r>
          </w:p>
        </w:tc>
        <w:tc>
          <w:tcPr>
            <w:tcW w:w="936" w:type="dxa"/>
            <w:shd w:val="clear" w:color="auto" w:fill="D9EAF7"/>
          </w:tcPr>
          <w:p w:rsidR="0035602A" w:rsidRDefault="0035602A" w:rsidP="007B1C73">
            <w:pPr>
              <w:spacing w:after="60" w:line="252" w:lineRule="auto"/>
            </w:pPr>
            <w:r>
              <w:rPr>
                <w:b/>
                <w:sz w:val="18"/>
              </w:rPr>
              <w:t>Year</w:t>
            </w:r>
          </w:p>
        </w:tc>
        <w:tc>
          <w:tcPr>
            <w:tcW w:w="2232" w:type="dxa"/>
            <w:shd w:val="clear" w:color="auto" w:fill="D9EAF7"/>
          </w:tcPr>
          <w:p w:rsidR="0035602A" w:rsidRDefault="0035602A" w:rsidP="007B1C73">
            <w:pPr>
              <w:spacing w:after="60" w:line="252" w:lineRule="auto"/>
            </w:pPr>
            <w:r>
              <w:rPr>
                <w:b/>
                <w:sz w:val="18"/>
              </w:rPr>
              <w:t>Source / publisher</w:t>
            </w:r>
          </w:p>
        </w:tc>
        <w:tc>
          <w:tcPr>
            <w:tcW w:w="1944" w:type="dxa"/>
            <w:shd w:val="clear" w:color="auto" w:fill="D9EAF7"/>
          </w:tcPr>
          <w:p w:rsidR="0035602A" w:rsidRDefault="0035602A" w:rsidP="007B1C73">
            <w:pPr>
              <w:spacing w:after="60" w:line="252" w:lineRule="auto"/>
            </w:pPr>
            <w:r>
              <w:rPr>
                <w:b/>
                <w:sz w:val="18"/>
              </w:rPr>
              <w:t>Document type</w:t>
            </w:r>
          </w:p>
        </w:tc>
        <w:tc>
          <w:tcPr>
            <w:tcW w:w="5256" w:type="dxa"/>
            <w:shd w:val="clear" w:color="auto" w:fill="D9EAF7"/>
          </w:tcPr>
          <w:p w:rsidR="0035602A" w:rsidRDefault="0035602A" w:rsidP="007B1C73">
            <w:pPr>
              <w:spacing w:after="60" w:line="252" w:lineRule="auto"/>
            </w:pPr>
            <w:r>
              <w:rPr>
                <w:b/>
                <w:sz w:val="18"/>
              </w:rPr>
              <w:t>Relevance to the study and cited for which reason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w:t>
            </w:r>
          </w:p>
        </w:tc>
        <w:tc>
          <w:tcPr>
            <w:tcW w:w="3672" w:type="dxa"/>
          </w:tcPr>
          <w:p w:rsidR="0035602A" w:rsidRDefault="0035602A" w:rsidP="007B1C73">
            <w:pPr>
              <w:spacing w:after="60" w:line="252" w:lineRule="auto"/>
            </w:pPr>
            <w:r>
              <w:rPr>
                <w:sz w:val="18"/>
              </w:rPr>
              <w:t>Boardman, Fuel poverty: From cold homes to affordable warmth</w:t>
            </w:r>
          </w:p>
        </w:tc>
        <w:tc>
          <w:tcPr>
            <w:tcW w:w="936" w:type="dxa"/>
          </w:tcPr>
          <w:p w:rsidR="0035602A" w:rsidRDefault="0035602A" w:rsidP="007B1C73">
            <w:pPr>
              <w:spacing w:after="60" w:line="252" w:lineRule="auto"/>
            </w:pPr>
            <w:r>
              <w:rPr>
                <w:sz w:val="18"/>
              </w:rPr>
              <w:t>1991</w:t>
            </w:r>
          </w:p>
        </w:tc>
        <w:tc>
          <w:tcPr>
            <w:tcW w:w="2232" w:type="dxa"/>
          </w:tcPr>
          <w:p w:rsidR="0035602A" w:rsidRDefault="0035602A" w:rsidP="007B1C73">
            <w:pPr>
              <w:spacing w:after="60" w:line="252" w:lineRule="auto"/>
            </w:pPr>
            <w:r>
              <w:rPr>
                <w:sz w:val="18"/>
              </w:rPr>
              <w:t>Belhaven Press</w:t>
            </w:r>
          </w:p>
        </w:tc>
        <w:tc>
          <w:tcPr>
            <w:tcW w:w="1944" w:type="dxa"/>
          </w:tcPr>
          <w:p w:rsidR="0035602A" w:rsidRDefault="0035602A" w:rsidP="007B1C73">
            <w:pPr>
              <w:spacing w:after="60" w:line="252" w:lineRule="auto"/>
            </w:pPr>
            <w:r>
              <w:rPr>
                <w:sz w:val="18"/>
              </w:rPr>
              <w:t>Foundational book</w:t>
            </w:r>
          </w:p>
        </w:tc>
        <w:tc>
          <w:tcPr>
            <w:tcW w:w="5256" w:type="dxa"/>
          </w:tcPr>
          <w:p w:rsidR="0035602A" w:rsidRDefault="0035602A" w:rsidP="007B1C73">
            <w:pPr>
              <w:spacing w:after="60" w:line="252" w:lineRule="auto"/>
            </w:pPr>
            <w:r>
              <w:rPr>
                <w:sz w:val="18"/>
              </w:rPr>
              <w:t>Cited for provides the core fuel-poverty framework adapted to LPG-refill affordability.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w:t>
            </w:r>
          </w:p>
        </w:tc>
        <w:tc>
          <w:tcPr>
            <w:tcW w:w="3672" w:type="dxa"/>
          </w:tcPr>
          <w:p w:rsidR="0035602A" w:rsidRDefault="0035602A" w:rsidP="007B1C73">
            <w:pPr>
              <w:spacing w:after="60" w:line="252" w:lineRule="auto"/>
            </w:pPr>
            <w:r>
              <w:rPr>
                <w:sz w:val="18"/>
              </w:rPr>
              <w:t>Christopher &amp; Peck, Building the resilient supply chain</w:t>
            </w:r>
          </w:p>
        </w:tc>
        <w:tc>
          <w:tcPr>
            <w:tcW w:w="936" w:type="dxa"/>
          </w:tcPr>
          <w:p w:rsidR="0035602A" w:rsidRDefault="0035602A" w:rsidP="007B1C73">
            <w:pPr>
              <w:spacing w:after="60" w:line="252" w:lineRule="auto"/>
            </w:pPr>
            <w:r>
              <w:rPr>
                <w:sz w:val="18"/>
              </w:rPr>
              <w:t>2004</w:t>
            </w:r>
          </w:p>
        </w:tc>
        <w:tc>
          <w:tcPr>
            <w:tcW w:w="2232" w:type="dxa"/>
          </w:tcPr>
          <w:p w:rsidR="0035602A" w:rsidRDefault="0035602A" w:rsidP="007B1C73">
            <w:pPr>
              <w:spacing w:after="60" w:line="252" w:lineRule="auto"/>
            </w:pPr>
            <w:r>
              <w:rPr>
                <w:sz w:val="18"/>
              </w:rPr>
              <w:t>The International Journal of Logistics Management / Emerald</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primary supply-chain resilience concepts of redundancy, visibility and network vulnerability.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3</w:t>
            </w:r>
          </w:p>
        </w:tc>
        <w:tc>
          <w:tcPr>
            <w:tcW w:w="3672" w:type="dxa"/>
          </w:tcPr>
          <w:p w:rsidR="0035602A" w:rsidRDefault="0035602A" w:rsidP="007B1C73">
            <w:pPr>
              <w:spacing w:after="60" w:line="252" w:lineRule="auto"/>
            </w:pPr>
            <w:r>
              <w:rPr>
                <w:sz w:val="18"/>
              </w:rPr>
              <w:t xml:space="preserve">Ivanov &amp; Das, </w:t>
            </w:r>
            <w:proofErr w:type="spellStart"/>
            <w:r>
              <w:rPr>
                <w:sz w:val="18"/>
              </w:rPr>
              <w:t>Coronavirus</w:t>
            </w:r>
            <w:proofErr w:type="spellEnd"/>
            <w:r>
              <w:rPr>
                <w:sz w:val="18"/>
              </w:rPr>
              <w:t xml:space="preserve"> (COVID-19/SARS-CoV-2) and supply chain resilience: A research note</w:t>
            </w:r>
          </w:p>
        </w:tc>
        <w:tc>
          <w:tcPr>
            <w:tcW w:w="936" w:type="dxa"/>
          </w:tcPr>
          <w:p w:rsidR="0035602A" w:rsidRDefault="0035602A" w:rsidP="007B1C73">
            <w:pPr>
              <w:spacing w:after="60" w:line="252" w:lineRule="auto"/>
            </w:pPr>
            <w:r>
              <w:rPr>
                <w:sz w:val="18"/>
              </w:rPr>
              <w:t>2020</w:t>
            </w:r>
          </w:p>
        </w:tc>
        <w:tc>
          <w:tcPr>
            <w:tcW w:w="2232" w:type="dxa"/>
          </w:tcPr>
          <w:p w:rsidR="0035602A" w:rsidRDefault="0035602A" w:rsidP="007B1C73">
            <w:pPr>
              <w:spacing w:after="60" w:line="252" w:lineRule="auto"/>
            </w:pPr>
            <w:r>
              <w:rPr>
                <w:sz w:val="18"/>
              </w:rPr>
              <w:t>International Journal of Integrated Supply Management</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extends resilience analysis to low-frequency, high-impact disruption.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4</w:t>
            </w:r>
          </w:p>
        </w:tc>
        <w:tc>
          <w:tcPr>
            <w:tcW w:w="3672" w:type="dxa"/>
          </w:tcPr>
          <w:p w:rsidR="0035602A" w:rsidRDefault="0035602A" w:rsidP="007B1C73">
            <w:pPr>
              <w:spacing w:after="60" w:line="252" w:lineRule="auto"/>
            </w:pPr>
            <w:r>
              <w:rPr>
                <w:sz w:val="18"/>
              </w:rPr>
              <w:t>Ivanov &amp; Dolgui, OR-methods for coping with the ripple effect in supply chains during the COVID-19 pandemic</w:t>
            </w:r>
          </w:p>
        </w:tc>
        <w:tc>
          <w:tcPr>
            <w:tcW w:w="936" w:type="dxa"/>
          </w:tcPr>
          <w:p w:rsidR="0035602A" w:rsidRDefault="0035602A" w:rsidP="007B1C73">
            <w:pPr>
              <w:spacing w:after="60" w:line="252" w:lineRule="auto"/>
            </w:pPr>
            <w:r>
              <w:rPr>
                <w:sz w:val="18"/>
              </w:rPr>
              <w:t>2021</w:t>
            </w:r>
          </w:p>
        </w:tc>
        <w:tc>
          <w:tcPr>
            <w:tcW w:w="2232" w:type="dxa"/>
          </w:tcPr>
          <w:p w:rsidR="0035602A" w:rsidRDefault="0035602A" w:rsidP="007B1C73">
            <w:pPr>
              <w:spacing w:after="60" w:line="252" w:lineRule="auto"/>
            </w:pPr>
            <w:r>
              <w:rPr>
                <w:sz w:val="18"/>
              </w:rPr>
              <w:t>International Journal of Production Economics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analysis of cascading disruption and ripple effects.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5</w:t>
            </w:r>
          </w:p>
        </w:tc>
        <w:tc>
          <w:tcPr>
            <w:tcW w:w="3672" w:type="dxa"/>
          </w:tcPr>
          <w:p w:rsidR="0035602A" w:rsidRDefault="0035602A" w:rsidP="007B1C73">
            <w:pPr>
              <w:spacing w:after="60" w:line="252" w:lineRule="auto"/>
            </w:pPr>
            <w:r>
              <w:rPr>
                <w:sz w:val="18"/>
              </w:rPr>
              <w:t>Ivanov, Transformation of supply chain resilience research through the COVID-19 pandemic</w:t>
            </w:r>
          </w:p>
        </w:tc>
        <w:tc>
          <w:tcPr>
            <w:tcW w:w="936" w:type="dxa"/>
          </w:tcPr>
          <w:p w:rsidR="0035602A" w:rsidRDefault="0035602A" w:rsidP="007B1C73">
            <w:pPr>
              <w:spacing w:after="60" w:line="252" w:lineRule="auto"/>
            </w:pPr>
            <w:r>
              <w:rPr>
                <w:sz w:val="18"/>
              </w:rPr>
              <w:t>2024</w:t>
            </w:r>
          </w:p>
        </w:tc>
        <w:tc>
          <w:tcPr>
            <w:tcW w:w="2232" w:type="dxa"/>
          </w:tcPr>
          <w:p w:rsidR="0035602A" w:rsidRDefault="0035602A" w:rsidP="007B1C73">
            <w:pPr>
              <w:spacing w:after="60" w:line="252" w:lineRule="auto"/>
            </w:pPr>
            <w:r>
              <w:rPr>
                <w:sz w:val="18"/>
              </w:rPr>
              <w:t>International Journal of Production Research / Taylor &amp; Francis</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an updated resilience and viability perspective.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6</w:t>
            </w:r>
          </w:p>
        </w:tc>
        <w:tc>
          <w:tcPr>
            <w:tcW w:w="3672" w:type="dxa"/>
          </w:tcPr>
          <w:p w:rsidR="0035602A" w:rsidRDefault="0035602A" w:rsidP="007B1C73">
            <w:pPr>
              <w:spacing w:after="60" w:line="252" w:lineRule="auto"/>
            </w:pPr>
            <w:r>
              <w:rPr>
                <w:sz w:val="18"/>
              </w:rPr>
              <w:t xml:space="preserve">Papachristou, </w:t>
            </w:r>
            <w:proofErr w:type="spellStart"/>
            <w:r>
              <w:rPr>
                <w:sz w:val="18"/>
              </w:rPr>
              <w:t>Rahimian</w:t>
            </w:r>
            <w:proofErr w:type="spellEnd"/>
            <w:r>
              <w:rPr>
                <w:sz w:val="18"/>
              </w:rPr>
              <w:t xml:space="preserve">, &amp; </w:t>
            </w:r>
            <w:proofErr w:type="spellStart"/>
            <w:r>
              <w:rPr>
                <w:sz w:val="18"/>
              </w:rPr>
              <w:t>Azadegan</w:t>
            </w:r>
            <w:proofErr w:type="spellEnd"/>
            <w:r>
              <w:rPr>
                <w:sz w:val="18"/>
              </w:rPr>
              <w:t>, Production networks resilience: Cascading failures, power laws and optimal interventions</w:t>
            </w:r>
          </w:p>
        </w:tc>
        <w:tc>
          <w:tcPr>
            <w:tcW w:w="936" w:type="dxa"/>
          </w:tcPr>
          <w:p w:rsidR="0035602A" w:rsidRDefault="0035602A" w:rsidP="007B1C73">
            <w:pPr>
              <w:spacing w:after="60" w:line="252" w:lineRule="auto"/>
            </w:pPr>
            <w:r>
              <w:rPr>
                <w:sz w:val="18"/>
              </w:rPr>
              <w:t>2023</w:t>
            </w:r>
          </w:p>
        </w:tc>
        <w:tc>
          <w:tcPr>
            <w:tcW w:w="2232" w:type="dxa"/>
          </w:tcPr>
          <w:p w:rsidR="0035602A" w:rsidRDefault="0035602A" w:rsidP="007B1C73">
            <w:pPr>
              <w:spacing w:after="60" w:line="252" w:lineRule="auto"/>
            </w:pPr>
            <w:proofErr w:type="spellStart"/>
            <w:r>
              <w:rPr>
                <w:sz w:val="18"/>
              </w:rPr>
              <w:t>arXiv</w:t>
            </w:r>
            <w:proofErr w:type="spellEnd"/>
          </w:p>
        </w:tc>
        <w:tc>
          <w:tcPr>
            <w:tcW w:w="1944" w:type="dxa"/>
          </w:tcPr>
          <w:p w:rsidR="0035602A" w:rsidRDefault="0035602A" w:rsidP="007B1C73">
            <w:pPr>
              <w:spacing w:after="60" w:line="252" w:lineRule="auto"/>
            </w:pPr>
            <w:r>
              <w:rPr>
                <w:sz w:val="18"/>
              </w:rPr>
              <w:t>Research preprint</w:t>
            </w:r>
          </w:p>
        </w:tc>
        <w:tc>
          <w:tcPr>
            <w:tcW w:w="5256" w:type="dxa"/>
          </w:tcPr>
          <w:p w:rsidR="0035602A" w:rsidRDefault="0035602A" w:rsidP="007B1C73">
            <w:pPr>
              <w:spacing w:after="60" w:line="252" w:lineRule="auto"/>
            </w:pPr>
            <w:r>
              <w:rPr>
                <w:sz w:val="18"/>
              </w:rPr>
              <w:t>Cited for supports structural analysis of source dependence, cascading failure and intervention points.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7</w:t>
            </w:r>
          </w:p>
        </w:tc>
        <w:tc>
          <w:tcPr>
            <w:tcW w:w="3672" w:type="dxa"/>
          </w:tcPr>
          <w:p w:rsidR="0035602A" w:rsidRDefault="0035602A" w:rsidP="007B1C73">
            <w:pPr>
              <w:spacing w:after="60" w:line="252" w:lineRule="auto"/>
            </w:pPr>
            <w:proofErr w:type="spellStart"/>
            <w:r>
              <w:rPr>
                <w:sz w:val="18"/>
              </w:rPr>
              <w:t>Sanabria</w:t>
            </w:r>
            <w:proofErr w:type="spellEnd"/>
            <w:r>
              <w:rPr>
                <w:sz w:val="18"/>
              </w:rPr>
              <w:t>, Supply chain networks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proofErr w:type="spellStart"/>
            <w:r>
              <w:rPr>
                <w:sz w:val="18"/>
              </w:rPr>
              <w:t>arXiv</w:t>
            </w:r>
            <w:proofErr w:type="spellEnd"/>
          </w:p>
        </w:tc>
        <w:tc>
          <w:tcPr>
            <w:tcW w:w="1944" w:type="dxa"/>
          </w:tcPr>
          <w:p w:rsidR="0035602A" w:rsidRDefault="0035602A" w:rsidP="007B1C73">
            <w:pPr>
              <w:spacing w:after="60" w:line="252" w:lineRule="auto"/>
            </w:pPr>
            <w:r>
              <w:rPr>
                <w:sz w:val="18"/>
              </w:rPr>
              <w:t>Research preprint</w:t>
            </w:r>
          </w:p>
        </w:tc>
        <w:tc>
          <w:tcPr>
            <w:tcW w:w="5256" w:type="dxa"/>
          </w:tcPr>
          <w:p w:rsidR="0035602A" w:rsidRDefault="0035602A" w:rsidP="007B1C73">
            <w:pPr>
              <w:spacing w:after="60" w:line="252" w:lineRule="auto"/>
            </w:pPr>
            <w:r>
              <w:rPr>
                <w:sz w:val="18"/>
              </w:rPr>
              <w:t>Cited for supports the discussion of inventory drawdown, capacity constraints, nonlinear price feedback and trade rebalancing.</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lastRenderedPageBreak/>
              <w:t>8</w:t>
            </w:r>
          </w:p>
        </w:tc>
        <w:tc>
          <w:tcPr>
            <w:tcW w:w="3672" w:type="dxa"/>
          </w:tcPr>
          <w:p w:rsidR="0035602A" w:rsidRDefault="0035602A" w:rsidP="007B1C73">
            <w:pPr>
              <w:spacing w:after="60" w:line="252" w:lineRule="auto"/>
            </w:pPr>
            <w:r>
              <w:rPr>
                <w:sz w:val="18"/>
              </w:rPr>
              <w:t xml:space="preserve">Hamilton, Oil and the </w:t>
            </w:r>
            <w:proofErr w:type="spellStart"/>
            <w:r>
              <w:rPr>
                <w:sz w:val="18"/>
              </w:rPr>
              <w:t>macroeconomy</w:t>
            </w:r>
            <w:proofErr w:type="spellEnd"/>
            <w:r>
              <w:rPr>
                <w:sz w:val="18"/>
              </w:rPr>
              <w:t xml:space="preserve"> since World War II</w:t>
            </w:r>
          </w:p>
        </w:tc>
        <w:tc>
          <w:tcPr>
            <w:tcW w:w="936" w:type="dxa"/>
          </w:tcPr>
          <w:p w:rsidR="0035602A" w:rsidRDefault="0035602A" w:rsidP="007B1C73">
            <w:pPr>
              <w:spacing w:after="60" w:line="252" w:lineRule="auto"/>
            </w:pPr>
            <w:r>
              <w:rPr>
                <w:sz w:val="18"/>
              </w:rPr>
              <w:t>1983</w:t>
            </w:r>
          </w:p>
        </w:tc>
        <w:tc>
          <w:tcPr>
            <w:tcW w:w="2232" w:type="dxa"/>
          </w:tcPr>
          <w:p w:rsidR="0035602A" w:rsidRDefault="0035602A" w:rsidP="007B1C73">
            <w:pPr>
              <w:spacing w:after="60" w:line="252" w:lineRule="auto"/>
            </w:pPr>
            <w:r>
              <w:rPr>
                <w:sz w:val="18"/>
              </w:rPr>
              <w:t>Journal of Political Economy / University of Chicago Press</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foundational macroeconomic treatment of oil-price shocks.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9</w:t>
            </w:r>
          </w:p>
        </w:tc>
        <w:tc>
          <w:tcPr>
            <w:tcW w:w="3672" w:type="dxa"/>
          </w:tcPr>
          <w:p w:rsidR="0035602A" w:rsidRDefault="0035602A" w:rsidP="007B1C73">
            <w:pPr>
              <w:spacing w:after="60" w:line="252" w:lineRule="auto"/>
            </w:pPr>
            <w:r>
              <w:rPr>
                <w:sz w:val="18"/>
              </w:rPr>
              <w:t>Hamilton, What is an oil shock?</w:t>
            </w:r>
          </w:p>
        </w:tc>
        <w:tc>
          <w:tcPr>
            <w:tcW w:w="936" w:type="dxa"/>
          </w:tcPr>
          <w:p w:rsidR="0035602A" w:rsidRDefault="0035602A" w:rsidP="007B1C73">
            <w:pPr>
              <w:spacing w:after="60" w:line="252" w:lineRule="auto"/>
            </w:pPr>
            <w:r>
              <w:rPr>
                <w:sz w:val="18"/>
              </w:rPr>
              <w:t>2003</w:t>
            </w:r>
          </w:p>
        </w:tc>
        <w:tc>
          <w:tcPr>
            <w:tcW w:w="2232" w:type="dxa"/>
          </w:tcPr>
          <w:p w:rsidR="0035602A" w:rsidRDefault="0035602A" w:rsidP="007B1C73">
            <w:pPr>
              <w:spacing w:after="60" w:line="252" w:lineRule="auto"/>
            </w:pPr>
            <w:r>
              <w:rPr>
                <w:sz w:val="18"/>
              </w:rPr>
              <w:t>Journal of Econometrics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nonlinear characterization of oil shocks.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10</w:t>
            </w:r>
          </w:p>
        </w:tc>
        <w:tc>
          <w:tcPr>
            <w:tcW w:w="3672" w:type="dxa"/>
          </w:tcPr>
          <w:p w:rsidR="0035602A" w:rsidRDefault="0035602A" w:rsidP="007B1C73">
            <w:pPr>
              <w:spacing w:after="60" w:line="252" w:lineRule="auto"/>
            </w:pPr>
            <w:r>
              <w:rPr>
                <w:sz w:val="18"/>
              </w:rPr>
              <w:t>Kilian, Not all oil price shocks are alike: Disentangling demand and supply shocks in the crude oil market</w:t>
            </w:r>
          </w:p>
        </w:tc>
        <w:tc>
          <w:tcPr>
            <w:tcW w:w="936" w:type="dxa"/>
          </w:tcPr>
          <w:p w:rsidR="0035602A" w:rsidRDefault="0035602A" w:rsidP="007B1C73">
            <w:pPr>
              <w:spacing w:after="60" w:line="252" w:lineRule="auto"/>
            </w:pPr>
            <w:r>
              <w:rPr>
                <w:sz w:val="18"/>
              </w:rPr>
              <w:t>2009</w:t>
            </w:r>
          </w:p>
        </w:tc>
        <w:tc>
          <w:tcPr>
            <w:tcW w:w="2232" w:type="dxa"/>
          </w:tcPr>
          <w:p w:rsidR="0035602A" w:rsidRDefault="0035602A" w:rsidP="007B1C73">
            <w:pPr>
              <w:spacing w:after="60" w:line="252" w:lineRule="auto"/>
            </w:pPr>
            <w:r>
              <w:rPr>
                <w:sz w:val="18"/>
              </w:rPr>
              <w:t>American Economic Review / American Economic Association</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supply-, demand- and precautionary-demand shock classification.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11</w:t>
            </w:r>
          </w:p>
        </w:tc>
        <w:tc>
          <w:tcPr>
            <w:tcW w:w="3672" w:type="dxa"/>
          </w:tcPr>
          <w:p w:rsidR="0035602A" w:rsidRDefault="0035602A" w:rsidP="007B1C73">
            <w:pPr>
              <w:spacing w:after="60" w:line="252" w:lineRule="auto"/>
            </w:pPr>
            <w:r>
              <w:rPr>
                <w:sz w:val="18"/>
              </w:rPr>
              <w:t>Caldara &amp; Iacoviello, Measuring geopolitical risk</w:t>
            </w:r>
          </w:p>
        </w:tc>
        <w:tc>
          <w:tcPr>
            <w:tcW w:w="936" w:type="dxa"/>
          </w:tcPr>
          <w:p w:rsidR="0035602A" w:rsidRDefault="0035602A" w:rsidP="007B1C73">
            <w:pPr>
              <w:spacing w:after="60" w:line="252" w:lineRule="auto"/>
            </w:pPr>
            <w:r>
              <w:rPr>
                <w:sz w:val="18"/>
              </w:rPr>
              <w:t>2022</w:t>
            </w:r>
          </w:p>
        </w:tc>
        <w:tc>
          <w:tcPr>
            <w:tcW w:w="2232" w:type="dxa"/>
          </w:tcPr>
          <w:p w:rsidR="0035602A" w:rsidRDefault="0035602A" w:rsidP="007B1C73">
            <w:pPr>
              <w:spacing w:after="60" w:line="252" w:lineRule="auto"/>
            </w:pPr>
            <w:r>
              <w:rPr>
                <w:sz w:val="18"/>
              </w:rPr>
              <w:t>American Economic Review / American Economic Association</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geopolitical-risk framework used to interpret uncertainty surrounding the supply shock.</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12</w:t>
            </w:r>
          </w:p>
        </w:tc>
        <w:tc>
          <w:tcPr>
            <w:tcW w:w="3672" w:type="dxa"/>
          </w:tcPr>
          <w:p w:rsidR="0035602A" w:rsidRDefault="0035602A" w:rsidP="007B1C73">
            <w:pPr>
              <w:spacing w:after="60" w:line="252" w:lineRule="auto"/>
            </w:pPr>
            <w:r>
              <w:rPr>
                <w:sz w:val="18"/>
              </w:rPr>
              <w:t>Sovacool &amp; Mukherjee, Conceptualizing and measuring energy security: A synthesized approach</w:t>
            </w:r>
          </w:p>
        </w:tc>
        <w:tc>
          <w:tcPr>
            <w:tcW w:w="936" w:type="dxa"/>
          </w:tcPr>
          <w:p w:rsidR="0035602A" w:rsidRDefault="0035602A" w:rsidP="007B1C73">
            <w:pPr>
              <w:spacing w:after="60" w:line="252" w:lineRule="auto"/>
            </w:pPr>
            <w:r>
              <w:rPr>
                <w:sz w:val="18"/>
              </w:rPr>
              <w:t>2011</w:t>
            </w:r>
          </w:p>
        </w:tc>
        <w:tc>
          <w:tcPr>
            <w:tcW w:w="2232" w:type="dxa"/>
          </w:tcPr>
          <w:p w:rsidR="0035602A" w:rsidRDefault="0035602A" w:rsidP="007B1C73">
            <w:pPr>
              <w:spacing w:after="60" w:line="252" w:lineRule="auto"/>
            </w:pPr>
            <w:r>
              <w:rPr>
                <w:sz w:val="18"/>
              </w:rPr>
              <w:t>Energy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broad synthesized energy-security framework underlying the 4 A’s discussion.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13</w:t>
            </w:r>
          </w:p>
        </w:tc>
        <w:tc>
          <w:tcPr>
            <w:tcW w:w="3672" w:type="dxa"/>
          </w:tcPr>
          <w:p w:rsidR="0035602A" w:rsidRDefault="0035602A" w:rsidP="007B1C73">
            <w:pPr>
              <w:spacing w:after="60" w:line="252" w:lineRule="auto"/>
            </w:pPr>
            <w:r>
              <w:rPr>
                <w:sz w:val="18"/>
              </w:rPr>
              <w:t xml:space="preserve">Sovacool, Mukherjee, </w:t>
            </w:r>
            <w:proofErr w:type="spellStart"/>
            <w:r>
              <w:rPr>
                <w:sz w:val="18"/>
              </w:rPr>
              <w:t>Drupady</w:t>
            </w:r>
            <w:proofErr w:type="spellEnd"/>
            <w:r>
              <w:rPr>
                <w:sz w:val="18"/>
              </w:rPr>
              <w:t>, &amp; D’Agostino, Evaluating energy security performance from 1990 to 2010 for eighteen countries</w:t>
            </w:r>
          </w:p>
        </w:tc>
        <w:tc>
          <w:tcPr>
            <w:tcW w:w="936" w:type="dxa"/>
          </w:tcPr>
          <w:p w:rsidR="0035602A" w:rsidRDefault="0035602A" w:rsidP="007B1C73">
            <w:pPr>
              <w:spacing w:after="60" w:line="252" w:lineRule="auto"/>
            </w:pPr>
            <w:r>
              <w:rPr>
                <w:sz w:val="18"/>
              </w:rPr>
              <w:t>2011</w:t>
            </w:r>
          </w:p>
        </w:tc>
        <w:tc>
          <w:tcPr>
            <w:tcW w:w="2232" w:type="dxa"/>
          </w:tcPr>
          <w:p w:rsidR="0035602A" w:rsidRDefault="0035602A" w:rsidP="007B1C73">
            <w:pPr>
              <w:spacing w:after="60" w:line="252" w:lineRule="auto"/>
            </w:pPr>
            <w:r>
              <w:rPr>
                <w:sz w:val="18"/>
              </w:rPr>
              <w:t>Energy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comparative operationalization of energy-security dimensions.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14</w:t>
            </w:r>
          </w:p>
        </w:tc>
        <w:tc>
          <w:tcPr>
            <w:tcW w:w="3672" w:type="dxa"/>
          </w:tcPr>
          <w:p w:rsidR="0035602A" w:rsidRDefault="0035602A" w:rsidP="007B1C73">
            <w:pPr>
              <w:spacing w:after="60" w:line="252" w:lineRule="auto"/>
            </w:pPr>
            <w:r>
              <w:rPr>
                <w:sz w:val="18"/>
              </w:rPr>
              <w:t>Amin et al., Energy security and sustainable energy policy in Bangladesh: From the lens of 4As framework</w:t>
            </w:r>
          </w:p>
        </w:tc>
        <w:tc>
          <w:tcPr>
            <w:tcW w:w="936" w:type="dxa"/>
          </w:tcPr>
          <w:p w:rsidR="0035602A" w:rsidRDefault="0035602A" w:rsidP="007B1C73">
            <w:pPr>
              <w:spacing w:after="60" w:line="252" w:lineRule="auto"/>
            </w:pPr>
            <w:r>
              <w:rPr>
                <w:sz w:val="18"/>
              </w:rPr>
              <w:t>2022</w:t>
            </w:r>
          </w:p>
        </w:tc>
        <w:tc>
          <w:tcPr>
            <w:tcW w:w="2232" w:type="dxa"/>
          </w:tcPr>
          <w:p w:rsidR="0035602A" w:rsidRDefault="0035602A" w:rsidP="007B1C73">
            <w:pPr>
              <w:spacing w:after="60" w:line="252" w:lineRule="auto"/>
            </w:pPr>
            <w:r>
              <w:rPr>
                <w:sz w:val="18"/>
              </w:rPr>
              <w:t>Energy Policy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a South Asian application of the 4 A’s approach.</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15</w:t>
            </w:r>
          </w:p>
        </w:tc>
        <w:tc>
          <w:tcPr>
            <w:tcW w:w="3672" w:type="dxa"/>
          </w:tcPr>
          <w:p w:rsidR="0035602A" w:rsidRDefault="0035602A" w:rsidP="007B1C73">
            <w:pPr>
              <w:spacing w:after="60" w:line="252" w:lineRule="auto"/>
            </w:pPr>
            <w:r>
              <w:rPr>
                <w:sz w:val="18"/>
              </w:rPr>
              <w:t>Sovacool, Energy security: Challenges and needs</w:t>
            </w:r>
          </w:p>
        </w:tc>
        <w:tc>
          <w:tcPr>
            <w:tcW w:w="936" w:type="dxa"/>
          </w:tcPr>
          <w:p w:rsidR="0035602A" w:rsidRDefault="0035602A" w:rsidP="007B1C73">
            <w:pPr>
              <w:spacing w:after="60" w:line="252" w:lineRule="auto"/>
            </w:pPr>
            <w:r>
              <w:rPr>
                <w:sz w:val="18"/>
              </w:rPr>
              <w:t>2012</w:t>
            </w:r>
          </w:p>
        </w:tc>
        <w:tc>
          <w:tcPr>
            <w:tcW w:w="2232" w:type="dxa"/>
          </w:tcPr>
          <w:p w:rsidR="0035602A" w:rsidRDefault="0035602A" w:rsidP="007B1C73">
            <w:pPr>
              <w:spacing w:after="60" w:line="252" w:lineRule="auto"/>
            </w:pPr>
            <w:r>
              <w:rPr>
                <w:sz w:val="18"/>
              </w:rPr>
              <w:t>WIREs Energy and Environment / Wiley</w:t>
            </w:r>
          </w:p>
        </w:tc>
        <w:tc>
          <w:tcPr>
            <w:tcW w:w="1944" w:type="dxa"/>
          </w:tcPr>
          <w:p w:rsidR="0035602A" w:rsidRDefault="0035602A" w:rsidP="007B1C73">
            <w:pPr>
              <w:spacing w:after="60" w:line="252" w:lineRule="auto"/>
            </w:pPr>
            <w:r>
              <w:rPr>
                <w:sz w:val="18"/>
              </w:rPr>
              <w:t>Peer-reviewed review</w:t>
            </w:r>
          </w:p>
        </w:tc>
        <w:tc>
          <w:tcPr>
            <w:tcW w:w="5256" w:type="dxa"/>
          </w:tcPr>
          <w:p w:rsidR="0035602A" w:rsidRDefault="0035602A" w:rsidP="007B1C73">
            <w:pPr>
              <w:spacing w:after="60" w:line="252" w:lineRule="auto"/>
            </w:pPr>
            <w:r>
              <w:rPr>
                <w:sz w:val="18"/>
              </w:rPr>
              <w:t>Cited for supports the distinction between energy availability and affordability.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16</w:t>
            </w:r>
          </w:p>
        </w:tc>
        <w:tc>
          <w:tcPr>
            <w:tcW w:w="3672" w:type="dxa"/>
          </w:tcPr>
          <w:p w:rsidR="0035602A" w:rsidRDefault="0035602A" w:rsidP="007B1C73">
            <w:pPr>
              <w:spacing w:after="60" w:line="252" w:lineRule="auto"/>
            </w:pPr>
            <w:r>
              <w:rPr>
                <w:sz w:val="18"/>
              </w:rPr>
              <w:t>Cherp &amp; Jewell, The concept of energy security: Beyond the four As</w:t>
            </w:r>
          </w:p>
        </w:tc>
        <w:tc>
          <w:tcPr>
            <w:tcW w:w="936" w:type="dxa"/>
          </w:tcPr>
          <w:p w:rsidR="0035602A" w:rsidRDefault="0035602A" w:rsidP="007B1C73">
            <w:pPr>
              <w:spacing w:after="60" w:line="252" w:lineRule="auto"/>
            </w:pPr>
            <w:r>
              <w:rPr>
                <w:sz w:val="18"/>
              </w:rPr>
              <w:t>2014</w:t>
            </w:r>
          </w:p>
        </w:tc>
        <w:tc>
          <w:tcPr>
            <w:tcW w:w="2232" w:type="dxa"/>
          </w:tcPr>
          <w:p w:rsidR="0035602A" w:rsidRDefault="0035602A" w:rsidP="007B1C73">
            <w:pPr>
              <w:spacing w:after="60" w:line="252" w:lineRule="auto"/>
            </w:pPr>
            <w:r>
              <w:rPr>
                <w:sz w:val="18"/>
              </w:rPr>
              <w:t>Energy Policy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critique centred on security for whom, which values and which threats.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17</w:t>
            </w:r>
          </w:p>
        </w:tc>
        <w:tc>
          <w:tcPr>
            <w:tcW w:w="3672" w:type="dxa"/>
          </w:tcPr>
          <w:p w:rsidR="0035602A" w:rsidRDefault="0035602A" w:rsidP="007B1C73">
            <w:pPr>
              <w:spacing w:after="60" w:line="252" w:lineRule="auto"/>
            </w:pPr>
            <w:r>
              <w:rPr>
                <w:sz w:val="18"/>
              </w:rPr>
              <w:t>Sovacool &amp; Dworkin, Energy justice: Conceptual insights and practical applications</w:t>
            </w:r>
          </w:p>
        </w:tc>
        <w:tc>
          <w:tcPr>
            <w:tcW w:w="936" w:type="dxa"/>
          </w:tcPr>
          <w:p w:rsidR="0035602A" w:rsidRDefault="0035602A" w:rsidP="007B1C73">
            <w:pPr>
              <w:spacing w:after="60" w:line="252" w:lineRule="auto"/>
            </w:pPr>
            <w:r>
              <w:rPr>
                <w:sz w:val="18"/>
              </w:rPr>
              <w:t>2015</w:t>
            </w:r>
          </w:p>
        </w:tc>
        <w:tc>
          <w:tcPr>
            <w:tcW w:w="2232" w:type="dxa"/>
          </w:tcPr>
          <w:p w:rsidR="0035602A" w:rsidRDefault="0035602A" w:rsidP="007B1C73">
            <w:pPr>
              <w:spacing w:after="60" w:line="252" w:lineRule="auto"/>
            </w:pPr>
            <w:r>
              <w:rPr>
                <w:sz w:val="18"/>
              </w:rPr>
              <w:t>Applied Energy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distributive, procedural and recognition criteria for evaluating energy-security responses.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18</w:t>
            </w:r>
          </w:p>
        </w:tc>
        <w:tc>
          <w:tcPr>
            <w:tcW w:w="3672" w:type="dxa"/>
          </w:tcPr>
          <w:p w:rsidR="0035602A" w:rsidRDefault="0035602A" w:rsidP="007B1C73">
            <w:pPr>
              <w:spacing w:after="60" w:line="252" w:lineRule="auto"/>
            </w:pPr>
            <w:r>
              <w:rPr>
                <w:sz w:val="18"/>
              </w:rPr>
              <w:t>Heffron &amp; McCauley, Achieving sustainable supply chains through energy justice</w:t>
            </w:r>
          </w:p>
        </w:tc>
        <w:tc>
          <w:tcPr>
            <w:tcW w:w="936" w:type="dxa"/>
          </w:tcPr>
          <w:p w:rsidR="0035602A" w:rsidRDefault="0035602A" w:rsidP="007B1C73">
            <w:pPr>
              <w:spacing w:after="60" w:line="252" w:lineRule="auto"/>
            </w:pPr>
            <w:r>
              <w:rPr>
                <w:sz w:val="18"/>
              </w:rPr>
              <w:t>2014</w:t>
            </w:r>
          </w:p>
        </w:tc>
        <w:tc>
          <w:tcPr>
            <w:tcW w:w="2232" w:type="dxa"/>
          </w:tcPr>
          <w:p w:rsidR="0035602A" w:rsidRDefault="0035602A" w:rsidP="007B1C73">
            <w:pPr>
              <w:spacing w:after="60" w:line="252" w:lineRule="auto"/>
            </w:pPr>
            <w:r>
              <w:rPr>
                <w:sz w:val="18"/>
              </w:rPr>
              <w:t>Applied Energy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links supply-chain governance with energy-justice considerations.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19</w:t>
            </w:r>
          </w:p>
        </w:tc>
        <w:tc>
          <w:tcPr>
            <w:tcW w:w="3672" w:type="dxa"/>
          </w:tcPr>
          <w:p w:rsidR="0035602A" w:rsidRDefault="0035602A" w:rsidP="007B1C73">
            <w:pPr>
              <w:spacing w:after="60" w:line="252" w:lineRule="auto"/>
            </w:pPr>
            <w:r>
              <w:rPr>
                <w:sz w:val="18"/>
              </w:rPr>
              <w:t>Heffron &amp; McCauley, The concept of energy justice across the disciplines</w:t>
            </w:r>
          </w:p>
        </w:tc>
        <w:tc>
          <w:tcPr>
            <w:tcW w:w="936" w:type="dxa"/>
          </w:tcPr>
          <w:p w:rsidR="0035602A" w:rsidRDefault="0035602A" w:rsidP="007B1C73">
            <w:pPr>
              <w:spacing w:after="60" w:line="252" w:lineRule="auto"/>
            </w:pPr>
            <w:r>
              <w:rPr>
                <w:sz w:val="18"/>
              </w:rPr>
              <w:t>2017</w:t>
            </w:r>
          </w:p>
        </w:tc>
        <w:tc>
          <w:tcPr>
            <w:tcW w:w="2232" w:type="dxa"/>
          </w:tcPr>
          <w:p w:rsidR="0035602A" w:rsidRDefault="0035602A" w:rsidP="007B1C73">
            <w:pPr>
              <w:spacing w:after="60" w:line="252" w:lineRule="auto"/>
            </w:pPr>
            <w:r>
              <w:rPr>
                <w:sz w:val="18"/>
              </w:rPr>
              <w:t>Energy Policy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multidisciplinary energy-justice framing.</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20</w:t>
            </w:r>
          </w:p>
        </w:tc>
        <w:tc>
          <w:tcPr>
            <w:tcW w:w="3672" w:type="dxa"/>
          </w:tcPr>
          <w:p w:rsidR="0035602A" w:rsidRDefault="0035602A" w:rsidP="007B1C73">
            <w:pPr>
              <w:spacing w:after="60" w:line="252" w:lineRule="auto"/>
            </w:pPr>
            <w:r>
              <w:rPr>
                <w:sz w:val="18"/>
              </w:rPr>
              <w:t>Jenkins et al., Energy justice: A conceptual review</w:t>
            </w:r>
          </w:p>
        </w:tc>
        <w:tc>
          <w:tcPr>
            <w:tcW w:w="936" w:type="dxa"/>
          </w:tcPr>
          <w:p w:rsidR="0035602A" w:rsidRDefault="0035602A" w:rsidP="007B1C73">
            <w:pPr>
              <w:spacing w:after="60" w:line="252" w:lineRule="auto"/>
            </w:pPr>
            <w:r>
              <w:rPr>
                <w:sz w:val="18"/>
              </w:rPr>
              <w:t>2016</w:t>
            </w:r>
          </w:p>
        </w:tc>
        <w:tc>
          <w:tcPr>
            <w:tcW w:w="2232" w:type="dxa"/>
          </w:tcPr>
          <w:p w:rsidR="0035602A" w:rsidRDefault="0035602A" w:rsidP="007B1C73">
            <w:pPr>
              <w:spacing w:after="60" w:line="252" w:lineRule="auto"/>
            </w:pPr>
            <w:r>
              <w:rPr>
                <w:sz w:val="18"/>
              </w:rPr>
              <w:t>Energy Research &amp; Social Science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distributional, procedural and recognition dimensions of energy justice.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lastRenderedPageBreak/>
              <w:t>21</w:t>
            </w:r>
          </w:p>
        </w:tc>
        <w:tc>
          <w:tcPr>
            <w:tcW w:w="3672" w:type="dxa"/>
          </w:tcPr>
          <w:p w:rsidR="0035602A" w:rsidRDefault="0035602A" w:rsidP="007B1C73">
            <w:pPr>
              <w:spacing w:after="60" w:line="252" w:lineRule="auto"/>
            </w:pPr>
            <w:r>
              <w:rPr>
                <w:sz w:val="18"/>
              </w:rPr>
              <w:t>Adger, Vulnerability</w:t>
            </w:r>
          </w:p>
        </w:tc>
        <w:tc>
          <w:tcPr>
            <w:tcW w:w="936" w:type="dxa"/>
          </w:tcPr>
          <w:p w:rsidR="0035602A" w:rsidRDefault="0035602A" w:rsidP="007B1C73">
            <w:pPr>
              <w:spacing w:after="60" w:line="252" w:lineRule="auto"/>
            </w:pPr>
            <w:r>
              <w:rPr>
                <w:sz w:val="18"/>
              </w:rPr>
              <w:t>2006</w:t>
            </w:r>
          </w:p>
        </w:tc>
        <w:tc>
          <w:tcPr>
            <w:tcW w:w="2232" w:type="dxa"/>
          </w:tcPr>
          <w:p w:rsidR="0035602A" w:rsidRDefault="0035602A" w:rsidP="007B1C73">
            <w:pPr>
              <w:spacing w:after="60" w:line="252" w:lineRule="auto"/>
            </w:pPr>
            <w:r>
              <w:rPr>
                <w:sz w:val="18"/>
              </w:rPr>
              <w:t>Global Environmental Change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the exposure–susceptibility–adaptive-capacity basis for vulnerability analysis.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22</w:t>
            </w:r>
          </w:p>
        </w:tc>
        <w:tc>
          <w:tcPr>
            <w:tcW w:w="3672" w:type="dxa"/>
          </w:tcPr>
          <w:p w:rsidR="0035602A" w:rsidRDefault="0035602A" w:rsidP="007B1C73">
            <w:pPr>
              <w:spacing w:after="60" w:line="252" w:lineRule="auto"/>
            </w:pPr>
            <w:r>
              <w:rPr>
                <w:sz w:val="18"/>
              </w:rPr>
              <w:t>Moore, Definitions of fuel poverty: Implications for policy</w:t>
            </w:r>
          </w:p>
        </w:tc>
        <w:tc>
          <w:tcPr>
            <w:tcW w:w="936" w:type="dxa"/>
          </w:tcPr>
          <w:p w:rsidR="0035602A" w:rsidRDefault="0035602A" w:rsidP="007B1C73">
            <w:pPr>
              <w:spacing w:after="60" w:line="252" w:lineRule="auto"/>
            </w:pPr>
            <w:r>
              <w:rPr>
                <w:sz w:val="18"/>
              </w:rPr>
              <w:t>2012</w:t>
            </w:r>
          </w:p>
        </w:tc>
        <w:tc>
          <w:tcPr>
            <w:tcW w:w="2232" w:type="dxa"/>
          </w:tcPr>
          <w:p w:rsidR="0035602A" w:rsidRDefault="0035602A" w:rsidP="007B1C73">
            <w:pPr>
              <w:spacing w:after="60" w:line="252" w:lineRule="auto"/>
            </w:pPr>
            <w:r>
              <w:rPr>
                <w:sz w:val="18"/>
              </w:rPr>
              <w:t>Energy Policy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fuel-poverty conceptualization and measurement.</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23</w:t>
            </w:r>
          </w:p>
        </w:tc>
        <w:tc>
          <w:tcPr>
            <w:tcW w:w="3672" w:type="dxa"/>
          </w:tcPr>
          <w:p w:rsidR="0035602A" w:rsidRDefault="0035602A" w:rsidP="007B1C73">
            <w:pPr>
              <w:spacing w:after="60" w:line="252" w:lineRule="auto"/>
            </w:pPr>
            <w:r>
              <w:rPr>
                <w:sz w:val="18"/>
              </w:rPr>
              <w:t xml:space="preserve">Nussbaumer, </w:t>
            </w:r>
            <w:proofErr w:type="spellStart"/>
            <w:r>
              <w:rPr>
                <w:sz w:val="18"/>
              </w:rPr>
              <w:t>Bazilian</w:t>
            </w:r>
            <w:proofErr w:type="spellEnd"/>
            <w:r>
              <w:rPr>
                <w:sz w:val="18"/>
              </w:rPr>
              <w:t>, &amp; Modi, Measuring energy poverty: Focusing on what matters</w:t>
            </w:r>
          </w:p>
        </w:tc>
        <w:tc>
          <w:tcPr>
            <w:tcW w:w="936" w:type="dxa"/>
          </w:tcPr>
          <w:p w:rsidR="0035602A" w:rsidRDefault="0035602A" w:rsidP="007B1C73">
            <w:pPr>
              <w:spacing w:after="60" w:line="252" w:lineRule="auto"/>
            </w:pPr>
            <w:r>
              <w:rPr>
                <w:sz w:val="18"/>
              </w:rPr>
              <w:t>2012</w:t>
            </w:r>
          </w:p>
        </w:tc>
        <w:tc>
          <w:tcPr>
            <w:tcW w:w="2232" w:type="dxa"/>
          </w:tcPr>
          <w:p w:rsidR="0035602A" w:rsidRDefault="0035602A" w:rsidP="007B1C73">
            <w:pPr>
              <w:spacing w:after="60" w:line="252" w:lineRule="auto"/>
            </w:pPr>
            <w:r>
              <w:rPr>
                <w:sz w:val="18"/>
              </w:rPr>
              <w:t>Renewable and Sustainable Energy Reviews / Elsevier</w:t>
            </w:r>
          </w:p>
        </w:tc>
        <w:tc>
          <w:tcPr>
            <w:tcW w:w="1944" w:type="dxa"/>
          </w:tcPr>
          <w:p w:rsidR="0035602A" w:rsidRDefault="0035602A" w:rsidP="007B1C73">
            <w:pPr>
              <w:spacing w:after="60" w:line="252" w:lineRule="auto"/>
            </w:pPr>
            <w:r>
              <w:rPr>
                <w:sz w:val="18"/>
              </w:rPr>
              <w:t>Peer-reviewed review</w:t>
            </w:r>
          </w:p>
        </w:tc>
        <w:tc>
          <w:tcPr>
            <w:tcW w:w="5256" w:type="dxa"/>
          </w:tcPr>
          <w:p w:rsidR="0035602A" w:rsidRDefault="0035602A" w:rsidP="007B1C73">
            <w:pPr>
              <w:spacing w:after="60" w:line="252" w:lineRule="auto"/>
            </w:pPr>
            <w:r>
              <w:rPr>
                <w:sz w:val="18"/>
              </w:rPr>
              <w:t>Cited for supports multidimensional measurement of energy poverty.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24</w:t>
            </w:r>
          </w:p>
        </w:tc>
        <w:tc>
          <w:tcPr>
            <w:tcW w:w="3672" w:type="dxa"/>
          </w:tcPr>
          <w:p w:rsidR="0035602A" w:rsidRDefault="0035602A" w:rsidP="007B1C73">
            <w:pPr>
              <w:spacing w:after="60" w:line="252" w:lineRule="auto"/>
            </w:pPr>
            <w:r>
              <w:rPr>
                <w:sz w:val="18"/>
              </w:rPr>
              <w:t>Day, Walker, &amp; Simcock, Conceptualizing energy use and energy poverty using a capabilities framework</w:t>
            </w:r>
          </w:p>
        </w:tc>
        <w:tc>
          <w:tcPr>
            <w:tcW w:w="936" w:type="dxa"/>
          </w:tcPr>
          <w:p w:rsidR="0035602A" w:rsidRDefault="0035602A" w:rsidP="007B1C73">
            <w:pPr>
              <w:spacing w:after="60" w:line="252" w:lineRule="auto"/>
            </w:pPr>
            <w:r>
              <w:rPr>
                <w:sz w:val="18"/>
              </w:rPr>
              <w:t>2016</w:t>
            </w:r>
          </w:p>
        </w:tc>
        <w:tc>
          <w:tcPr>
            <w:tcW w:w="2232" w:type="dxa"/>
          </w:tcPr>
          <w:p w:rsidR="0035602A" w:rsidRDefault="0035602A" w:rsidP="007B1C73">
            <w:pPr>
              <w:spacing w:after="60" w:line="252" w:lineRule="auto"/>
            </w:pPr>
            <w:r>
              <w:rPr>
                <w:sz w:val="18"/>
              </w:rPr>
              <w:t>Energy Policy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links energy affordability to household capabilities and welfare.</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25</w:t>
            </w:r>
          </w:p>
        </w:tc>
        <w:tc>
          <w:tcPr>
            <w:tcW w:w="3672" w:type="dxa"/>
          </w:tcPr>
          <w:p w:rsidR="0035602A" w:rsidRDefault="0035602A" w:rsidP="007B1C73">
            <w:pPr>
              <w:spacing w:after="60" w:line="252" w:lineRule="auto"/>
            </w:pPr>
            <w:proofErr w:type="spellStart"/>
            <w:r>
              <w:rPr>
                <w:sz w:val="18"/>
              </w:rPr>
              <w:t>Asharaf</w:t>
            </w:r>
            <w:proofErr w:type="spellEnd"/>
            <w:r>
              <w:rPr>
                <w:sz w:val="18"/>
              </w:rPr>
              <w:t xml:space="preserve"> &amp; </w:t>
            </w:r>
            <w:proofErr w:type="spellStart"/>
            <w:r>
              <w:rPr>
                <w:sz w:val="18"/>
              </w:rPr>
              <w:t>Tol</w:t>
            </w:r>
            <w:proofErr w:type="spellEnd"/>
            <w:r>
              <w:rPr>
                <w:sz w:val="18"/>
              </w:rPr>
              <w:t>, The impact of Pradhan Mantri Ujjwala Yojana on Indian households</w:t>
            </w:r>
          </w:p>
        </w:tc>
        <w:tc>
          <w:tcPr>
            <w:tcW w:w="936" w:type="dxa"/>
          </w:tcPr>
          <w:p w:rsidR="0035602A" w:rsidRDefault="0035602A" w:rsidP="007B1C73">
            <w:pPr>
              <w:spacing w:after="60" w:line="252" w:lineRule="auto"/>
            </w:pPr>
            <w:r>
              <w:rPr>
                <w:sz w:val="18"/>
              </w:rPr>
              <w:t>2024</w:t>
            </w:r>
          </w:p>
        </w:tc>
        <w:tc>
          <w:tcPr>
            <w:tcW w:w="2232" w:type="dxa"/>
          </w:tcPr>
          <w:p w:rsidR="0035602A" w:rsidRDefault="0035602A" w:rsidP="007B1C73">
            <w:pPr>
              <w:spacing w:after="60" w:line="252" w:lineRule="auto"/>
            </w:pPr>
            <w:proofErr w:type="spellStart"/>
            <w:r>
              <w:rPr>
                <w:sz w:val="18"/>
              </w:rPr>
              <w:t>arXiv</w:t>
            </w:r>
            <w:proofErr w:type="spellEnd"/>
          </w:p>
        </w:tc>
        <w:tc>
          <w:tcPr>
            <w:tcW w:w="1944" w:type="dxa"/>
          </w:tcPr>
          <w:p w:rsidR="0035602A" w:rsidRDefault="0035602A" w:rsidP="007B1C73">
            <w:pPr>
              <w:spacing w:after="60" w:line="252" w:lineRule="auto"/>
            </w:pPr>
            <w:r>
              <w:rPr>
                <w:sz w:val="18"/>
              </w:rPr>
              <w:t>Research preprint</w:t>
            </w:r>
          </w:p>
        </w:tc>
        <w:tc>
          <w:tcPr>
            <w:tcW w:w="5256" w:type="dxa"/>
          </w:tcPr>
          <w:p w:rsidR="0035602A" w:rsidRDefault="0035602A" w:rsidP="007B1C73">
            <w:pPr>
              <w:spacing w:after="60" w:line="252" w:lineRule="auto"/>
            </w:pPr>
            <w:r>
              <w:rPr>
                <w:sz w:val="18"/>
              </w:rPr>
              <w:t>Cited for provides evidence on the effect of PMUY on LPG consumption and regional variation.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26</w:t>
            </w:r>
          </w:p>
        </w:tc>
        <w:tc>
          <w:tcPr>
            <w:tcW w:w="3672" w:type="dxa"/>
          </w:tcPr>
          <w:p w:rsidR="0035602A" w:rsidRDefault="0035602A" w:rsidP="007B1C73">
            <w:pPr>
              <w:spacing w:after="60" w:line="252" w:lineRule="auto"/>
            </w:pPr>
            <w:r>
              <w:rPr>
                <w:sz w:val="18"/>
              </w:rPr>
              <w:t xml:space="preserve">Neto-Bradley, Choudhary, &amp; </w:t>
            </w:r>
            <w:proofErr w:type="spellStart"/>
            <w:r>
              <w:rPr>
                <w:sz w:val="18"/>
              </w:rPr>
              <w:t>Challenor</w:t>
            </w:r>
            <w:proofErr w:type="spellEnd"/>
            <w:r>
              <w:rPr>
                <w:sz w:val="18"/>
              </w:rPr>
              <w:t xml:space="preserve">, A </w:t>
            </w:r>
            <w:proofErr w:type="spellStart"/>
            <w:r>
              <w:rPr>
                <w:sz w:val="18"/>
              </w:rPr>
              <w:t>microsimulation</w:t>
            </w:r>
            <w:proofErr w:type="spellEnd"/>
            <w:r>
              <w:rPr>
                <w:sz w:val="18"/>
              </w:rPr>
              <w:t xml:space="preserve"> of spatial inequality in energy access: A Bayesian multi-level modelling approach for urban India</w:t>
            </w:r>
          </w:p>
        </w:tc>
        <w:tc>
          <w:tcPr>
            <w:tcW w:w="936" w:type="dxa"/>
          </w:tcPr>
          <w:p w:rsidR="0035602A" w:rsidRDefault="0035602A" w:rsidP="007B1C73">
            <w:pPr>
              <w:spacing w:after="60" w:line="252" w:lineRule="auto"/>
            </w:pPr>
            <w:r>
              <w:rPr>
                <w:sz w:val="18"/>
              </w:rPr>
              <w:t>2021</w:t>
            </w:r>
          </w:p>
        </w:tc>
        <w:tc>
          <w:tcPr>
            <w:tcW w:w="2232" w:type="dxa"/>
          </w:tcPr>
          <w:p w:rsidR="0035602A" w:rsidRDefault="0035602A" w:rsidP="007B1C73">
            <w:pPr>
              <w:spacing w:after="60" w:line="252" w:lineRule="auto"/>
            </w:pPr>
            <w:proofErr w:type="spellStart"/>
            <w:r>
              <w:rPr>
                <w:sz w:val="18"/>
              </w:rPr>
              <w:t>arXiv</w:t>
            </w:r>
            <w:proofErr w:type="spellEnd"/>
          </w:p>
        </w:tc>
        <w:tc>
          <w:tcPr>
            <w:tcW w:w="1944" w:type="dxa"/>
          </w:tcPr>
          <w:p w:rsidR="0035602A" w:rsidRDefault="0035602A" w:rsidP="007B1C73">
            <w:pPr>
              <w:spacing w:after="60" w:line="252" w:lineRule="auto"/>
            </w:pPr>
            <w:r>
              <w:rPr>
                <w:sz w:val="18"/>
              </w:rPr>
              <w:t>Research preprint</w:t>
            </w:r>
          </w:p>
        </w:tc>
        <w:tc>
          <w:tcPr>
            <w:tcW w:w="5256" w:type="dxa"/>
          </w:tcPr>
          <w:p w:rsidR="0035602A" w:rsidRDefault="0035602A" w:rsidP="007B1C73">
            <w:pPr>
              <w:spacing w:after="60" w:line="252" w:lineRule="auto"/>
            </w:pPr>
            <w:r>
              <w:rPr>
                <w:sz w:val="18"/>
              </w:rPr>
              <w:t>Cited for supports the discussion of spatial and socio-cultural heterogeneity in energy access.</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27</w:t>
            </w:r>
          </w:p>
        </w:tc>
        <w:tc>
          <w:tcPr>
            <w:tcW w:w="3672" w:type="dxa"/>
          </w:tcPr>
          <w:p w:rsidR="0035602A" w:rsidRDefault="0035602A" w:rsidP="007B1C73">
            <w:pPr>
              <w:spacing w:after="60" w:line="252" w:lineRule="auto"/>
            </w:pPr>
            <w:r>
              <w:rPr>
                <w:sz w:val="18"/>
              </w:rPr>
              <w:t>Gosens, Turnbull, &amp; Jotzo, Global coal trade is resilient to maritime chokepoints</w:t>
            </w:r>
          </w:p>
        </w:tc>
        <w:tc>
          <w:tcPr>
            <w:tcW w:w="936" w:type="dxa"/>
          </w:tcPr>
          <w:p w:rsidR="0035602A" w:rsidRDefault="0035602A" w:rsidP="007B1C73">
            <w:pPr>
              <w:spacing w:after="60" w:line="252" w:lineRule="auto"/>
            </w:pPr>
            <w:r>
              <w:rPr>
                <w:sz w:val="18"/>
              </w:rPr>
              <w:t>2026</w:t>
            </w:r>
          </w:p>
        </w:tc>
        <w:tc>
          <w:tcPr>
            <w:tcW w:w="2232" w:type="dxa"/>
          </w:tcPr>
          <w:p w:rsidR="0035602A" w:rsidRDefault="0035602A" w:rsidP="007B1C73">
            <w:pPr>
              <w:spacing w:after="60" w:line="252" w:lineRule="auto"/>
            </w:pPr>
            <w:proofErr w:type="spellStart"/>
            <w:r>
              <w:rPr>
                <w:sz w:val="18"/>
              </w:rPr>
              <w:t>arXiv</w:t>
            </w:r>
            <w:proofErr w:type="spellEnd"/>
            <w:r>
              <w:rPr>
                <w:sz w:val="18"/>
              </w:rPr>
              <w:t xml:space="preserve"> / ANU and partners</w:t>
            </w:r>
          </w:p>
        </w:tc>
        <w:tc>
          <w:tcPr>
            <w:tcW w:w="1944" w:type="dxa"/>
          </w:tcPr>
          <w:p w:rsidR="0035602A" w:rsidRDefault="0035602A" w:rsidP="007B1C73">
            <w:pPr>
              <w:spacing w:after="60" w:line="252" w:lineRule="auto"/>
            </w:pPr>
            <w:r>
              <w:rPr>
                <w:sz w:val="18"/>
              </w:rPr>
              <w:t>Research preprint</w:t>
            </w:r>
          </w:p>
        </w:tc>
        <w:tc>
          <w:tcPr>
            <w:tcW w:w="5256" w:type="dxa"/>
          </w:tcPr>
          <w:p w:rsidR="0035602A" w:rsidRDefault="0035602A" w:rsidP="007B1C73">
            <w:pPr>
              <w:spacing w:after="60" w:line="252" w:lineRule="auto"/>
            </w:pPr>
            <w:r>
              <w:rPr>
                <w:sz w:val="18"/>
              </w:rPr>
              <w:t>Cited for provides a commodity comparison showing why resilience evidence from coal should not be transferred mechanically to LPG.</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28</w:t>
            </w:r>
          </w:p>
        </w:tc>
        <w:tc>
          <w:tcPr>
            <w:tcW w:w="3672" w:type="dxa"/>
          </w:tcPr>
          <w:p w:rsidR="0035602A" w:rsidRDefault="0035602A" w:rsidP="007B1C73">
            <w:pPr>
              <w:spacing w:after="60" w:line="252" w:lineRule="auto"/>
            </w:pPr>
            <w:r>
              <w:rPr>
                <w:sz w:val="18"/>
              </w:rPr>
              <w:t>Vital Strategies, Accelerating the health benefits of scaling clean household energy in India</w:t>
            </w:r>
          </w:p>
        </w:tc>
        <w:tc>
          <w:tcPr>
            <w:tcW w:w="936" w:type="dxa"/>
          </w:tcPr>
          <w:p w:rsidR="0035602A" w:rsidRDefault="0035602A" w:rsidP="007B1C73">
            <w:pPr>
              <w:spacing w:after="60" w:line="252" w:lineRule="auto"/>
            </w:pPr>
            <w:r>
              <w:rPr>
                <w:sz w:val="18"/>
              </w:rPr>
              <w:t>2024</w:t>
            </w:r>
          </w:p>
        </w:tc>
        <w:tc>
          <w:tcPr>
            <w:tcW w:w="2232" w:type="dxa"/>
          </w:tcPr>
          <w:p w:rsidR="0035602A" w:rsidRDefault="0035602A" w:rsidP="007B1C73">
            <w:pPr>
              <w:spacing w:after="60" w:line="252" w:lineRule="auto"/>
            </w:pPr>
            <w:r>
              <w:rPr>
                <w:sz w:val="18"/>
              </w:rPr>
              <w:t>Vital Strategies</w:t>
            </w:r>
          </w:p>
        </w:tc>
        <w:tc>
          <w:tcPr>
            <w:tcW w:w="1944" w:type="dxa"/>
          </w:tcPr>
          <w:p w:rsidR="0035602A" w:rsidRDefault="0035602A" w:rsidP="007B1C73">
            <w:pPr>
              <w:spacing w:after="60" w:line="252" w:lineRule="auto"/>
            </w:pPr>
            <w:r>
              <w:rPr>
                <w:sz w:val="18"/>
              </w:rPr>
              <w:t>Health policy report</w:t>
            </w:r>
          </w:p>
        </w:tc>
        <w:tc>
          <w:tcPr>
            <w:tcW w:w="5256" w:type="dxa"/>
          </w:tcPr>
          <w:p w:rsidR="0035602A" w:rsidRDefault="0035602A" w:rsidP="007B1C73">
            <w:pPr>
              <w:spacing w:after="60" w:line="252" w:lineRule="auto"/>
            </w:pPr>
            <w:r>
              <w:rPr>
                <w:sz w:val="18"/>
              </w:rPr>
              <w:t>Cited for provides a modeled estimate of the potential health opportunity cost of incomplete clean-cooking transition.</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29</w:t>
            </w:r>
          </w:p>
        </w:tc>
        <w:tc>
          <w:tcPr>
            <w:tcW w:w="3672" w:type="dxa"/>
          </w:tcPr>
          <w:p w:rsidR="0035602A" w:rsidRDefault="0035602A" w:rsidP="007B1C73">
            <w:pPr>
              <w:spacing w:after="60" w:line="252" w:lineRule="auto"/>
            </w:pPr>
            <w:r>
              <w:rPr>
                <w:sz w:val="18"/>
              </w:rPr>
              <w:t>Ramanathan, Short- and long-run elasticities of gasoline demand in India</w:t>
            </w:r>
          </w:p>
        </w:tc>
        <w:tc>
          <w:tcPr>
            <w:tcW w:w="936" w:type="dxa"/>
          </w:tcPr>
          <w:p w:rsidR="0035602A" w:rsidRDefault="0035602A" w:rsidP="007B1C73">
            <w:pPr>
              <w:spacing w:after="60" w:line="252" w:lineRule="auto"/>
            </w:pPr>
            <w:r>
              <w:rPr>
                <w:sz w:val="18"/>
              </w:rPr>
              <w:t>1999</w:t>
            </w:r>
          </w:p>
        </w:tc>
        <w:tc>
          <w:tcPr>
            <w:tcW w:w="2232" w:type="dxa"/>
          </w:tcPr>
          <w:p w:rsidR="0035602A" w:rsidRDefault="0035602A" w:rsidP="007B1C73">
            <w:pPr>
              <w:spacing w:after="60" w:line="252" w:lineRule="auto"/>
            </w:pPr>
            <w:r>
              <w:rPr>
                <w:sz w:val="18"/>
              </w:rPr>
              <w:t>Energy Economics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provides evidence on short- and long-run gasoline-demand responsiveness in India.</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30</w:t>
            </w:r>
          </w:p>
        </w:tc>
        <w:tc>
          <w:tcPr>
            <w:tcW w:w="3672" w:type="dxa"/>
          </w:tcPr>
          <w:p w:rsidR="0035602A" w:rsidRDefault="0035602A" w:rsidP="007B1C73">
            <w:pPr>
              <w:spacing w:after="60" w:line="252" w:lineRule="auto"/>
            </w:pPr>
            <w:r>
              <w:rPr>
                <w:sz w:val="18"/>
              </w:rPr>
              <w:t>Ghosh, High speed diesel consumption and economic growth in India</w:t>
            </w:r>
          </w:p>
        </w:tc>
        <w:tc>
          <w:tcPr>
            <w:tcW w:w="936" w:type="dxa"/>
          </w:tcPr>
          <w:p w:rsidR="0035602A" w:rsidRDefault="0035602A" w:rsidP="007B1C73">
            <w:pPr>
              <w:spacing w:after="60" w:line="252" w:lineRule="auto"/>
            </w:pPr>
            <w:r>
              <w:rPr>
                <w:sz w:val="18"/>
              </w:rPr>
              <w:t>2010</w:t>
            </w:r>
          </w:p>
        </w:tc>
        <w:tc>
          <w:tcPr>
            <w:tcW w:w="2232" w:type="dxa"/>
          </w:tcPr>
          <w:p w:rsidR="0035602A" w:rsidRDefault="0035602A" w:rsidP="007B1C73">
            <w:pPr>
              <w:spacing w:after="60" w:line="252" w:lineRule="auto"/>
            </w:pPr>
            <w:r>
              <w:rPr>
                <w:sz w:val="18"/>
              </w:rPr>
              <w:t>Energy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supports the discussion of diesel-demand responsiveness and fuel-dependent activity.</w:t>
            </w:r>
          </w:p>
        </w:tc>
      </w:tr>
      <w:tr w:rsidR="0035602A" w:rsidTr="007B1C73">
        <w:trPr>
          <w:cantSplit/>
          <w:jc w:val="center"/>
        </w:trPr>
        <w:tc>
          <w:tcPr>
            <w:tcW w:w="648" w:type="dxa"/>
            <w:vAlign w:val="center"/>
          </w:tcPr>
          <w:p w:rsidR="0035602A" w:rsidRDefault="0035602A" w:rsidP="007B1C73">
            <w:pPr>
              <w:spacing w:after="60" w:line="252" w:lineRule="auto"/>
              <w:jc w:val="center"/>
            </w:pPr>
            <w:r>
              <w:rPr>
                <w:sz w:val="18"/>
              </w:rPr>
              <w:t>31</w:t>
            </w:r>
          </w:p>
        </w:tc>
        <w:tc>
          <w:tcPr>
            <w:tcW w:w="3672" w:type="dxa"/>
          </w:tcPr>
          <w:p w:rsidR="0035602A" w:rsidRDefault="0035602A" w:rsidP="007B1C73">
            <w:pPr>
              <w:spacing w:after="60" w:line="252" w:lineRule="auto"/>
            </w:pPr>
            <w:r>
              <w:rPr>
                <w:sz w:val="18"/>
              </w:rPr>
              <w:t>Datta, The incidence of fuel taxation in India</w:t>
            </w:r>
          </w:p>
        </w:tc>
        <w:tc>
          <w:tcPr>
            <w:tcW w:w="936" w:type="dxa"/>
          </w:tcPr>
          <w:p w:rsidR="0035602A" w:rsidRDefault="0035602A" w:rsidP="007B1C73">
            <w:pPr>
              <w:spacing w:after="60" w:line="252" w:lineRule="auto"/>
            </w:pPr>
            <w:r>
              <w:rPr>
                <w:sz w:val="18"/>
              </w:rPr>
              <w:t>2010</w:t>
            </w:r>
          </w:p>
        </w:tc>
        <w:tc>
          <w:tcPr>
            <w:tcW w:w="2232" w:type="dxa"/>
          </w:tcPr>
          <w:p w:rsidR="0035602A" w:rsidRDefault="0035602A" w:rsidP="007B1C73">
            <w:pPr>
              <w:spacing w:after="60" w:line="252" w:lineRule="auto"/>
            </w:pPr>
            <w:r>
              <w:rPr>
                <w:sz w:val="18"/>
              </w:rPr>
              <w:t>Energy Economics / Elsevier</w:t>
            </w:r>
          </w:p>
        </w:tc>
        <w:tc>
          <w:tcPr>
            <w:tcW w:w="1944" w:type="dxa"/>
          </w:tcPr>
          <w:p w:rsidR="0035602A" w:rsidRDefault="0035602A" w:rsidP="007B1C73">
            <w:pPr>
              <w:spacing w:after="60" w:line="252" w:lineRule="auto"/>
            </w:pPr>
            <w:r>
              <w:rPr>
                <w:sz w:val="18"/>
              </w:rPr>
              <w:t>Peer-reviewed article</w:t>
            </w:r>
          </w:p>
        </w:tc>
        <w:tc>
          <w:tcPr>
            <w:tcW w:w="5256" w:type="dxa"/>
          </w:tcPr>
          <w:p w:rsidR="0035602A" w:rsidRDefault="0035602A" w:rsidP="007B1C73">
            <w:pPr>
              <w:spacing w:after="60" w:line="252" w:lineRule="auto"/>
            </w:pPr>
            <w:r>
              <w:rPr>
                <w:sz w:val="18"/>
              </w:rPr>
              <w:t>Cited for qualifies claims about the distributional incidence of petrol and diesel taxation.</w:t>
            </w:r>
          </w:p>
        </w:tc>
      </w:tr>
    </w:tbl>
    <w:p w:rsidR="0035602A" w:rsidRDefault="0035602A" w:rsidP="0035602A"/>
    <w:p w:rsidR="0046624E" w:rsidRDefault="0046624E"/>
    <w:sectPr w:rsidR="0046624E" w:rsidSect="00216E10">
      <w:pgSz w:w="12240" w:h="15840"/>
      <w:pgMar w:top="1440" w:right="1440" w:bottom="1440" w:left="1440"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602A"/>
    <w:rsid w:val="001769BB"/>
    <w:rsid w:val="001A6E29"/>
    <w:rsid w:val="00343E10"/>
    <w:rsid w:val="0035602A"/>
    <w:rsid w:val="003E14EE"/>
    <w:rsid w:val="0046624E"/>
    <w:rsid w:val="00526EEB"/>
    <w:rsid w:val="00533EE4"/>
    <w:rsid w:val="00897CFA"/>
    <w:rsid w:val="00BC7AB8"/>
    <w:rsid w:val="00C927F0"/>
    <w:rsid w:val="00D10A01"/>
    <w:rsid w:val="00DD3D13"/>
    <w:rsid w:val="00E62169"/>
    <w:rsid w:val="00E84C9D"/>
    <w:rsid w:val="00ED0C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02A"/>
    <w:pPr>
      <w:suppressAutoHyphens/>
      <w:spacing w:after="0" w:line="240" w:lineRule="auto"/>
    </w:pPr>
    <w:rPr>
      <w:rFonts w:ascii="Times New Roman" w:eastAsia="Times New Roman" w:hAnsi="Times New Roman" w:cs="Times New Roman"/>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5602A"/>
    <w:pPr>
      <w:suppressAutoHyphens/>
      <w:spacing w:after="0" w:line="240" w:lineRule="auto"/>
    </w:pPr>
    <w:rPr>
      <w:rFonts w:ascii="Liberation Serif" w:eastAsia="Noto Serif CJK SC" w:hAnsi="Liberation Serif" w:cs="Lohit Devanagari"/>
      <w:sz w:val="24"/>
      <w:szCs w:val="24"/>
      <w:lang w:eastAsia="zh-CN"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2085</Words>
  <Characters>11887</Characters>
  <Application>Microsoft Office Word</Application>
  <DocSecurity>0</DocSecurity>
  <Lines>99</Lines>
  <Paragraphs>27</Paragraphs>
  <ScaleCrop>false</ScaleCrop>
  <Company/>
  <LinksUpToDate>false</LinksUpToDate>
  <CharactersWithSpaces>13945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2026-09-25T18:54:00Z</dcterms:created>
  <dcterms:modified xsi:type="dcterms:W3CDTF">2026-09-25T18:54:00Z</dcterms:modified>
</cp:coreProperties>
</file>