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C58" w:rsidRDefault="00414191">
      <w:pPr>
        <w:spacing w:after="120"/>
        <w:jc w:val="center"/>
      </w:pPr>
      <w:r>
        <w:rPr>
          <w:b/>
          <w:bCs/>
          <w:sz w:val="26"/>
          <w:szCs w:val="26"/>
        </w:rPr>
        <w:t>STROBE Checklist — Strengthening the Reporting of Observational Studies in Epidemiology</w:t>
      </w:r>
    </w:p>
    <w:p w:rsidR="00483C58" w:rsidRDefault="00414191">
      <w:pPr>
        <w:spacing w:after="80"/>
        <w:jc w:val="center"/>
      </w:pPr>
      <w:r>
        <w:rPr>
          <w:b/>
          <w:bCs/>
          <w:sz w:val="24"/>
          <w:szCs w:val="24"/>
        </w:rPr>
        <w:t>Cohort Study</w:t>
      </w:r>
    </w:p>
    <w:p w:rsidR="00483C58" w:rsidRDefault="00414191">
      <w:pPr>
        <w:spacing w:after="60"/>
        <w:jc w:val="center"/>
      </w:pPr>
      <w:r>
        <w:rPr>
          <w:i/>
          <w:iCs/>
          <w:sz w:val="22"/>
          <w:szCs w:val="22"/>
        </w:rPr>
        <w:t>Residual Pulmonary Hypertension After Pulmonary Endarterectomy Is Associated With Female Sex, Absence of Prior Venous Thromboembolism, and Higher Preoperative Mean Pulmonary Artery Pressure</w:t>
      </w:r>
    </w:p>
    <w:p w:rsidR="00483C58" w:rsidRDefault="00414191">
      <w:pPr>
        <w:spacing w:after="200"/>
        <w:jc w:val="center"/>
      </w:pPr>
      <w:r>
        <w:rPr>
          <w:color w:val="555555"/>
        </w:rPr>
        <w:t xml:space="preserve">Submitted to: Lung (Springer </w:t>
      </w:r>
      <w:proofErr w:type="gramStart"/>
      <w:r>
        <w:rPr>
          <w:color w:val="555555"/>
        </w:rPr>
        <w:t>Nature)  ·</w:t>
      </w:r>
      <w:proofErr w:type="gramEnd"/>
      <w:r>
        <w:rPr>
          <w:color w:val="555555"/>
        </w:rPr>
        <w:t xml:space="preserve">  InCor-HCFMUSP  ·  2015–20</w:t>
      </w:r>
      <w:r>
        <w:rPr>
          <w:color w:val="555555"/>
        </w:rPr>
        <w:t>24</w:t>
      </w:r>
    </w:p>
    <w:tbl>
      <w:tblPr>
        <w:tblW w:w="5000" w:type="pct"/>
        <w:tblBorders>
          <w:top w:val="single" w:sz="6" w:space="0" w:color="000000"/>
          <w:bottom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5022"/>
        <w:gridCol w:w="1388"/>
        <w:gridCol w:w="6460"/>
      </w:tblGrid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000000"/>
          </w:tcPr>
          <w:p w:rsidR="00483C58" w:rsidRDefault="00414191">
            <w:pPr>
              <w:spacing w:before="40" w:after="40"/>
              <w:jc w:val="center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Item No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>.</w:t>
            </w:r>
          </w:p>
        </w:tc>
        <w:tc>
          <w:tcPr>
            <w:tcW w:w="0" w:type="auto"/>
            <w:shd w:val="clear" w:color="auto" w:fill="000000"/>
          </w:tcPr>
          <w:p w:rsidR="00483C58" w:rsidRDefault="00414191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Recommendation</w:t>
            </w:r>
          </w:p>
        </w:tc>
        <w:tc>
          <w:tcPr>
            <w:tcW w:w="0" w:type="auto"/>
            <w:shd w:val="clear" w:color="auto" w:fill="000000"/>
          </w:tcPr>
          <w:p w:rsidR="00483C58" w:rsidRDefault="00414191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Page / Location</w:t>
            </w:r>
          </w:p>
        </w:tc>
        <w:tc>
          <w:tcPr>
            <w:tcW w:w="0" w:type="auto"/>
            <w:shd w:val="clear" w:color="auto" w:fill="000000"/>
          </w:tcPr>
          <w:p w:rsidR="00483C58" w:rsidRDefault="00414191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Where reported in manuscript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TITLE AND ABSTRACT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 xml:space="preserve">Title and Abstract: (a) Indicate the study design with a commonly used term in the title or the abstract; </w:t>
            </w:r>
            <w:r>
              <w:rPr>
                <w:color w:val="000000"/>
                <w:sz w:val="19"/>
                <w:szCs w:val="19"/>
              </w:rPr>
              <w:t>(b) Provide in the abstract an informative and balanced summary of what was done and what was found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Title page; p.1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(a) 'cohort study' is stated in the abstract Methods section. (b) Structured abstract (Purpose, Methods, Results, Conclusion) is provided on</w:t>
            </w:r>
            <w:r>
              <w:rPr>
                <w:color w:val="000000"/>
                <w:sz w:val="19"/>
                <w:szCs w:val="19"/>
              </w:rPr>
              <w:t xml:space="preserve"> p.1, including design, setting, sample size, primary outcome, main results (3 independent predictors with OR and 95% CI), and conclusion.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INTRODUCTION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Background / rationale: Explain the scientific background and rationale for the investigation being reported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p.3 (Introduction, ¶1–4)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Background on CTEPH, PEA as gold-standard treatment, and the clinical burden of post-PEA residual PH (incidence 5–47%) are addressed in paragraphs 1–4 of the Introduction. The rationale for the study (incompletely characterised preoperative predictors; sca</w:t>
            </w:r>
            <w:r>
              <w:rPr>
                <w:color w:val="000000"/>
                <w:sz w:val="19"/>
                <w:szCs w:val="19"/>
              </w:rPr>
              <w:t>rce Latin American data) is stated in paragraph 4.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3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Objectives: State specific objectives, including any prespecified hypotheses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p.3 (Introduction, ¶4)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Objective stated: 'to identify independent preoperative factors associated with RPH in a single Latin American referral-centre cohort undergoing PEA for CTEPH'.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METHODS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4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Study design: Present key elements of study design early in the paper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 xml:space="preserve">p.4 (Methods, ¶1); </w:t>
            </w:r>
            <w:proofErr w:type="gramStart"/>
            <w:r>
              <w:rPr>
                <w:color w:val="000000"/>
                <w:sz w:val="19"/>
                <w:szCs w:val="19"/>
              </w:rPr>
              <w:t>Figure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 xml:space="preserve">'Single-centre analytical cohort study' stated in the first sentence of Methods. Patient flow presented </w:t>
            </w:r>
            <w:proofErr w:type="gramStart"/>
            <w:r>
              <w:rPr>
                <w:color w:val="000000"/>
                <w:sz w:val="19"/>
                <w:szCs w:val="19"/>
              </w:rPr>
              <w:t>in Figure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1 (STROBE flowchart).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Setting: Describe the setting, locations, and relevant dates, including periods of recrui</w:t>
            </w:r>
            <w:r>
              <w:rPr>
                <w:color w:val="000000"/>
                <w:sz w:val="19"/>
                <w:szCs w:val="19"/>
              </w:rPr>
              <w:t>tment, exposure, follow-up, and data collection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p.4 (Methods, ¶1)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Setting: Heart Institute (InCor), Hospital das Clínicas, FMUSP (largest CTEPH referral centre in Latin America). Period: January 2015 – January 2024. Follow-up RHC: median 6.0 months post-su</w:t>
            </w:r>
            <w:r>
              <w:rPr>
                <w:color w:val="000000"/>
                <w:sz w:val="19"/>
                <w:szCs w:val="19"/>
              </w:rPr>
              <w:t>rgery (IQR 4.3–9.9 months).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 xml:space="preserve">Participants: (a) Cohort study — give eligibility criteria, sources and methods of selection of participants, and methods of follow-up; (b) Describe methods of follow-up; </w:t>
            </w:r>
            <w:r>
              <w:rPr>
                <w:color w:val="000000"/>
                <w:sz w:val="19"/>
                <w:szCs w:val="19"/>
              </w:rPr>
              <w:t>(c) For matched studies, give matching criteria and number of exposed and unexposed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p.4–5 (Methods)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(a) Eligibility: consecutive adult patients with confirmed CTEPH who underwent PEA. Source: institutional database (Pulmonary Endarterectomy Research Group)</w:t>
            </w:r>
            <w:r>
              <w:rPr>
                <w:color w:val="000000"/>
                <w:sz w:val="19"/>
                <w:szCs w:val="19"/>
              </w:rPr>
              <w:t xml:space="preserve"> and medical records. Selection method described in Methods </w:t>
            </w:r>
            <w:proofErr w:type="gramStart"/>
            <w:r>
              <w:rPr>
                <w:color w:val="000000"/>
                <w:sz w:val="19"/>
                <w:szCs w:val="19"/>
              </w:rPr>
              <w:t>and Figure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1: 205 operated → 174 hospital survivors → 149 with follow-up RHC (analytic cohort). Ethics approval: CAAE 86861525.9.0000.0068; Approval No. 7,557,226. (b) Follow-up: post-op RHC at ≈6</w:t>
            </w:r>
            <w:r>
              <w:rPr>
                <w:color w:val="000000"/>
                <w:sz w:val="19"/>
                <w:szCs w:val="19"/>
              </w:rPr>
              <w:t xml:space="preserve"> months; 25 survivors without RHC (reasons detailed: n=6 lost, n=11 pending, n=8 geographic/refusal). (c) No matching — not applicable.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Variables: 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p.5 (Methods, Definitions)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Primary outcome (RPH): mPAP ≥ 25 mmHg at follow-up RHC. Justification for ≥25 mmH</w:t>
            </w:r>
            <w:r>
              <w:rPr>
                <w:color w:val="000000"/>
                <w:sz w:val="19"/>
                <w:szCs w:val="19"/>
              </w:rPr>
              <w:t>g threshold provided (historical comparability). All candidate predictors listed in Table 1 (18 variables): demographic, clinical, anatomical, haemodynamic, and operative. Definitions of prior VTE, distal PA disease, and supplemental O₂ use provided. Ratio</w:t>
            </w:r>
            <w:r>
              <w:rPr>
                <w:color w:val="000000"/>
                <w:sz w:val="19"/>
                <w:szCs w:val="19"/>
              </w:rPr>
              <w:t>nale for pre-specified predictors (female sex, absence of prior VTE, preoperative mPAP) stated in Methods.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Data sources / measurement: 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p.4–5 (Methods)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All variables derived from: (1)</w:t>
            </w:r>
            <w:r>
              <w:rPr>
                <w:color w:val="000000"/>
                <w:sz w:val="19"/>
                <w:szCs w:val="19"/>
              </w:rPr>
              <w:t xml:space="preserve"> preoperative right heart catheterization (mPAP, PVR, cardiac output, RAP); (2) echocardiography (pericardial effusion); (3) surgical records (CPB time, thrombus distribution); (4) clinical records (functional class, prior VTE, O₂ use, comorbidities, BMI, </w:t>
            </w:r>
            <w:r>
              <w:rPr>
                <w:color w:val="000000"/>
                <w:sz w:val="19"/>
                <w:szCs w:val="19"/>
              </w:rPr>
              <w:t>age). Outcome assessed by post-operative right heart catheterization. Same measurement protocol across all patients.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9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Bias: Describe any efforts to address potential sources of bias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p.11 (Discussion, Limitations)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Sources of bias acknowledged in the Limitations section: (1) retrospective design may introduce information and selection bias; (2) history of prior VTE relies on patient recall; (3) 14.4% of survivors without RHC may introduce informative censoring; (4) c</w:t>
            </w:r>
            <w:r>
              <w:rPr>
                <w:color w:val="000000"/>
                <w:sz w:val="19"/>
                <w:szCs w:val="19"/>
              </w:rPr>
              <w:t>omparability of survivors with vs without RHC presented in Supplementary Table S1 (STROBE compliance).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10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Study size: Explain how the study size was arrived at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p.4 (Methods); p.11 (Limitations)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This was an observational cohort study of all consecutive eligible patients during the study period. No formal sample size calculation was performed. The analytic cohort (n=149; 80 events) yielded an events-per-variable ratio of 26.7 for the 3-predictor pr</w:t>
            </w:r>
            <w:r>
              <w:rPr>
                <w:color w:val="000000"/>
                <w:sz w:val="19"/>
                <w:szCs w:val="19"/>
              </w:rPr>
              <w:t>imary model, which exceeds the conventional ≥10 threshold. Study size and EPV are reported in Table 1 (Model performance block).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11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Quantitative variables: Explain how quantitative variables were handled in the analyses. If applicable, describe which groupings were chosen and why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p.5–6 (Methods, Statistical analysis)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Preoperative mPAP, PVR, cardiac output, RAP, age, and BMI were treate</w:t>
            </w:r>
            <w:r>
              <w:rPr>
                <w:color w:val="000000"/>
                <w:sz w:val="19"/>
                <w:szCs w:val="19"/>
              </w:rPr>
              <w:t>d as continuous variables. CPB time was expressed per 30-minute increment; PVR per 100 dyn·s·cm⁻⁵. No arbitrary categorisation. mPAP cumulative OR curve (Figure 4) illustrates the dose-response across the continuous range 20–65 mmHg.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12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Statistical methods: (a) Describe all statistical methods, including those used to control for confounding; (b) Describe any methods used to examine subgroups and interactions; (c) Explain how missing data were addressed; (d) If applicable, explain how los</w:t>
            </w:r>
            <w:r>
              <w:rPr>
                <w:color w:val="000000"/>
                <w:sz w:val="19"/>
                <w:szCs w:val="19"/>
              </w:rPr>
              <w:t>s to follow-up was addressed; (e) Describe any sensitivity analyses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p.6 (Methods, Statistical analysis)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(a) Univariable and multivariable logistic regression (forward stepwise; entry p&lt;0.05 Wald). Two sensitivity models (full and backward stepwise). Discri</w:t>
            </w:r>
            <w:r>
              <w:rPr>
                <w:color w:val="000000"/>
                <w:sz w:val="19"/>
                <w:szCs w:val="19"/>
              </w:rPr>
              <w:t>mination: AUC/ROC (DeLong, 95% CI). Calibration: Hosmer–Lemeshow test. Nagelkerke R². SPSS Statistics v22.0. (b) No pre-specified subgroup analyses; DeLong pairwise AUC comparisons between three models. (c) 2 patients excluded from multivariable model (lis</w:t>
            </w:r>
            <w:r>
              <w:rPr>
                <w:color w:val="000000"/>
                <w:sz w:val="19"/>
                <w:szCs w:val="19"/>
              </w:rPr>
              <w:t>twise deletion; n=147). Reported as complete-case analysis. (d) Informative censoring assessed by comparison of 149 with RHC vs 25 without RHC (Supplementary Table S1). Baseline characteristics similar between groups. (e) Sensitivity analysis: (i) alternat</w:t>
            </w:r>
            <w:r>
              <w:rPr>
                <w:color w:val="000000"/>
                <w:sz w:val="19"/>
                <w:szCs w:val="19"/>
              </w:rPr>
              <w:t>ive RPH threshold mPAP ≥30 mmHg; (ii) full and backward stepwise models vs primary forward model; (iii) model-selection bootstrap (B=1,000). All reported in Methods and Results.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RESULTS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13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Participants: (a) Report numbers of individuals at each stage of study; (b) Give reasons for non-participation at each stage; (c) Consider use of a flow diagram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 xml:space="preserve">p.4–5 (Methods); </w:t>
            </w:r>
            <w:proofErr w:type="gramStart"/>
            <w:r>
              <w:rPr>
                <w:color w:val="000000"/>
                <w:sz w:val="19"/>
                <w:szCs w:val="19"/>
              </w:rPr>
              <w:t>Figure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 xml:space="preserve">(a–b) Numbers and reasons at each step: • 205 underwent PEA </w:t>
            </w:r>
            <w:r>
              <w:rPr>
                <w:color w:val="000000"/>
                <w:sz w:val="19"/>
                <w:szCs w:val="19"/>
              </w:rPr>
              <w:t>• 31 in-hospital deaths (15.1%): ≤7d n=13, 8–30d n=9, &gt;30d n=9; 30-day mortality 22/205 (10.7%) • 174 hospital survivors (84.9%) • 25 without follow-up RHC (14.4%): lost n=6, RHC pending n=11, refusal/transfer/distance n=8 • 149 analytic cohort (85.6% of s</w:t>
            </w:r>
            <w:r>
              <w:rPr>
                <w:color w:val="000000"/>
                <w:sz w:val="19"/>
                <w:szCs w:val="19"/>
              </w:rPr>
              <w:t>urvivors) (c) STROBE flow diagram: Figure 1.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14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Descriptive data: (a) Give characteristics of study participants and information on exposures and potential confounders; (b) Indicate the number of participants with missing data for each variable; (c) Summa</w:t>
            </w:r>
            <w:r>
              <w:rPr>
                <w:color w:val="000000"/>
                <w:sz w:val="19"/>
                <w:szCs w:val="19"/>
              </w:rPr>
              <w:t>rise follow-up time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Table 1; p.7–8 (Results)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(a) Baseline characteristics by outcome (RPH vs no RPH) reported in the Results text (Study population subsection); full comparative table in Table 1 (univariable regression block). (b) 2 patients had missing co</w:t>
            </w:r>
            <w:r>
              <w:rPr>
                <w:color w:val="000000"/>
                <w:sz w:val="19"/>
                <w:szCs w:val="19"/>
              </w:rPr>
              <w:t>variate data (listwise deletion); noted in Methods and Table 1 footnote. (c) Median follow-up to RHC: 203 days (IQR 153–307 days). Stated in Methods and Table 1 (model performance block).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Outcome data: Report numbers of outcome events or summary measures over time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p.8 (Results)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Primary outcome: RPH (mPAP ≥25 mmHg) in 80/149 patients (53.7%). No RPH in 69/149 (46.3%). Complete cases for multivariable model: 80/147 (54.4%). All reported in Re</w:t>
            </w:r>
            <w:r>
              <w:rPr>
                <w:color w:val="000000"/>
                <w:sz w:val="19"/>
                <w:szCs w:val="19"/>
              </w:rPr>
              <w:t>sults and Table 1.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16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Main results: (a) Give unadjusted and adjusted estimates and their precision; (b) Report other analyses done, e.g. analyses of subgroups and interactions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Table 1; p.8–9 (Results)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(a) Univariable ORs with 95% CI for all 18 candidate variables presented in Table 1. Adjusted ORs (primary model, forward stepwise) presented in Table 1 and in Results text: • Female sex: adj. OR 2.21 [1.10–4.44] p=0.026 • Absence of prior VTE: adj. OR 3.3</w:t>
            </w:r>
            <w:r>
              <w:rPr>
                <w:color w:val="000000"/>
                <w:sz w:val="19"/>
                <w:szCs w:val="19"/>
              </w:rPr>
              <w:t>9 [1.12–10.23] p=0.031 • Preop mPAP/mmHg: adj. OR 1.037 [1.007–1.068] p=0.016 (b) Three models compared (Table 1 performance block); sensitivity analysis with mPAP ≥30 mmHg threshold and DeLong AUC comparison reported in Results (Sensitivity analyses subse</w:t>
            </w:r>
            <w:r>
              <w:rPr>
                <w:color w:val="000000"/>
                <w:sz w:val="19"/>
                <w:szCs w:val="19"/>
              </w:rPr>
              <w:t>ction).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17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Other analyses: Report other analyses done — e.g. analyses of subgroups and interactions, and sensitivity analyses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p.9–10 (Results)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(i) Bootstrap internal validation (B=1,000, Harrell method): optimism-corrected AUC 0.675, optimism 0.018, calibration slope 0.904, predictor stability &gt;98.8%. Reported in Results (Bootstrap validation subsection) and Table 1. (ii) mPAP ≥30 mmHg explorator</w:t>
            </w:r>
            <w:r>
              <w:rPr>
                <w:color w:val="000000"/>
                <w:sz w:val="19"/>
                <w:szCs w:val="19"/>
              </w:rPr>
              <w:t>y threshold: female sex remains significant (p=0.008), absence of VTE attenuated (p=0.472), mPAP borderline (p=0.060); AUC 0.659 vs 0.693. Reported in Results (Sensitivity analyses). (iii) Full and backward models: AUC 0.730–0.731; DeLong paired p=0.210 (N</w:t>
            </w:r>
            <w:r>
              <w:rPr>
                <w:color w:val="000000"/>
                <w:sz w:val="19"/>
                <w:szCs w:val="19"/>
              </w:rPr>
              <w:t>S); corrected AUC ~0.627 (higher optimism). Reported in Results and Supplementary.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DISCUSSION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18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Key results: Summarise key results with reference to study objectives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p.10 (Discussion, ¶1)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Opening paragraph of Discussion restates the primary finding: RPH in 53.7%, with three independent preoperative predictors (female sex, absence of VTE, higher mPAP), with direct reference to the study objectives.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19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Limitations: Discuss limitations of the</w:t>
            </w:r>
            <w:r>
              <w:rPr>
                <w:color w:val="000000"/>
                <w:sz w:val="19"/>
                <w:szCs w:val="19"/>
              </w:rPr>
              <w:t xml:space="preserve"> study, taking into account sources of potential bias or imprecision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p.11 (Discussion, Limitations)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Limitations section explicitly addresses: (1) retrospective design; (2) single-centre; (3) VTE history based on patient recall; (4) moderate AUC (0.693); (5</w:t>
            </w:r>
            <w:r>
              <w:rPr>
                <w:color w:val="000000"/>
                <w:sz w:val="19"/>
                <w:szCs w:val="19"/>
              </w:rPr>
              <w:t>) 14.4% survivors without RHC (potential informative censoring); (6) no direct assessment of microvascular disease; (7) external validation required before clinical implementation.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Interpretation: Give a cautious overall interpretation of results considering objectives, limitations, multiplicity of analyses, and results from similar studies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p.10–12 (Discussion); p.12 (Conclusion)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Discussion contextualises findings within existing literature (UK CURATE registry, sex-related data, absence-of-VTE phenotype, haemodynamic burden). Cautious language used throughout ('hypothesis-generating', 'consistent with the interpretation', 'requires</w:t>
            </w:r>
            <w:r>
              <w:rPr>
                <w:color w:val="000000"/>
                <w:sz w:val="19"/>
                <w:szCs w:val="19"/>
              </w:rPr>
              <w:t xml:space="preserve"> prospective validation'). Conclusion is appropriately conservative.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21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Generalisability: Discuss the generalisability (external validity) of the study results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p.11 (Discussion, Limitations)</w:t>
            </w:r>
          </w:p>
        </w:tc>
        <w:tc>
          <w:tcPr>
            <w:tcW w:w="0" w:type="auto"/>
            <w:shd w:val="clear" w:color="auto" w:fill="EEEEEE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Generalisability discussed: single-centre Latin American population; high disease severity; national tertiary referral centre serving patients from all Brazilian regions. External validation declared necessary before clinical implementation.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shd w:val="clear" w:color="auto" w:fill="333333"/>
          </w:tcPr>
          <w:p w:rsidR="00483C58" w:rsidRDefault="00414191">
            <w:pPr>
              <w:spacing w:before="36" w:after="36"/>
            </w:pPr>
            <w:r>
              <w:rPr>
                <w:b/>
                <w:bCs/>
                <w:i/>
                <w:iCs/>
                <w:color w:val="FFFFFF"/>
                <w:sz w:val="19"/>
                <w:szCs w:val="19"/>
              </w:rPr>
              <w:t>OTHER INFORMATION</w:t>
            </w:r>
          </w:p>
        </w:tc>
      </w:tr>
      <w:tr w:rsidR="00483C5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b/>
                <w:bCs/>
                <w:color w:val="000000"/>
                <w:sz w:val="19"/>
                <w:szCs w:val="19"/>
              </w:rPr>
              <w:t>22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Funding: 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  <w:jc w:val="both"/>
            </w:pPr>
            <w:r>
              <w:rPr>
                <w:color w:val="000000"/>
                <w:sz w:val="19"/>
                <w:szCs w:val="19"/>
              </w:rPr>
              <w:t>Declarations section</w:t>
            </w:r>
          </w:p>
        </w:tc>
        <w:tc>
          <w:tcPr>
            <w:tcW w:w="0" w:type="auto"/>
            <w:shd w:val="clear" w:color="auto" w:fill="FFFFFF"/>
          </w:tcPr>
          <w:p w:rsidR="00483C58" w:rsidRDefault="00414191">
            <w:pPr>
              <w:spacing w:before="36" w:after="36"/>
            </w:pPr>
            <w:r>
              <w:rPr>
                <w:color w:val="000000"/>
                <w:sz w:val="19"/>
                <w:szCs w:val="19"/>
              </w:rPr>
              <w:t>'The authors declare that no funds, grants, or other support were received during the preparation of this manuscript.' Declared in Statements and Declarations section.</w:t>
            </w:r>
          </w:p>
        </w:tc>
      </w:tr>
    </w:tbl>
    <w:p w:rsidR="00483C58" w:rsidRDefault="00483C58">
      <w:pPr>
        <w:spacing w:after="120"/>
      </w:pPr>
    </w:p>
    <w:p w:rsidR="00483C58" w:rsidRDefault="00414191">
      <w:pPr>
        <w:spacing w:after="60" w:line="480" w:lineRule="auto"/>
        <w:jc w:val="both"/>
      </w:pPr>
      <w:r>
        <w:rPr>
          <w:b/>
          <w:bCs/>
          <w:color w:val="000000"/>
          <w:sz w:val="22"/>
          <w:szCs w:val="22"/>
        </w:rPr>
        <w:lastRenderedPageBreak/>
        <w:t xml:space="preserve">Note: </w:t>
      </w:r>
      <w:r>
        <w:rPr>
          <w:i/>
          <w:iCs/>
          <w:color w:val="555555"/>
          <w:sz w:val="22"/>
          <w:szCs w:val="22"/>
        </w:rPr>
        <w:t xml:space="preserve">This checklist follows the STROBE Statement for cohort studies (von Elm et al., </w:t>
      </w:r>
      <w:r>
        <w:rPr>
          <w:i/>
          <w:iCs/>
          <w:color w:val="555555"/>
          <w:sz w:val="22"/>
          <w:szCs w:val="22"/>
        </w:rPr>
        <w:t xml:space="preserve">PLoS Med 2007; 4:e296). Items are numbered 1–22 per the original STROBE checklist. 'N/A' indicates items not applicable to a retrospective analytical cohort study. All items were addressed in the manuscript; page numbers refer to the submitted version. </w:t>
      </w:r>
    </w:p>
    <w:p w:rsidR="00483C58" w:rsidRDefault="00483C58">
      <w:pPr>
        <w:spacing w:after="80" w:line="480" w:lineRule="auto"/>
        <w:jc w:val="both"/>
      </w:pPr>
      <w:bookmarkStart w:id="0" w:name="_GoBack"/>
      <w:bookmarkEnd w:id="0"/>
    </w:p>
    <w:sectPr w:rsidR="00483C58">
      <w:pgSz w:w="15840" w:h="12240"/>
      <w:pgMar w:top="1080" w:right="108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90D54"/>
    <w:multiLevelType w:val="hybridMultilevel"/>
    <w:tmpl w:val="01800966"/>
    <w:lvl w:ilvl="0" w:tplc="EFE60F1A">
      <w:start w:val="1"/>
      <w:numFmt w:val="bullet"/>
      <w:lvlText w:val="●"/>
      <w:lvlJc w:val="left"/>
      <w:pPr>
        <w:ind w:left="720" w:hanging="360"/>
      </w:pPr>
    </w:lvl>
    <w:lvl w:ilvl="1" w:tplc="D02EFD04">
      <w:start w:val="1"/>
      <w:numFmt w:val="bullet"/>
      <w:lvlText w:val="○"/>
      <w:lvlJc w:val="left"/>
      <w:pPr>
        <w:ind w:left="1440" w:hanging="360"/>
      </w:pPr>
    </w:lvl>
    <w:lvl w:ilvl="2" w:tplc="4C609416">
      <w:start w:val="1"/>
      <w:numFmt w:val="bullet"/>
      <w:lvlText w:val="■"/>
      <w:lvlJc w:val="left"/>
      <w:pPr>
        <w:ind w:left="2160" w:hanging="360"/>
      </w:pPr>
    </w:lvl>
    <w:lvl w:ilvl="3" w:tplc="8C60D600">
      <w:start w:val="1"/>
      <w:numFmt w:val="bullet"/>
      <w:lvlText w:val="●"/>
      <w:lvlJc w:val="left"/>
      <w:pPr>
        <w:ind w:left="2880" w:hanging="360"/>
      </w:pPr>
    </w:lvl>
    <w:lvl w:ilvl="4" w:tplc="674675B0">
      <w:start w:val="1"/>
      <w:numFmt w:val="bullet"/>
      <w:lvlText w:val="○"/>
      <w:lvlJc w:val="left"/>
      <w:pPr>
        <w:ind w:left="3600" w:hanging="360"/>
      </w:pPr>
    </w:lvl>
    <w:lvl w:ilvl="5" w:tplc="5C6878FC">
      <w:start w:val="1"/>
      <w:numFmt w:val="bullet"/>
      <w:lvlText w:val="■"/>
      <w:lvlJc w:val="left"/>
      <w:pPr>
        <w:ind w:left="4320" w:hanging="360"/>
      </w:pPr>
    </w:lvl>
    <w:lvl w:ilvl="6" w:tplc="C4580D68">
      <w:start w:val="1"/>
      <w:numFmt w:val="bullet"/>
      <w:lvlText w:val="●"/>
      <w:lvlJc w:val="left"/>
      <w:pPr>
        <w:ind w:left="5040" w:hanging="360"/>
      </w:pPr>
    </w:lvl>
    <w:lvl w:ilvl="7" w:tplc="A44EF05A">
      <w:start w:val="1"/>
      <w:numFmt w:val="bullet"/>
      <w:lvlText w:val="●"/>
      <w:lvlJc w:val="left"/>
      <w:pPr>
        <w:ind w:left="5760" w:hanging="360"/>
      </w:pPr>
    </w:lvl>
    <w:lvl w:ilvl="8" w:tplc="39A6EE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C58"/>
    <w:rsid w:val="00414191"/>
    <w:rsid w:val="0048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E33B9"/>
  <w15:docId w15:val="{25D6C0BD-EDC9-46E3-B85D-14172584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1930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direx30</cp:lastModifiedBy>
  <cp:revision>2</cp:revision>
  <dcterms:created xsi:type="dcterms:W3CDTF">2026-09-25T19:10:00Z</dcterms:created>
  <dcterms:modified xsi:type="dcterms:W3CDTF">2026-09-25T19:10:00Z</dcterms:modified>
</cp:coreProperties>
</file>