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EA438" w14:textId="77777777" w:rsidR="00D27A44" w:rsidRDefault="00107C42">
      <w:r>
        <w:rPr>
          <w:b/>
        </w:rPr>
        <w:t>Supplementary Table S1. Sensitivity analyses of treatment initiation.</w:t>
      </w:r>
    </w:p>
    <w:tbl>
      <w:tblPr>
        <w:tblStyle w:val="TabloKlavuzu"/>
        <w:tblW w:w="0" w:type="auto"/>
        <w:tblLook w:val="04A0" w:firstRow="1" w:lastRow="0" w:firstColumn="1" w:lastColumn="0" w:noHBand="0" w:noVBand="1"/>
      </w:tblPr>
      <w:tblGrid>
        <w:gridCol w:w="1506"/>
        <w:gridCol w:w="1506"/>
        <w:gridCol w:w="1507"/>
        <w:gridCol w:w="1507"/>
        <w:gridCol w:w="1508"/>
        <w:gridCol w:w="1507"/>
        <w:gridCol w:w="1507"/>
        <w:gridCol w:w="1506"/>
        <w:gridCol w:w="1508"/>
      </w:tblGrid>
      <w:tr w:rsidR="00D27A44" w14:paraId="0B798D4D" w14:textId="77777777">
        <w:tc>
          <w:tcPr>
            <w:tcW w:w="1508" w:type="dxa"/>
          </w:tcPr>
          <w:p w14:paraId="0E3ECD17" w14:textId="77777777" w:rsidR="00D27A44" w:rsidRDefault="00107C42">
            <w:r>
              <w:rPr>
                <w:b/>
              </w:rPr>
              <w:t>Analysis set</w:t>
            </w:r>
          </w:p>
        </w:tc>
        <w:tc>
          <w:tcPr>
            <w:tcW w:w="1508" w:type="dxa"/>
          </w:tcPr>
          <w:p w14:paraId="1A4EAF8B" w14:textId="77777777" w:rsidR="00D27A44" w:rsidRDefault="00107C42">
            <w:r>
              <w:rPr>
                <w:b/>
              </w:rPr>
              <w:t>n</w:t>
            </w:r>
          </w:p>
        </w:tc>
        <w:tc>
          <w:tcPr>
            <w:tcW w:w="1508" w:type="dxa"/>
          </w:tcPr>
          <w:p w14:paraId="57B12636" w14:textId="77777777" w:rsidR="00D27A44" w:rsidRDefault="00107C42">
            <w:r>
              <w:rPr>
                <w:b/>
              </w:rPr>
              <w:t>Treated, n (%)</w:t>
            </w:r>
          </w:p>
        </w:tc>
        <w:tc>
          <w:tcPr>
            <w:tcW w:w="1508" w:type="dxa"/>
          </w:tcPr>
          <w:p w14:paraId="4213C0BB" w14:textId="77777777" w:rsidR="00D27A44" w:rsidRDefault="00107C42">
            <w:r>
              <w:rPr>
                <w:b/>
              </w:rPr>
              <w:t>Single-variant carriers treated, n/N (%)</w:t>
            </w:r>
          </w:p>
        </w:tc>
        <w:tc>
          <w:tcPr>
            <w:tcW w:w="1508" w:type="dxa"/>
          </w:tcPr>
          <w:p w14:paraId="0AD59AFB" w14:textId="77777777" w:rsidR="00D27A44" w:rsidRDefault="00107C42">
            <w:r>
              <w:rPr>
                <w:b/>
              </w:rPr>
              <w:t>M694V/E148Q treated, n/N (P)</w:t>
            </w:r>
          </w:p>
        </w:tc>
        <w:tc>
          <w:tcPr>
            <w:tcW w:w="1508" w:type="dxa"/>
          </w:tcPr>
          <w:p w14:paraId="3FA748E1" w14:textId="77777777" w:rsidR="00D27A44" w:rsidRDefault="00107C42">
            <w:r>
              <w:rPr>
                <w:b/>
              </w:rPr>
              <w:t>Isolated E148Q treated, n/N (P)</w:t>
            </w:r>
          </w:p>
        </w:tc>
        <w:tc>
          <w:tcPr>
            <w:tcW w:w="1508" w:type="dxa"/>
          </w:tcPr>
          <w:p w14:paraId="0FA3B456" w14:textId="77777777" w:rsidR="00D27A44" w:rsidRDefault="00107C42">
            <w:r>
              <w:rPr>
                <w:b/>
              </w:rPr>
              <w:t>Cumulative probability at 1/2/5 years, %</w:t>
            </w:r>
          </w:p>
        </w:tc>
        <w:tc>
          <w:tcPr>
            <w:tcW w:w="1508" w:type="dxa"/>
          </w:tcPr>
          <w:p w14:paraId="1649FD7E" w14:textId="77777777" w:rsidR="00D27A44" w:rsidRDefault="00107C42">
            <w:r>
              <w:rPr>
                <w:b/>
              </w:rPr>
              <w:t>Log-rank P, single- vs dual-variant</w:t>
            </w:r>
          </w:p>
        </w:tc>
        <w:tc>
          <w:tcPr>
            <w:tcW w:w="1508" w:type="dxa"/>
          </w:tcPr>
          <w:p w14:paraId="2F8E91BB" w14:textId="77777777" w:rsidR="00D27A44" w:rsidRDefault="00107C42">
            <w:r>
              <w:rPr>
                <w:b/>
              </w:rPr>
              <w:t>Log-rank P, M694V/E148Q vs others</w:t>
            </w:r>
          </w:p>
        </w:tc>
      </w:tr>
      <w:tr w:rsidR="00D27A44" w14:paraId="67906C26" w14:textId="77777777">
        <w:tc>
          <w:tcPr>
            <w:tcW w:w="1508" w:type="dxa"/>
          </w:tcPr>
          <w:p w14:paraId="512E78B2" w14:textId="77777777" w:rsidR="00D27A44" w:rsidRDefault="00107C42">
            <w:r>
              <w:t>Main analysis (whole cohort)</w:t>
            </w:r>
          </w:p>
        </w:tc>
        <w:tc>
          <w:tcPr>
            <w:tcW w:w="1508" w:type="dxa"/>
          </w:tcPr>
          <w:p w14:paraId="7ED92791" w14:textId="77777777" w:rsidR="00D27A44" w:rsidRDefault="00107C42">
            <w:r>
              <w:t>116</w:t>
            </w:r>
          </w:p>
        </w:tc>
        <w:tc>
          <w:tcPr>
            <w:tcW w:w="1508" w:type="dxa"/>
          </w:tcPr>
          <w:p w14:paraId="6BCFDCE2" w14:textId="77777777" w:rsidR="00D27A44" w:rsidRDefault="00107C42">
            <w:r>
              <w:t>61 (52.6)</w:t>
            </w:r>
          </w:p>
        </w:tc>
        <w:tc>
          <w:tcPr>
            <w:tcW w:w="1508" w:type="dxa"/>
          </w:tcPr>
          <w:p w14:paraId="2059CA02" w14:textId="77777777" w:rsidR="00D27A44" w:rsidRDefault="00107C42">
            <w:r>
              <w:t>52/104 (50.0)</w:t>
            </w:r>
          </w:p>
        </w:tc>
        <w:tc>
          <w:tcPr>
            <w:tcW w:w="1508" w:type="dxa"/>
          </w:tcPr>
          <w:p w14:paraId="2FA7649A" w14:textId="77777777" w:rsidR="00D27A44" w:rsidRDefault="00107C42">
            <w:r>
              <w:t>6/6 (0.028)</w:t>
            </w:r>
          </w:p>
        </w:tc>
        <w:tc>
          <w:tcPr>
            <w:tcW w:w="1508" w:type="dxa"/>
          </w:tcPr>
          <w:p w14:paraId="43CB326D" w14:textId="77777777" w:rsidR="00D27A44" w:rsidRDefault="00107C42">
            <w:r>
              <w:t>5/17 (0.064)</w:t>
            </w:r>
          </w:p>
        </w:tc>
        <w:tc>
          <w:tcPr>
            <w:tcW w:w="1508" w:type="dxa"/>
          </w:tcPr>
          <w:p w14:paraId="655A4834" w14:textId="77777777" w:rsidR="00D27A44" w:rsidRDefault="00107C42">
            <w:r>
              <w:t>40.8 / 52.6 / 59.9</w:t>
            </w:r>
          </w:p>
        </w:tc>
        <w:tc>
          <w:tcPr>
            <w:tcW w:w="1508" w:type="dxa"/>
          </w:tcPr>
          <w:p w14:paraId="5390CD1A" w14:textId="77777777" w:rsidR="00D27A44" w:rsidRDefault="00107C42">
            <w:r>
              <w:t>0.010</w:t>
            </w:r>
          </w:p>
        </w:tc>
        <w:tc>
          <w:tcPr>
            <w:tcW w:w="1508" w:type="dxa"/>
          </w:tcPr>
          <w:p w14:paraId="751952F5" w14:textId="77777777" w:rsidR="00D27A44" w:rsidRDefault="00107C42">
            <w:r>
              <w:t>0.001</w:t>
            </w:r>
          </w:p>
        </w:tc>
      </w:tr>
      <w:tr w:rsidR="00D27A44" w14:paraId="5C607ECC" w14:textId="77777777">
        <w:tc>
          <w:tcPr>
            <w:tcW w:w="1508" w:type="dxa"/>
          </w:tcPr>
          <w:p w14:paraId="2A91E46B" w14:textId="77777777" w:rsidR="00D27A44" w:rsidRDefault="00107C42">
            <w:r>
              <w:t>Excluding family-screening referrals</w:t>
            </w:r>
          </w:p>
        </w:tc>
        <w:tc>
          <w:tcPr>
            <w:tcW w:w="1508" w:type="dxa"/>
          </w:tcPr>
          <w:p w14:paraId="39F4A4F4" w14:textId="77777777" w:rsidR="00D27A44" w:rsidRDefault="00107C42">
            <w:r>
              <w:t>106</w:t>
            </w:r>
          </w:p>
        </w:tc>
        <w:tc>
          <w:tcPr>
            <w:tcW w:w="1508" w:type="dxa"/>
          </w:tcPr>
          <w:p w14:paraId="7968F470" w14:textId="77777777" w:rsidR="00D27A44" w:rsidRDefault="00107C42">
            <w:r>
              <w:t>58 (54.7)</w:t>
            </w:r>
          </w:p>
        </w:tc>
        <w:tc>
          <w:tcPr>
            <w:tcW w:w="1508" w:type="dxa"/>
          </w:tcPr>
          <w:p w14:paraId="4A7657AF" w14:textId="77777777" w:rsidR="00D27A44" w:rsidRDefault="00107C42">
            <w:r>
              <w:t>51/96 (53.1)</w:t>
            </w:r>
          </w:p>
        </w:tc>
        <w:tc>
          <w:tcPr>
            <w:tcW w:w="1508" w:type="dxa"/>
          </w:tcPr>
          <w:p w14:paraId="390EBD1A" w14:textId="77777777" w:rsidR="00D27A44" w:rsidRDefault="00107C42">
            <w:r>
              <w:t>5/5 (0.062)</w:t>
            </w:r>
          </w:p>
        </w:tc>
        <w:tc>
          <w:tcPr>
            <w:tcW w:w="1508" w:type="dxa"/>
          </w:tcPr>
          <w:p w14:paraId="057950D6" w14:textId="77777777" w:rsidR="00D27A44" w:rsidRDefault="00107C42">
            <w:r>
              <w:t>5/16 (0.056)</w:t>
            </w:r>
          </w:p>
        </w:tc>
        <w:tc>
          <w:tcPr>
            <w:tcW w:w="1508" w:type="dxa"/>
          </w:tcPr>
          <w:p w14:paraId="1A1ED2AC" w14:textId="77777777" w:rsidR="00D27A44" w:rsidRDefault="00107C42">
            <w:r>
              <w:t>41.6 / 54.3 / 62.5</w:t>
            </w:r>
          </w:p>
        </w:tc>
        <w:tc>
          <w:tcPr>
            <w:tcW w:w="1508" w:type="dxa"/>
          </w:tcPr>
          <w:p w14:paraId="2B84DB6A" w14:textId="77777777" w:rsidR="00D27A44" w:rsidRDefault="00107C42">
            <w:r>
              <w:t>0.070</w:t>
            </w:r>
          </w:p>
        </w:tc>
        <w:tc>
          <w:tcPr>
            <w:tcW w:w="1508" w:type="dxa"/>
          </w:tcPr>
          <w:p w14:paraId="22E23D90" w14:textId="77777777" w:rsidR="00D27A44" w:rsidRDefault="00107C42">
            <w:r>
              <w:t>0.004</w:t>
            </w:r>
          </w:p>
        </w:tc>
      </w:tr>
      <w:tr w:rsidR="00D27A44" w14:paraId="4BB34FD6" w14:textId="77777777">
        <w:tc>
          <w:tcPr>
            <w:tcW w:w="1508" w:type="dxa"/>
          </w:tcPr>
          <w:p w14:paraId="7CED4EDE" w14:textId="77777777" w:rsidR="00D27A44" w:rsidRDefault="00107C42">
            <w:r>
              <w:t>Excluding follow-up &lt;1 year</w:t>
            </w:r>
          </w:p>
        </w:tc>
        <w:tc>
          <w:tcPr>
            <w:tcW w:w="1508" w:type="dxa"/>
          </w:tcPr>
          <w:p w14:paraId="36F79708" w14:textId="77777777" w:rsidR="00D27A44" w:rsidRDefault="00107C42">
            <w:r>
              <w:t>96</w:t>
            </w:r>
          </w:p>
        </w:tc>
        <w:tc>
          <w:tcPr>
            <w:tcW w:w="1508" w:type="dxa"/>
          </w:tcPr>
          <w:p w14:paraId="5369D576" w14:textId="77777777" w:rsidR="00D27A44" w:rsidRDefault="00107C42">
            <w:r>
              <w:t>56 (58.3)</w:t>
            </w:r>
          </w:p>
        </w:tc>
        <w:tc>
          <w:tcPr>
            <w:tcW w:w="1508" w:type="dxa"/>
          </w:tcPr>
          <w:p w14:paraId="1E2EFB9E" w14:textId="77777777" w:rsidR="00D27A44" w:rsidRDefault="00107C42">
            <w:r>
              <w:t>47/86 (54.7)</w:t>
            </w:r>
          </w:p>
        </w:tc>
        <w:tc>
          <w:tcPr>
            <w:tcW w:w="1508" w:type="dxa"/>
          </w:tcPr>
          <w:p w14:paraId="0B779785" w14:textId="77777777" w:rsidR="00D27A44" w:rsidRDefault="00107C42">
            <w:r>
              <w:t>6/6 (0.039)</w:t>
            </w:r>
          </w:p>
        </w:tc>
        <w:tc>
          <w:tcPr>
            <w:tcW w:w="1508" w:type="dxa"/>
          </w:tcPr>
          <w:p w14:paraId="05FC88DC" w14:textId="77777777" w:rsidR="00D27A44" w:rsidRDefault="00107C42">
            <w:r>
              <w:t>4/11 (0.192)</w:t>
            </w:r>
          </w:p>
        </w:tc>
        <w:tc>
          <w:tcPr>
            <w:tcW w:w="1508" w:type="dxa"/>
          </w:tcPr>
          <w:p w14:paraId="441B1499" w14:textId="77777777" w:rsidR="00D27A44" w:rsidRDefault="00107C42">
            <w:r>
              <w:t>41.1 / 52.8 / 60.1</w:t>
            </w:r>
          </w:p>
        </w:tc>
        <w:tc>
          <w:tcPr>
            <w:tcW w:w="1508" w:type="dxa"/>
          </w:tcPr>
          <w:p w14:paraId="5DF1FFA8" w14:textId="77777777" w:rsidR="00D27A44" w:rsidRDefault="00107C42">
            <w:r>
              <w:t>0.001</w:t>
            </w:r>
          </w:p>
        </w:tc>
        <w:tc>
          <w:tcPr>
            <w:tcW w:w="1508" w:type="dxa"/>
          </w:tcPr>
          <w:p w14:paraId="27E9B436" w14:textId="77777777" w:rsidR="00D27A44" w:rsidRDefault="00107C42">
            <w:r>
              <w:t>0.002</w:t>
            </w:r>
          </w:p>
        </w:tc>
      </w:tr>
    </w:tbl>
    <w:p w14:paraId="390AA4E0" w14:textId="77777777" w:rsidR="00D27A44" w:rsidRDefault="00107C42">
      <w:r>
        <w:t>P-values for genotype groups are from Fisher's exact test (each group vs the remainder of the analysis set) and are uncorrected. Cumulative probability of treatment initiation was estimated with the Kaplan–Meier method; one treated child with a missing treatment date was excluded from time-to-event analyses (n = 115 in the main analysis, 105 and 95 in the sensitivity analyses). Family-screening referrals: children referred solely because of a family history of FMF (n = 10, of whom 3 were treated).</w:t>
      </w:r>
    </w:p>
    <w:sectPr w:rsidR="00D27A44" w:rsidSect="00034616">
      <w:pgSz w:w="15840" w:h="12240" w:orient="landscape"/>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259414190">
    <w:abstractNumId w:val="8"/>
  </w:num>
  <w:num w:numId="2" w16cid:durableId="696782450">
    <w:abstractNumId w:val="6"/>
  </w:num>
  <w:num w:numId="3" w16cid:durableId="1974945466">
    <w:abstractNumId w:val="5"/>
  </w:num>
  <w:num w:numId="4" w16cid:durableId="2090078758">
    <w:abstractNumId w:val="4"/>
  </w:num>
  <w:num w:numId="5" w16cid:durableId="1644700014">
    <w:abstractNumId w:val="7"/>
  </w:num>
  <w:num w:numId="6" w16cid:durableId="774784683">
    <w:abstractNumId w:val="3"/>
  </w:num>
  <w:num w:numId="7" w16cid:durableId="791825506">
    <w:abstractNumId w:val="2"/>
  </w:num>
  <w:num w:numId="8" w16cid:durableId="1966961744">
    <w:abstractNumId w:val="1"/>
  </w:num>
  <w:num w:numId="9" w16cid:durableId="483546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7C42"/>
    <w:rsid w:val="0015074B"/>
    <w:rsid w:val="0029639D"/>
    <w:rsid w:val="002D5DCF"/>
    <w:rsid w:val="00326F90"/>
    <w:rsid w:val="00AA1D8D"/>
    <w:rsid w:val="00B47730"/>
    <w:rsid w:val="00CB0664"/>
    <w:rsid w:val="00D27A44"/>
    <w:rsid w:val="00FC693F"/>
    <w:rsid w:val="00FF7C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EDA1C5"/>
  <w14:defaultImageDpi w14:val="300"/>
  <w15:docId w15:val="{412FC47D-BF57-4CD1-84A2-20A9A399E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173</Words>
  <Characters>990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Pelin Şenol</cp:lastModifiedBy>
  <cp:revision>2</cp:revision>
  <dcterms:created xsi:type="dcterms:W3CDTF">2026-09-23T20:27:00Z</dcterms:created>
  <dcterms:modified xsi:type="dcterms:W3CDTF">2026-09-23T20:27:00Z</dcterms:modified>
  <cp:category/>
</cp:coreProperties>
</file>