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val="0"/>
        <w:pageBreakBefore w:val="0"/>
        <w:spacing w:before="0" w:after="280" w:line="259" w:lineRule="auto"/>
        <w:jc w:val="center"/>
      </w:pPr>
      <w:r>
        <w:rPr>
          <w:rFonts w:ascii="Arial" w:hAnsi="Arial" w:eastAsia="Arial"/>
          <w:b/>
          <w:i w:val="0"/>
          <w:color w:val="000000"/>
          <w:sz w:val="32"/>
        </w:rPr>
        <w:t>Evaluating CMAQ Representation of Wildfire PM₂.₅ in California (2008–2018): Regime-Dependent Performance and Nonlinear Error Structure</w:t>
      </w:r>
    </w:p>
    <w:p>
      <w:pPr>
        <w:spacing w:after="120" w:line="276" w:lineRule="auto"/>
        <w:ind w:left="0" w:right="0" w:firstLine="0"/>
        <w:jc w:val="center"/>
      </w:pPr>
      <w:r>
        <w:t>Eimy X. Bonilla¹, Jose Perez-Chavez¹, Daja Elum¹, Olutoyosi Oyelowo¹, Samuel Kane¹, Rachel E. Connolly², Miriam E. Marlier², Jihoon Jung³, Mohammad Al-Hamdan⁴, Claire L. Schollaert², John C. Flunker⁵, Huikyo Lee⁶, Sambit Bhattacharya⁷, Osinachi Ajoku¹, Christopher Blaszczak-Boxe¹, and Joseph L. Wilkins¹</w:t>
      </w:r>
    </w:p>
    <w:p>
      <w:pPr>
        <w:spacing w:after="120" w:line="276" w:lineRule="auto"/>
        <w:ind w:left="0" w:right="0" w:firstLine="0"/>
        <w:jc w:val="left"/>
      </w:pPr>
      <w:r>
        <w:rPr>
          <w:rFonts w:ascii="Arial" w:hAnsi="Arial" w:eastAsia="Arial"/>
          <w:b w:val="0"/>
          <w:i w:val="0"/>
          <w:color w:val="000000"/>
          <w:sz w:val="24"/>
        </w:rPr>
        <w:t>¹ Department of Earth, Environment, and Equity, Howard University Graduate Program in Atmospheric Sciences, Howard University, Washington, DC, USA</w:t>
      </w:r>
    </w:p>
    <w:p>
      <w:pPr>
        <w:spacing w:after="120" w:line="276" w:lineRule="auto"/>
        <w:ind w:left="0" w:right="0" w:firstLine="0"/>
        <w:jc w:val="left"/>
      </w:pPr>
      <w:r>
        <w:rPr>
          <w:rFonts w:ascii="Arial" w:hAnsi="Arial" w:eastAsia="Arial"/>
          <w:b w:val="0"/>
          <w:i w:val="0"/>
          <w:color w:val="000000"/>
          <w:sz w:val="24"/>
        </w:rPr>
        <w:t>² Fielding School of Public Health, Department of Environmental Health Sciences, University of California, Los Angeles, Los Angeles, CA, USA</w:t>
      </w:r>
    </w:p>
    <w:p>
      <w:pPr>
        <w:spacing w:after="120" w:line="276" w:lineRule="auto"/>
        <w:ind w:left="0" w:right="0" w:firstLine="0"/>
        <w:jc w:val="left"/>
      </w:pPr>
      <w:r>
        <w:rPr>
          <w:rFonts w:ascii="Arial" w:hAnsi="Arial" w:eastAsia="Arial"/>
          <w:b w:val="0"/>
          <w:i w:val="0"/>
          <w:color w:val="000000"/>
          <w:sz w:val="24"/>
        </w:rPr>
        <w:t>³ Department of City and Regional Planning, University of North Carolina at Chapel Hill, Chapel Hill, NC, USA</w:t>
      </w:r>
    </w:p>
    <w:p>
      <w:pPr>
        <w:spacing w:after="120" w:line="276" w:lineRule="auto"/>
        <w:ind w:left="0" w:right="0" w:firstLine="0"/>
        <w:jc w:val="left"/>
      </w:pPr>
      <w:r>
        <w:rPr>
          <w:rFonts w:ascii="Arial" w:hAnsi="Arial" w:eastAsia="Arial"/>
          <w:b w:val="0"/>
          <w:i w:val="0"/>
          <w:color w:val="000000"/>
          <w:sz w:val="24"/>
        </w:rPr>
        <w:t>⁴ National Center for Computational Hydroscience and Engineering, School of Engineering, University of Mississippi, Oxford, MS, USA</w:t>
      </w:r>
    </w:p>
    <w:p>
      <w:pPr>
        <w:spacing w:before="160" w:after="120" w:line="276" w:lineRule="auto"/>
        <w:ind w:left="0" w:right="0" w:firstLine="0"/>
        <w:jc w:val="left"/>
      </w:pPr>
      <w:r>
        <w:rPr>
          <w:rFonts w:ascii="Arial" w:hAnsi="Arial" w:eastAsia="Arial"/>
          <w:b w:val="0"/>
          <w:i w:val="0"/>
          <w:color w:val="000000"/>
          <w:sz w:val="24"/>
        </w:rPr>
        <w:t>⁵ Department of Epidemiology, University of Iowa, Iowa City, IA, USA</w:t>
      </w:r>
    </w:p>
    <w:p>
      <w:pPr>
        <w:spacing w:after="120" w:line="276" w:lineRule="auto"/>
        <w:ind w:left="0" w:right="0" w:firstLine="0"/>
        <w:jc w:val="left"/>
      </w:pPr>
      <w:r>
        <w:t>⁶ NASA’s Jet Propulsion Laboratory, Pasadena, CA, USA</w:t>
      </w:r>
    </w:p>
    <w:p>
      <w:pPr>
        <w:spacing w:after="120" w:line="276" w:lineRule="auto"/>
        <w:ind w:left="0" w:right="0" w:firstLine="0"/>
        <w:jc w:val="left"/>
      </w:pPr>
      <w:r>
        <w:t>⁷ Department of Mathematics and Computer Science, Fayetteville State University, Fayetteville, NC, USA</w:t>
      </w:r>
    </w:p>
    <w:p>
      <w:pPr>
        <w:spacing w:after="120" w:line="276" w:lineRule="auto"/>
        <w:ind w:left="0" w:right="0" w:firstLine="0"/>
        <w:jc w:val="left"/>
      </w:pPr>
      <w:r>
        <w:t>Corresponding author: Eimy X. Bonilla; exbonilla12@gmail.com</w:t>
      </w:r>
    </w:p>
    <w:p>
      <w:pPr>
        <w:spacing w:after="120" w:line="276" w:lineRule="auto"/>
        <w:ind w:left="0" w:right="0" w:firstLine="0"/>
        <w:jc w:val="left"/>
      </w:pPr>
      <w:r>
        <w:rPr>
          <w:rFonts w:ascii="Arial" w:hAnsi="Arial" w:eastAsia="Arial"/>
          <w:color w:val="000000"/>
          <w:sz w:val="24"/>
        </w:rPr>
        <w:br w:type="page"/>
      </w:r>
    </w:p>
    <w:p>
      <w:pPr>
        <w:pStyle w:val="Heading1"/>
        <w:keepNext/>
        <w:pageBreakBefore w:val="0"/>
        <w:spacing w:before="160" w:after="120" w:line="276" w:lineRule="auto"/>
        <w:ind w:left="0" w:right="0" w:firstLine="0"/>
        <w:jc w:val="left"/>
      </w:pPr>
      <w:r>
        <w:rPr>
          <w:rFonts w:ascii="Arial" w:hAnsi="Arial" w:eastAsia="Arial"/>
          <w:color w:val="000000"/>
          <w:sz w:val="28"/>
        </w:rPr>
        <w:t>Supplementary Information</w:t>
      </w:r>
    </w:p>
    <w:p>
      <w:pPr>
        <w:pStyle w:val="Heading1"/>
        <w:keepNext/>
        <w:pageBreakBefore w:val="0"/>
        <w:spacing w:before="160" w:after="120" w:line="276" w:lineRule="auto"/>
        <w:ind w:left="0" w:right="0" w:firstLine="0"/>
        <w:jc w:val="left"/>
      </w:pPr>
      <w:r>
        <w:rPr>
          <w:rFonts w:ascii="Arial" w:hAnsi="Arial" w:eastAsia="Arial"/>
          <w:b/>
          <w:i w:val="0"/>
          <w:color w:val="000000"/>
          <w:sz w:val="28"/>
        </w:rPr>
        <w:t>Supplementary Methods</w:t>
      </w:r>
    </w:p>
    <w:p>
      <w:pPr>
        <w:spacing w:after="120" w:line="276" w:lineRule="auto"/>
        <w:ind w:left="0" w:right="0" w:firstLine="0"/>
        <w:jc w:val="left"/>
      </w:pPr>
      <w:r>
        <w:rPr>
          <w:rFonts w:ascii="Arial" w:hAnsi="Arial" w:eastAsia="Arial"/>
          <w:color w:val="000000"/>
          <w:sz w:val="24"/>
        </w:rPr>
        <w:t>Whole-day lag sensitivity paired CMAQ total PM₂.₅ on day t with observations from the same site at t−3 through t+3 days. Positive lags indicate that the modeled value preceded the observation. Pearson r, MAE, RMSE, and F1 scores at 12 and 35 µg m⁻³ were recalculated for available pairs.</w:t>
      </w:r>
    </w:p>
    <w:p>
      <w:pPr>
        <w:keepNext w:val="0"/>
        <w:pageBreakBefore w:val="0"/>
        <w:spacing w:before="0" w:after="120" w:line="276" w:lineRule="auto"/>
        <w:ind w:left="0" w:right="0" w:firstLine="0"/>
        <w:jc w:val="left"/>
      </w:pPr>
      <w:r>
        <w:rPr>
          <w:rFonts w:ascii="Arial" w:hAnsi="Arial" w:eastAsia="Arial"/>
          <w:b w:val="0"/>
          <w:i w:val="0"/>
          <w:color w:val="000000"/>
          <w:sz w:val="24"/>
        </w:rPr>
        <w:t>All descriptive, event-detection, case-study, and regime summaries were regenerated from the frozen paired CMAQ–AQS dataset containing 304 unique AQS site identifiers. The primary quality-control (QC) population required finite observed and CMAQ total PM₂.₅ values, observed PM₂.₅ from 0 to 557 µg m⁻³ inclusive, and CMAQ total PM₂.₅ ≤557 µg m⁻³. Values were not capped or winsorized. Eighteen otherwise-valid site-days with CMAQ total PM₂.₅ &gt;557 µg m⁻³ were quarantined from the primary analysis, leaving 187,051 pairs; the full 187,069-pair population was retained only for labeled sensitivity analyses. CMAQ error was defined as CMAQ total minus observed PM₂.₅.</w:t>
      </w:r>
    </w:p>
    <w:p>
      <w:pPr>
        <w:keepNext w:val="0"/>
        <w:pageBreakBefore w:val="0"/>
        <w:spacing w:before="0" w:after="120" w:line="276" w:lineRule="auto"/>
        <w:ind w:left="0" w:right="0" w:firstLine="0"/>
        <w:jc w:val="left"/>
      </w:pPr>
      <w:r>
        <w:rPr>
          <w:rFonts w:ascii="Arial" w:hAnsi="Arial" w:eastAsia="Arial"/>
          <w:b w:val="0"/>
          <w:i w:val="0"/>
          <w:color w:val="000000"/>
          <w:sz w:val="24"/>
        </w:rPr>
        <w:t>Observed PM₂.₅ defined background (&lt;12 µg m⁻³), moderate (12 to &lt;35 µg m⁻³), and high (≥35 µg m⁻³) descriptive regimes. The 12 µg m⁻³ cut point is descriptive and reflects the former annual primary standard; it is not a daily standard. The 35 µg m⁻³ level is the current 24-hour standard, while formal attainment uses a three-year design value. The current 9 µg m⁻³ annual standard was not applied to daily observations or incomplete-year fire-season means. An observed or modeled threshold event occurred when the corresponding concentration met or exceeded the specified level on a paired site-day. Pearson r and r² are reported separately; r² in descriptive tables is Pearson r squared. Normalized mean bias and normalized mean error use the sum of observations as denominator.</w:t>
      </w:r>
    </w:p>
    <w:p>
      <w:pPr>
        <w:keepNext w:val="0"/>
        <w:pageBreakBefore w:val="0"/>
        <w:spacing w:before="0" w:after="120" w:line="276" w:lineRule="auto"/>
        <w:ind w:left="0" w:right="0" w:firstLine="0"/>
        <w:jc w:val="left"/>
      </w:pPr>
      <w:r>
        <w:t>The leakage-resistant Random Forest predicted CMAQ total PM₂.₅ error from CMAQ fire-only PM₂.₅, latitude, longitude, year, month, day of year, geometric distance to the recorded fire origin, a missing-distance indicator, and observation-record count. Observed PM₂.₅, CMAQ total PM₂.₅, CMAQ no-fire PM₂.₅, observed-regime labels, fire name, and fire-window tags were excluded from the primary feature matrix. No fire radiative power or direct fire-intensity predictor was available. Site-year groups were assigned to an untouched 20% test partition (428 of 2,139 groups), with five-fold grouped cross-validation confined to the remaining groups. Cross-validation quantified out-of-group performance and variability and was not used for hyperparameter optimization. The forest settings were fixed before evaluation rather than selected through grid or randomized search: 160 trees, maximum depth 24, minimum leaf size 10, 0.7 of predictors considered per split, and random seed 20260905. The same settings were used in every cross-validation fold and in the final development-partition fit; the untouched test partition was used only for final evaluation.</w:t>
      </w:r>
    </w:p>
    <w:p>
      <w:pPr>
        <w:keepNext w:val="0"/>
        <w:pageBreakBefore w:val="0"/>
        <w:spacing w:before="0" w:after="120" w:line="276" w:lineRule="auto"/>
        <w:ind w:left="0" w:right="0" w:firstLine="0"/>
        <w:jc w:val="left"/>
      </w:pPr>
      <w:r>
        <w:t>Permutation importance was calculated on a fixed 20,000-observation sample from the untouched test partition using 10 repeated permutations. Accumulated local effects used 20 equal-frequency bins on the same sample. Regime labels were introduced only after prediction for stratified evaluation. Analyses used Python 3.12.14 with pinned package versions listed in Table S8. The executable notebook, fold assignments, untouched-test predictions, metric files, figures, requirements, and run manifest are archived in the public reproducibility package (version 1.0.0; https://doi.org/10.5281/zenodo.22677978).</w:t>
      </w:r>
    </w:p>
    <w:p>
      <w:pPr>
        <w:pStyle w:val="Caption"/>
        <w:keepNext/>
        <w:pageBreakBefore/>
        <w:spacing w:before="120" w:after="120" w:line="276" w:lineRule="auto"/>
        <w:ind w:left="0" w:right="0" w:firstLine="0"/>
        <w:jc w:val="left"/>
      </w:pPr>
      <w:r>
        <w:rPr>
          <w:rFonts w:ascii="Arial" w:hAnsi="Arial" w:eastAsia="Arial"/>
          <w:color w:val="000000"/>
          <w:sz w:val="24"/>
        </w:rPr>
        <w:t>Table S1 Annual and full-period performance for daily paired CMAQ total and AQS-observed PM₂.₅ during California fire seasons (June–October), 2008–2018, after primary QC. Panel A reports concentrations and conventional agreement metrics; Panel B reports absolute and normalized errors. No values were capped or winsorized</w:t>
      </w:r>
    </w:p>
    <w:p>
      <w:pPr>
        <w:keepNext/>
        <w:pageBreakBefore w:val="0"/>
        <w:spacing w:before="0" w:after="120" w:line="276" w:lineRule="auto"/>
        <w:ind w:left="0" w:right="0" w:firstLine="0"/>
        <w:jc w:val="left"/>
      </w:pPr>
      <w:r>
        <w:rPr>
          <w:rFonts w:ascii="Arial" w:hAnsi="Arial" w:eastAsia="Arial"/>
          <w:b/>
          <w:i w:val="0"/>
          <w:color w:val="000000"/>
          <w:sz w:val="24"/>
        </w:rPr>
        <w:t>Panel A. Concentrations and agreement metrics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24"/>
        <w:gridCol w:w="1224"/>
        <w:gridCol w:w="1224"/>
        <w:gridCol w:w="1224"/>
        <w:gridCol w:w="1224"/>
        <w:gridCol w:w="1224"/>
        <w:gridCol w:w="1224"/>
        <w:gridCol w:w="1224"/>
      </w:tblGrid>
      <w:tr>
        <w:trPr>
          <w:tblHeader w:val="true"/>
          <w:cantSplit/>
          <w:tblHeader w:val="true"/>
        </w:trPr>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Year</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w:t>
            </w:r>
          </w:p>
        </w:tc>
        <w:tc>
          <w:tcPr>
            <w:tcW w:type="dxa" w:w="1181"/>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Observed mean</w:t>
            </w:r>
          </w:p>
        </w:tc>
        <w:tc>
          <w:tcPr>
            <w:tcW w:type="dxa" w:w="1181"/>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CMAQ mean</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Pearson r</w:t>
            </w:r>
          </w:p>
        </w:tc>
        <w:tc>
          <w:tcPr>
            <w:tcW w:type="dxa" w:w="86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r²</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RMSE</w:t>
            </w:r>
          </w:p>
        </w:tc>
        <w:tc>
          <w:tcPr>
            <w:tcW w:type="dxa" w:w="979"/>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MB</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2008</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10,140</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15.05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17.73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0.711</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0.505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13.17</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2.68</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2009</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12,392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10.92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9.84</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0.525</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0.276</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7.04</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-1.09</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2010</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15,125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10.42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10.01</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0.446</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0.199</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7.38</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-0.41</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2011</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16,360</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11.51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6.94</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0.587</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0.344</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7.58</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-4.57</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2012</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17,977</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9.84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6.73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0.521</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0.272</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6.34</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-3.11</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19,015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9.81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6.27</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0.454</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0.206</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7.21</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-3.54</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2014</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17,098</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9.64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7.33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0.381</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0.145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8.46</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-2.31</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18,580</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9.42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7.43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0.571</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0.326</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6.45</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-1.99</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2016</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19,711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9.44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7.79</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0.311</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0.097</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9.85</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-1.65</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2017</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19,758</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11.46</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12.61</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0.453</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0.205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16.81</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1.15</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2018</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20,895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11.94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12.65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0.503</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0.253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12.37</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0.71</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All years</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187,051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10.69</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9.29</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0.502</w:t>
            </w:r>
          </w:p>
        </w:tc>
        <w:tc>
          <w:tcPr>
            <w:tcW w:type="dxa" w:w="86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0.252</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9.96</w:t>
            </w:r>
          </w:p>
        </w:tc>
        <w:tc>
          <w:tcPr>
            <w:tcW w:type="dxa" w:w="97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-1.40</w:t>
            </w:r>
          </w:p>
        </w:tc>
      </w:tr>
    </w:tbl>
    <w:p>
      <w:pPr>
        <w:keepNext w:val="0"/>
        <w:pageBreakBefore w:val="0"/>
        <w:spacing w:before="0" w:after="120" w:line="276" w:lineRule="auto"/>
        <w:ind w:left="0" w:right="0" w:firstLine="0"/>
        <w:jc w:val="left"/>
      </w:pPr>
      <w:r>
        <w:rPr>
          <w:rFonts w:ascii="Arial" w:hAnsi="Arial" w:eastAsia="Arial"/>
          <w:b w:val="0"/>
          <w:i/>
          <w:color w:val="000000"/>
          <w:sz w:val="24"/>
        </w:rPr>
        <w:t xml:space="preserve">Note. </w:t>
      </w:r>
      <w:r>
        <w:rPr>
          <w:rFonts w:ascii="Arial" w:hAnsi="Arial" w:eastAsia="Arial"/>
          <w:b w:val="0"/>
          <w:i w:val="0"/>
          <w:color w:val="000000"/>
          <w:sz w:val="24"/>
        </w:rPr>
        <w:t>Concentration and error metrics are in µg m⁻³. MB = mean bias; RMSE = root mean square error.</w:t>
      </w:r>
    </w:p>
    <w:p>
      <w:pPr>
        <w:keepNext/>
        <w:pageBreakBefore/>
        <w:spacing w:before="0" w:after="120" w:line="276" w:lineRule="auto"/>
        <w:ind w:left="0" w:right="0" w:firstLine="0"/>
        <w:jc w:val="left"/>
      </w:pPr>
      <w:r>
        <w:rPr>
          <w:rFonts w:ascii="Arial" w:hAnsi="Arial" w:eastAsia="Arial"/>
          <w:b/>
          <w:i w:val="0"/>
          <w:color w:val="000000"/>
          <w:sz w:val="24"/>
        </w:rPr>
        <w:t>Panel B. Absolute and normalized errors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632"/>
        <w:gridCol w:w="1632"/>
        <w:gridCol w:w="1632"/>
        <w:gridCol w:w="1632"/>
        <w:gridCol w:w="1632"/>
        <w:gridCol w:w="1632"/>
      </w:tblGrid>
      <w:tr>
        <w:trPr>
          <w:tblHeader w:val="true"/>
          <w:cantSplit/>
          <w:tblHeader w:val="true"/>
        </w:trPr>
        <w:tc>
          <w:tcPr>
            <w:tcW w:type="dxa" w:w="122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Year</w:t>
            </w:r>
          </w:p>
        </w:tc>
        <w:tc>
          <w:tcPr>
            <w:tcW w:type="dxa" w:w="122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MAE</w:t>
            </w:r>
          </w:p>
        </w:tc>
        <w:tc>
          <w:tcPr>
            <w:tcW w:type="dxa" w:w="129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NMB (%)</w:t>
            </w:r>
          </w:p>
        </w:tc>
        <w:tc>
          <w:tcPr>
            <w:tcW w:type="dxa" w:w="129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NME (%)</w:t>
            </w:r>
          </w:p>
        </w:tc>
        <w:tc>
          <w:tcPr>
            <w:tcW w:type="dxa" w:w="1800"/>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Overestimated (%)</w:t>
            </w:r>
          </w:p>
        </w:tc>
        <w:tc>
          <w:tcPr>
            <w:tcW w:type="dxa" w:w="194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Underestimated (%)</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2008</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7.82</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17.81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51.95</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53.9</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46.1</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2009</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4.81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-9.95</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44.03</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40.2</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59.8</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2010</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5.06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-3.89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48.61</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43.9</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56.1</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2011</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5.50</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-39.69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47.82</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16.8</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83.2</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2012</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4.52</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-31.60</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45.98</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23.1</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76.9</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2013</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4.98</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-36.08</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50.77</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19.8</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80.2</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2014</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4.33</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-23.96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44.97</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27.4</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72.6</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2015</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4.06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-21.09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43.14</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28.9</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71.1</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2016</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4.44</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-17.47</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47.04</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28.8</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71.2</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2017</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6.30</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10.02</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54.99</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41.7</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58.3</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2018</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5.85</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5.93</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48.95</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47.6</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52.4</w:t>
            </w:r>
          </w:p>
        </w:tc>
      </w:tr>
      <w:tr>
        <w:trPr>
          <w:cantSplit/>
        </w:trPr>
        <w:tc>
          <w:tcPr>
            <w:tcW w:type="dxa" w:w="12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All years</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5.16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-13.09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48.29</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33.0</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67.0</w:t>
            </w:r>
          </w:p>
        </w:tc>
      </w:tr>
    </w:tbl>
    <w:p>
      <w:pPr>
        <w:keepNext w:val="0"/>
        <w:pageBreakBefore w:val="0"/>
        <w:spacing w:before="0" w:after="120" w:line="276" w:lineRule="auto"/>
        <w:ind w:left="0" w:right="0" w:firstLine="0"/>
        <w:jc w:val="left"/>
      </w:pPr>
      <w:r>
        <w:rPr>
          <w:rFonts w:ascii="Arial" w:hAnsi="Arial" w:eastAsia="Arial"/>
          <w:b w:val="0"/>
          <w:i/>
          <w:color w:val="000000"/>
          <w:sz w:val="24"/>
        </w:rPr>
        <w:t xml:space="preserve">Note. </w:t>
      </w:r>
      <w:r>
        <w:rPr>
          <w:rFonts w:ascii="Arial" w:hAnsi="Arial" w:eastAsia="Arial"/>
          <w:b w:val="0"/>
          <w:i w:val="0"/>
          <w:color w:val="000000"/>
          <w:sz w:val="24"/>
        </w:rPr>
        <w:t>MAE = mean absolute error; NMB = normalized mean bias; NME = normalized mean error.</w:t>
      </w:r>
    </w:p>
    <w:p>
      <w:pPr>
        <w:pStyle w:val="Caption"/>
        <w:keepNext/>
        <w:pageBreakBefore/>
        <w:spacing w:before="120" w:after="120" w:line="276" w:lineRule="auto"/>
        <w:ind w:left="0" w:right="0" w:firstLine="0"/>
        <w:jc w:val="left"/>
      </w:pPr>
      <w:r>
        <w:rPr>
          <w:rFonts w:ascii="Arial" w:hAnsi="Arial" w:eastAsia="Arial"/>
          <w:color w:val="000000"/>
          <w:sz w:val="24"/>
        </w:rPr>
        <w:t>Table S2 CMAQ performance in the specified Klamath (2008) and Rim (2013) fire windows after primary QC. The recalculation uses the frozen fire-window tags in the paired dataset and does not cap concentrations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3264"/>
        <w:gridCol w:w="3264"/>
        <w:gridCol w:w="3264"/>
      </w:tblGrid>
      <w:tr>
        <w:trPr>
          <w:tblHeader w:val="true"/>
          <w:cantSplit/>
          <w:tblHeader w:val="true"/>
        </w:trPr>
        <w:tc>
          <w:tcPr>
            <w:tcW w:type="dxa" w:w="374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Metric</w:t>
            </w:r>
          </w:p>
        </w:tc>
        <w:tc>
          <w:tcPr>
            <w:tcW w:type="dxa" w:w="237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Klamath Fire</w:t>
            </w:r>
          </w:p>
        </w:tc>
        <w:tc>
          <w:tcPr>
            <w:tcW w:type="dxa" w:w="237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Rim Fire</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Paired observations, n</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958</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3,611</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Monitoring sites, n</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21</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77</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Observed mean (µg m⁻³)</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18.84</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8.26</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CMAQ total mean (µg m⁻³)</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27.40</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7.33</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Pearson r</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0.814</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0.645</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r²</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0.663</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0.416</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MAE (µg m⁻³)</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12.67</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3.88</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RMSE (µg m⁻³)</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23.33</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6.57</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MB (µg m⁻³)</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8.56</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-0.93</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NMB (%)</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45.46</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-11.25</w:t>
            </w:r>
          </w:p>
        </w:tc>
      </w:tr>
      <w:tr>
        <w:trPr>
          <w:cantSplit/>
        </w:trPr>
        <w:tc>
          <w:tcPr>
            <w:tcW w:type="dxa" w:w="37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NME (%)</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67.28</w:t>
            </w:r>
          </w:p>
        </w:tc>
        <w:tc>
          <w:tcPr>
            <w:tcW w:type="dxa" w:w="237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46.93</w:t>
            </w:r>
          </w:p>
        </w:tc>
      </w:tr>
    </w:tbl>
    <w:p>
      <w:pPr>
        <w:pStyle w:val="Caption"/>
        <w:keepNext/>
        <w:pageBreakBefore/>
        <w:spacing w:before="120" w:after="120" w:line="276" w:lineRule="auto"/>
        <w:ind w:left="0" w:right="0" w:firstLine="0"/>
        <w:jc w:val="left"/>
      </w:pPr>
      <w:r>
        <w:rPr>
          <w:rFonts w:ascii="Arial" w:hAnsi="Arial" w:eastAsia="Arial"/>
          <w:color w:val="000000"/>
          <w:sz w:val="24"/>
        </w:rPr>
        <w:t>Table S3 Primary-QC CMAQ total PM₂.₅ error by observed concentration regime. Error is CMAQ total minus observed PM₂.₅. Regimes were used only for stratified evaluation, not as model predictors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24"/>
        <w:gridCol w:w="1224"/>
        <w:gridCol w:w="1224"/>
        <w:gridCol w:w="1224"/>
        <w:gridCol w:w="1224"/>
        <w:gridCol w:w="1224"/>
        <w:gridCol w:w="1224"/>
        <w:gridCol w:w="1224"/>
      </w:tblGrid>
      <w:tr>
        <w:trPr>
          <w:tblHeader w:val="true"/>
          <w:cantSplit/>
          <w:tblHeader w:val="true"/>
        </w:trPr>
        <w:tc>
          <w:tcPr>
            <w:tcW w:type="dxa" w:w="194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Regime</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w:t>
            </w:r>
          </w:p>
        </w:tc>
        <w:tc>
          <w:tcPr>
            <w:tcW w:type="dxa" w:w="1195"/>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Observed mean</w:t>
            </w:r>
          </w:p>
        </w:tc>
        <w:tc>
          <w:tcPr>
            <w:tcW w:type="dxa" w:w="1195"/>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CMAQ mean</w:t>
            </w:r>
          </w:p>
        </w:tc>
        <w:tc>
          <w:tcPr>
            <w:tcW w:type="dxa" w:w="1080"/>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Mean error</w:t>
            </w:r>
          </w:p>
        </w:tc>
        <w:tc>
          <w:tcPr>
            <w:tcW w:type="dxa" w:w="1152"/>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Median error</w:t>
            </w:r>
          </w:p>
        </w:tc>
        <w:tc>
          <w:tcPr>
            <w:tcW w:type="dxa" w:w="93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MAE</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RMSE</w:t>
            </w:r>
          </w:p>
        </w:tc>
      </w:tr>
      <w:tr>
        <w:trPr>
          <w:cantSplit/>
        </w:trPr>
        <w:tc>
          <w:tcPr>
            <w:tcW w:type="dxa" w:w="19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Background (&lt;12)</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127,256</w:t>
            </w:r>
          </w:p>
        </w:tc>
        <w:tc>
          <w:tcPr>
            <w:tcW w:type="dxa" w:w="1195"/>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7.08</w:t>
            </w:r>
          </w:p>
        </w:tc>
        <w:tc>
          <w:tcPr>
            <w:tcW w:type="dxa" w:w="1195"/>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6.79</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-0.29</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-1.08</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3.43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6.07</w:t>
            </w:r>
          </w:p>
        </w:tc>
      </w:tr>
      <w:tr>
        <w:trPr>
          <w:cantSplit/>
        </w:trPr>
        <w:tc>
          <w:tcPr>
            <w:tcW w:type="dxa" w:w="19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Moderate (12 to &lt;35)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57,644</w:t>
            </w:r>
          </w:p>
        </w:tc>
        <w:tc>
          <w:tcPr>
            <w:tcW w:type="dxa" w:w="1195"/>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17.03</w:t>
            </w:r>
          </w:p>
        </w:tc>
        <w:tc>
          <w:tcPr>
            <w:tcW w:type="dxa" w:w="1195"/>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13.50</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-3.54</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-5.34</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7.98</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11.98</w:t>
            </w:r>
          </w:p>
        </w:tc>
      </w:tr>
      <w:tr>
        <w:trPr>
          <w:cantSplit/>
        </w:trPr>
        <w:tc>
          <w:tcPr>
            <w:tcW w:type="dxa" w:w="194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High (≥35)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2,151</w:t>
            </w:r>
          </w:p>
        </w:tc>
        <w:tc>
          <w:tcPr>
            <w:tcW w:type="dxa" w:w="1195"/>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53.93</w:t>
            </w:r>
          </w:p>
        </w:tc>
        <w:tc>
          <w:tcPr>
            <w:tcW w:type="dxa" w:w="1195"/>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44.14</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-9.79</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-17.69</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31.94</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50.88</w:t>
            </w:r>
          </w:p>
        </w:tc>
      </w:tr>
    </w:tbl>
    <w:p>
      <w:pPr>
        <w:keepNext/>
        <w:pageBreakBefore w:val="0"/>
        <w:spacing w:before="160" w:after="120" w:line="276" w:lineRule="auto"/>
        <w:ind w:left="0" w:right="0" w:firstLine="0"/>
        <w:jc w:val="left"/>
      </w:pPr>
      <w:r>
        <w:rPr>
          <w:rFonts w:ascii="Arial" w:hAnsi="Arial" w:eastAsia="Arial"/>
          <w:b/>
          <w:i w:val="0"/>
          <w:color w:val="000000"/>
          <w:sz w:val="24"/>
        </w:rPr>
        <w:t>Directional and normalized error metrics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958"/>
        <w:gridCol w:w="1958"/>
        <w:gridCol w:w="1958"/>
        <w:gridCol w:w="1958"/>
        <w:gridCol w:w="1958"/>
      </w:tblGrid>
      <w:tr>
        <w:trPr>
          <w:tblHeader w:val="true"/>
          <w:cantSplit/>
          <w:tblHeader w:val="true"/>
        </w:trPr>
        <w:tc>
          <w:tcPr>
            <w:tcW w:type="dxa" w:w="237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Regime</w:t>
            </w:r>
          </w:p>
        </w:tc>
        <w:tc>
          <w:tcPr>
            <w:tcW w:type="dxa" w:w="1368"/>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NMB (%)</w:t>
            </w:r>
          </w:p>
        </w:tc>
        <w:tc>
          <w:tcPr>
            <w:tcW w:type="dxa" w:w="1368"/>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NME (%)</w:t>
            </w:r>
          </w:p>
        </w:tc>
        <w:tc>
          <w:tcPr>
            <w:tcW w:type="dxa" w:w="1800"/>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Overestimated (%)</w:t>
            </w:r>
          </w:p>
        </w:tc>
        <w:tc>
          <w:tcPr>
            <w:tcW w:type="dxa" w:w="194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Underestimated (%)</w:t>
            </w:r>
          </w:p>
        </w:tc>
      </w:tr>
      <w:tr>
        <w:trPr>
          <w:cantSplit/>
        </w:trPr>
        <w:tc>
          <w:tcPr>
            <w:tcW w:type="dxa" w:w="2376"/>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Background (&lt;12)</w:t>
            </w:r>
          </w:p>
        </w:tc>
        <w:tc>
          <w:tcPr>
            <w:tcW w:type="dxa" w:w="136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-4.08</w:t>
            </w:r>
          </w:p>
        </w:tc>
        <w:tc>
          <w:tcPr>
            <w:tcW w:type="dxa" w:w="136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48.42</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37.2</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62.8</w:t>
            </w:r>
          </w:p>
        </w:tc>
      </w:tr>
      <w:tr>
        <w:trPr>
          <w:cantSplit/>
        </w:trPr>
        <w:tc>
          <w:tcPr>
            <w:tcW w:type="dxa" w:w="2376"/>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Moderate (12 to &lt;35)</w:t>
            </w:r>
          </w:p>
        </w:tc>
        <w:tc>
          <w:tcPr>
            <w:tcW w:type="dxa" w:w="136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-20.76</w:t>
            </w:r>
          </w:p>
        </w:tc>
        <w:tc>
          <w:tcPr>
            <w:tcW w:type="dxa" w:w="136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46.88</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24.0</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76.0</w:t>
            </w:r>
          </w:p>
        </w:tc>
      </w:tr>
      <w:tr>
        <w:trPr>
          <w:cantSplit/>
        </w:trPr>
        <w:tc>
          <w:tcPr>
            <w:tcW w:type="dxa" w:w="2376"/>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High (≥35)</w:t>
            </w:r>
          </w:p>
        </w:tc>
        <w:tc>
          <w:tcPr>
            <w:tcW w:type="dxa" w:w="136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-18.16</w:t>
            </w:r>
          </w:p>
        </w:tc>
        <w:tc>
          <w:tcPr>
            <w:tcW w:type="dxa" w:w="136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59.23</w:t>
            </w:r>
          </w:p>
        </w:tc>
        <w:tc>
          <w:tcPr>
            <w:tcW w:type="dxa" w:w="180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25.7</w:t>
            </w:r>
          </w:p>
        </w:tc>
        <w:tc>
          <w:tcPr>
            <w:tcW w:type="dxa" w:w="194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74.3</w:t>
            </w:r>
          </w:p>
        </w:tc>
      </w:tr>
    </w:tbl>
    <w:p>
      <w:pPr>
        <w:keepNext w:val="0"/>
        <w:pageBreakBefore w:val="0"/>
        <w:spacing w:before="0" w:after="120" w:line="276" w:lineRule="auto"/>
        <w:ind w:left="0" w:right="0" w:firstLine="0"/>
        <w:jc w:val="left"/>
      </w:pPr>
      <w:r>
        <w:rPr>
          <w:rFonts w:ascii="Arial" w:hAnsi="Arial" w:eastAsia="Arial"/>
          <w:b w:val="0"/>
          <w:i/>
          <w:color w:val="000000"/>
          <w:sz w:val="24"/>
        </w:rPr>
        <w:t xml:space="preserve">Note. </w:t>
      </w:r>
      <w:r>
        <w:rPr>
          <w:rFonts w:ascii="Arial" w:hAnsi="Arial" w:eastAsia="Arial"/>
          <w:b w:val="0"/>
          <w:i w:val="0"/>
          <w:color w:val="000000"/>
          <w:sz w:val="24"/>
        </w:rPr>
        <w:t>Concentrations and unnormalized errors are in µg m⁻³. High-regime sensitivity including quarantined extreme CMAQ values is reported in the QC audit, not mixed with the primary table.</w:t>
      </w:r>
    </w:p>
    <w:p>
      <w:pPr>
        <w:pStyle w:val="Caption"/>
        <w:keepNext/>
        <w:pageBreakBefore/>
        <w:spacing w:before="120" w:after="120" w:line="276" w:lineRule="auto"/>
        <w:ind w:left="0" w:right="0" w:firstLine="0"/>
        <w:jc w:val="left"/>
      </w:pPr>
      <w:r>
        <w:rPr>
          <w:rFonts w:ascii="Arial" w:hAnsi="Arial" w:eastAsia="Arial"/>
          <w:color w:val="000000"/>
          <w:sz w:val="24"/>
        </w:rPr>
        <w:t>Table S4 Overall paired-site-day event detection by CMAQ total PM₂.₅ at 12 and 35 µg m⁻³ after primary QC. For this diagnostic, an event is a concentration at or above the specified threshold</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24"/>
        <w:gridCol w:w="1224"/>
        <w:gridCol w:w="1224"/>
        <w:gridCol w:w="1224"/>
        <w:gridCol w:w="1224"/>
        <w:gridCol w:w="1224"/>
        <w:gridCol w:w="1224"/>
        <w:gridCol w:w="1224"/>
      </w:tblGrid>
      <w:tr>
        <w:trPr>
          <w:tblHeader w:val="true"/>
          <w:cantSplit/>
          <w:tblHeader w:val="true"/>
        </w:trPr>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Threshold</w:t>
            </w:r>
          </w:p>
        </w:tc>
        <w:tc>
          <w:tcPr>
            <w:tcW w:type="dxa" w:w="112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w:t>
            </w:r>
          </w:p>
        </w:tc>
        <w:tc>
          <w:tcPr>
            <w:tcW w:type="dxa" w:w="1469"/>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Observed events</w:t>
            </w:r>
          </w:p>
        </w:tc>
        <w:tc>
          <w:tcPr>
            <w:tcW w:type="dxa" w:w="1469"/>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Modeled events</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TP</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FN</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FP</w:t>
            </w:r>
          </w:p>
        </w:tc>
        <w:tc>
          <w:tcPr>
            <w:tcW w:type="dxa" w:w="112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TN</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12</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187,051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59,795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41,071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27,159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32,636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13,912</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113,344</w:t>
            </w:r>
          </w:p>
        </w:tc>
      </w:tr>
      <w:tr>
        <w:trPr>
          <w:cantSplit/>
        </w:trPr>
        <w:tc>
          <w:tcPr>
            <w:tcW w:type="dxa" w:w="1037"/>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35</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187,051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2,151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3,310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878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1,273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2,432</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182,468</w:t>
            </w:r>
          </w:p>
        </w:tc>
      </w:tr>
    </w:tbl>
    <w:p>
      <w:pPr>
        <w:keepNext/>
        <w:pageBreakBefore w:val="0"/>
        <w:spacing w:before="160" w:after="120" w:line="276" w:lineRule="auto"/>
        <w:ind w:left="0" w:right="0" w:firstLine="0"/>
        <w:jc w:val="left"/>
      </w:pPr>
      <w:r>
        <w:rPr>
          <w:rFonts w:ascii="Arial" w:hAnsi="Arial" w:eastAsia="Arial"/>
          <w:b/>
          <w:i w:val="0"/>
          <w:color w:val="000000"/>
          <w:sz w:val="24"/>
        </w:rPr>
        <w:t>Detection scores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24"/>
        <w:gridCol w:w="1224"/>
        <w:gridCol w:w="1224"/>
        <w:gridCol w:w="1224"/>
        <w:gridCol w:w="1224"/>
        <w:gridCol w:w="1224"/>
        <w:gridCol w:w="1224"/>
        <w:gridCol w:w="1224"/>
      </w:tblGrid>
      <w:tr>
        <w:trPr>
          <w:tblHeader w:val="true"/>
          <w:cantSplit/>
          <w:tblHeader w:val="true"/>
        </w:trPr>
        <w:tc>
          <w:tcPr>
            <w:tcW w:type="dxa" w:w="1080"/>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Threshold</w:t>
            </w:r>
          </w:p>
        </w:tc>
        <w:tc>
          <w:tcPr>
            <w:tcW w:type="dxa" w:w="1152"/>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Sensitivity</w:t>
            </w:r>
          </w:p>
        </w:tc>
        <w:tc>
          <w:tcPr>
            <w:tcW w:type="dxa" w:w="1152"/>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Specificity</w:t>
            </w:r>
          </w:p>
        </w:tc>
        <w:tc>
          <w:tcPr>
            <w:tcW w:type="dxa" w:w="109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Precision</w:t>
            </w:r>
          </w:p>
        </w:tc>
        <w:tc>
          <w:tcPr>
            <w:tcW w:type="dxa" w:w="1512"/>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Balanced accuracy</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F1</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CSI</w:t>
            </w:r>
          </w:p>
        </w:tc>
        <w:tc>
          <w:tcPr>
            <w:tcW w:type="dxa" w:w="129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Frequency bias</w:t>
            </w:r>
          </w:p>
        </w:tc>
      </w:tr>
      <w:tr>
        <w:trPr>
          <w:cantSplit/>
        </w:trPr>
        <w:tc>
          <w:tcPr>
            <w:tcW w:type="dxa" w:w="1080"/>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12</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0.454</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0.891</w:t>
            </w:r>
          </w:p>
        </w:tc>
        <w:tc>
          <w:tcPr>
            <w:tcW w:type="dxa" w:w="109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0.661</w:t>
            </w:r>
          </w:p>
        </w:tc>
        <w:tc>
          <w:tcPr>
            <w:tcW w:type="dxa" w:w="151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0.672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0.539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0.368</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0.687</w:t>
            </w:r>
          </w:p>
        </w:tc>
      </w:tr>
      <w:tr>
        <w:trPr>
          <w:cantSplit/>
        </w:trPr>
        <w:tc>
          <w:tcPr>
            <w:tcW w:type="dxa" w:w="1080"/>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35</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0.408</w:t>
            </w:r>
          </w:p>
        </w:tc>
        <w:tc>
          <w:tcPr>
            <w:tcW w:type="dxa" w:w="115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0.987</w:t>
            </w:r>
          </w:p>
        </w:tc>
        <w:tc>
          <w:tcPr>
            <w:tcW w:type="dxa" w:w="109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0.265</w:t>
            </w:r>
          </w:p>
        </w:tc>
        <w:tc>
          <w:tcPr>
            <w:tcW w:type="dxa" w:w="1512"/>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0.698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0.322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0.192</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1.539</w:t>
            </w:r>
          </w:p>
        </w:tc>
      </w:tr>
    </w:tbl>
    <w:p>
      <w:pPr>
        <w:keepNext w:val="0"/>
        <w:pageBreakBefore w:val="0"/>
        <w:spacing w:before="0" w:after="120" w:line="276" w:lineRule="auto"/>
        <w:ind w:left="0" w:right="0" w:firstLine="0"/>
        <w:jc w:val="left"/>
      </w:pPr>
      <w:r>
        <w:rPr>
          <w:rFonts w:ascii="Arial" w:hAnsi="Arial" w:eastAsia="Arial"/>
          <w:b w:val="0"/>
          <w:i/>
          <w:color w:val="000000"/>
          <w:sz w:val="24"/>
        </w:rPr>
        <w:t xml:space="preserve">Note. </w:t>
      </w:r>
      <w:r>
        <w:rPr>
          <w:rFonts w:ascii="Arial" w:hAnsi="Arial" w:eastAsia="Arial"/>
          <w:b w:val="0"/>
          <w:i w:val="0"/>
          <w:color w:val="000000"/>
          <w:sz w:val="24"/>
        </w:rPr>
        <w:t>TP = true positive; FN = false negative; FP = false positive; TN = true negative; CSI = critical success index.</w:t>
      </w:r>
    </w:p>
    <w:p>
      <w:pPr>
        <w:pStyle w:val="Caption"/>
        <w:keepNext/>
        <w:pageBreakBefore/>
        <w:spacing w:before="120" w:after="120" w:line="276" w:lineRule="auto"/>
        <w:ind w:left="0" w:right="0" w:firstLine="0"/>
        <w:jc w:val="left"/>
      </w:pPr>
      <w:r>
        <w:rPr>
          <w:rFonts w:ascii="Arial" w:hAnsi="Arial" w:eastAsia="Arial"/>
          <w:color w:val="000000"/>
          <w:sz w:val="24"/>
        </w:rPr>
        <w:t>Table S5 Annual paired-site-day event-detection counts and scores at 12 and 35 µg m⁻³ after primary QC. Panel A gives contingency counts; Panel B gives selected detection scores</w:t>
      </w:r>
    </w:p>
    <w:p>
      <w:pPr>
        <w:keepNext/>
        <w:pageBreakBefore w:val="0"/>
        <w:spacing w:before="0" w:after="120" w:line="276" w:lineRule="auto"/>
        <w:ind w:left="0" w:right="0" w:firstLine="0"/>
        <w:jc w:val="left"/>
      </w:pPr>
      <w:r>
        <w:rPr>
          <w:rFonts w:ascii="Arial" w:hAnsi="Arial" w:eastAsia="Arial"/>
          <w:b/>
          <w:i w:val="0"/>
          <w:color w:val="000000"/>
          <w:sz w:val="24"/>
        </w:rPr>
        <w:t>Panel A. Event and contingency counts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24"/>
        <w:gridCol w:w="1224"/>
        <w:gridCol w:w="1224"/>
        <w:gridCol w:w="1224"/>
        <w:gridCol w:w="1224"/>
        <w:gridCol w:w="1224"/>
        <w:gridCol w:w="1224"/>
        <w:gridCol w:w="1224"/>
      </w:tblGrid>
      <w:tr>
        <w:trPr>
          <w:tblHeader w:val="true"/>
          <w:cantSplit/>
          <w:tblHeader w:val="true"/>
        </w:trPr>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Year</w:t>
            </w:r>
          </w:p>
        </w:tc>
        <w:tc>
          <w:tcPr>
            <w:tcW w:type="dxa" w:w="1008"/>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Threshold</w:t>
            </w:r>
          </w:p>
        </w:tc>
        <w:tc>
          <w:tcPr>
            <w:tcW w:type="dxa" w:w="1080"/>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w:t>
            </w:r>
          </w:p>
        </w:tc>
        <w:tc>
          <w:tcPr>
            <w:tcW w:type="dxa" w:w="1469"/>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Observed events</w:t>
            </w:r>
          </w:p>
        </w:tc>
        <w:tc>
          <w:tcPr>
            <w:tcW w:type="dxa" w:w="1469"/>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Modeled events</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TP</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FN</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FP</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10,140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5,279</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5,540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4,146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1,133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1,394</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10,140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504</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832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301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531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2009</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12,392</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4,453</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3,580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2,364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2,089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1,216</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2009</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12,392</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105</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2010</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15,125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4,902</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4,566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2,684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2,218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1,882</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2010</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15,125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119</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2011</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16,360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5,985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2,257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1,799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4,186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458</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2011</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16,360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218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2012</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17,977</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5,118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2,344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1,520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3,598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824</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2012</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17,977</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52</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25</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2013</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19,015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5,130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1,840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1,110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4,020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730</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2013</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19,015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109</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77</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2014</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17,098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4,645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2,049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1,379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3,266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670</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2014</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17,098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66</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2015</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18,580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4,601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2,410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1,519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3,082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891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2015</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18,580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82</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2016</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19,711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5,150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2,806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1,697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3,453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1,109</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2016</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19,711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52</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146</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2017</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19,758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7,203</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6,108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4,100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3,103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2,008</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2017</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19,758</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321</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917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199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718</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20,895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7,329</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7,571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4,841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2,488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2,730</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20,895</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560</w:t>
            </w:r>
          </w:p>
        </w:tc>
        <w:tc>
          <w:tcPr>
            <w:tcW w:type="dxa" w:w="1469"/>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844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282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278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562</w:t>
            </w:r>
          </w:p>
        </w:tc>
      </w:tr>
    </w:tbl>
    <w:p>
      <w:pPr>
        <w:keepNext/>
        <w:pageBreakBefore/>
        <w:spacing w:before="0" w:after="120" w:line="276" w:lineRule="auto"/>
        <w:ind w:left="0" w:right="0" w:firstLine="0"/>
        <w:jc w:val="left"/>
      </w:pPr>
      <w:r>
        <w:rPr>
          <w:rFonts w:ascii="Arial" w:hAnsi="Arial" w:eastAsia="Arial"/>
          <w:b/>
          <w:i w:val="0"/>
          <w:color w:val="000000"/>
          <w:sz w:val="24"/>
        </w:rPr>
        <w:t>Panel B. Event-detection scores</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24"/>
        <w:gridCol w:w="1224"/>
        <w:gridCol w:w="1224"/>
        <w:gridCol w:w="1224"/>
        <w:gridCol w:w="1224"/>
        <w:gridCol w:w="1224"/>
        <w:gridCol w:w="1224"/>
        <w:gridCol w:w="1224"/>
      </w:tblGrid>
      <w:tr>
        <w:trPr>
          <w:tblHeader w:val="true"/>
          <w:cantSplit/>
          <w:tblHeader w:val="true"/>
        </w:trPr>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Year</w:t>
            </w:r>
          </w:p>
        </w:tc>
        <w:tc>
          <w:tcPr>
            <w:tcW w:type="dxa" w:w="1008"/>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Threshold</w:t>
            </w:r>
          </w:p>
        </w:tc>
        <w:tc>
          <w:tcPr>
            <w:tcW w:type="dxa" w:w="1181"/>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Sensitivity</w:t>
            </w:r>
          </w:p>
        </w:tc>
        <w:tc>
          <w:tcPr>
            <w:tcW w:type="dxa" w:w="1181"/>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Specificity</w:t>
            </w:r>
          </w:p>
        </w:tc>
        <w:tc>
          <w:tcPr>
            <w:tcW w:type="dxa" w:w="112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Precision</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F1</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CSI</w:t>
            </w:r>
          </w:p>
        </w:tc>
        <w:tc>
          <w:tcPr>
            <w:tcW w:type="dxa" w:w="129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Frequency bias</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0.785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0.713</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0.748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0.766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0.621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1.049</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0.597</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0.945</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0.362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0.451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0.291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1.651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2009</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0.531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0.847</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0.660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0.589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0.417</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0.804</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2009</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0.082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0.991</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0.079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0.080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0.042</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1.036</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2010</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0.548</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0.816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0.588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0.567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0.396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0.931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2010</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0.091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0.992</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0.063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0.074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0.039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1.443</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2011</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0.301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0.956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0.797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0.437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0.279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0.377</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2011</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0.064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0.999</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0.538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0.115</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0.061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0.119</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2012</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0.297</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0.936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0.648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0.407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0.256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0.458</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2012</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0.192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0.999</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0.400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0.260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0.149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0.481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2013</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0.216</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0.947</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0.603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0.319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0.189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0.359</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2013</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0.046</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0.061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0.052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0.027</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0.752</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2014</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0.297</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0.946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0.673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0.412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0.259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0.441</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2014</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0.218</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0.154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0.180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0.099</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1.418</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2015</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0.330</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0.936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0.433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0.277</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0.524</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2015</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0.366</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0.996</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0.270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0.311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0.184</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1.354</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2016</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0.330</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0.924</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0.605</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0.427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0.271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0.545</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2016</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0.154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0.993</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0.052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0.078</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0.040</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2.962</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2017</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0.569</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0.840</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0.671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0.616</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0.445</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0.848</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2017</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0.620</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0.963</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0.217</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0.321</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0.192</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2.857</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12</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0.661</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0.799</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0.639</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0.650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0.481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1.033</w:t>
            </w:r>
          </w:p>
        </w:tc>
      </w:tr>
      <w:tr>
        <w:trPr>
          <w:cantSplit/>
        </w:trPr>
        <w:tc>
          <w:tcPr>
            <w:tcW w:type="dxa" w:w="893"/>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2018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0.504</w:t>
            </w:r>
          </w:p>
        </w:tc>
        <w:tc>
          <w:tcPr>
            <w:tcW w:type="dxa" w:w="1181"/>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0.972</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0.334</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0.402</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0.251</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1.507</w:t>
            </w:r>
          </w:p>
        </w:tc>
      </w:tr>
    </w:tbl>
    <w:p>
      <w:pPr>
        <w:pStyle w:val="Caption"/>
        <w:keepNext/>
        <w:pageBreakBefore/>
        <w:spacing w:before="120" w:after="120" w:line="276" w:lineRule="auto"/>
        <w:ind w:left="0" w:right="0" w:firstLine="0"/>
        <w:jc w:val="left"/>
      </w:pPr>
      <w:r>
        <w:rPr>
          <w:rFonts w:ascii="Arial" w:hAnsi="Arial" w:eastAsia="Arial"/>
          <w:color w:val="000000"/>
          <w:sz w:val="24"/>
        </w:rPr>
        <w:t>Table S6 Untouched site-year test-partition performance for the primary leakage-resistant Random Forest, baselines, and prespecified sensitivity models. R² is the coefficient of determination; Pearson r is reported separately</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399"/>
        <w:gridCol w:w="1399"/>
        <w:gridCol w:w="1399"/>
        <w:gridCol w:w="1399"/>
        <w:gridCol w:w="1399"/>
        <w:gridCol w:w="1399"/>
        <w:gridCol w:w="1399"/>
      </w:tblGrid>
      <w:tr>
        <w:trPr>
          <w:tblHeader w:val="true"/>
          <w:cantSplit/>
          <w:tblHeader w:val="true"/>
        </w:trPr>
        <w:tc>
          <w:tcPr>
            <w:tcW w:type="dxa" w:w="302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Model</w:t>
            </w:r>
          </w:p>
        </w:tc>
        <w:tc>
          <w:tcPr>
            <w:tcW w:type="dxa" w:w="93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w:t>
            </w:r>
          </w:p>
        </w:tc>
        <w:tc>
          <w:tcPr>
            <w:tcW w:type="dxa" w:w="89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R²</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Pearson r</w:t>
            </w:r>
          </w:p>
        </w:tc>
        <w:tc>
          <w:tcPr>
            <w:tcW w:type="dxa" w:w="1008"/>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RMSE</w:t>
            </w:r>
          </w:p>
        </w:tc>
        <w:tc>
          <w:tcPr>
            <w:tcW w:type="dxa" w:w="1008"/>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MAE</w:t>
            </w:r>
          </w:p>
        </w:tc>
        <w:tc>
          <w:tcPr>
            <w:tcW w:type="dxa" w:w="1224"/>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Mean residual</w:t>
            </w:r>
          </w:p>
        </w:tc>
      </w:tr>
      <w:tr>
        <w:trPr>
          <w:cantSplit/>
        </w:trPr>
        <w:tc>
          <w:tcPr>
            <w:tcW w:type="dxa" w:w="30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Primary leakage-resistant RF</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0.711</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0.844</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5.82</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3.44</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0.17</w:t>
            </w:r>
          </w:p>
        </w:tc>
      </w:tr>
      <w:tr>
        <w:trPr>
          <w:cantSplit/>
        </w:trPr>
        <w:tc>
          <w:tcPr>
            <w:tcW w:type="dxa" w:w="30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Training-mean baseline</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0.000</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0.000</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10.83</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4.99</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-0.01</w:t>
            </w:r>
          </w:p>
        </w:tc>
      </w:tr>
      <w:tr>
        <w:trPr>
          <w:cantSplit/>
        </w:trPr>
        <w:tc>
          <w:tcPr>
            <w:tcW w:type="dxa" w:w="30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Linear regression</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0.600</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0.778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6.85</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4.29</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0.13</w:t>
            </w:r>
          </w:p>
        </w:tc>
      </w:tr>
      <w:tr>
        <w:trPr>
          <w:cantSplit/>
        </w:trPr>
        <w:tc>
          <w:tcPr>
            <w:tcW w:type="dxa" w:w="30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Fire-only RF</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0.592</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0.770</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6.92</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4.32</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0.10</w:t>
            </w:r>
          </w:p>
        </w:tc>
      </w:tr>
      <w:tr>
        <w:trPr>
          <w:cantSplit/>
        </w:trPr>
        <w:tc>
          <w:tcPr>
            <w:tcW w:type="dxa" w:w="30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No-fire sensitivity RF</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37,430</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0.335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0.581</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8.83</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3.78</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0.03</w:t>
            </w:r>
          </w:p>
        </w:tc>
      </w:tr>
      <w:tr>
        <w:trPr>
          <w:cantSplit/>
        </w:trPr>
        <w:tc>
          <w:tcPr>
            <w:tcW w:type="dxa" w:w="3024"/>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RF including quarantined extremes</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37,433</w:t>
            </w:r>
          </w:p>
        </w:tc>
        <w:tc>
          <w:tcPr>
            <w:tcW w:type="dxa" w:w="89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0.381</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0.828</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9.44</w:t>
            </w:r>
          </w:p>
        </w:tc>
        <w:tc>
          <w:tcPr>
            <w:tcW w:type="dxa" w:w="1008"/>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3.51</w:t>
            </w:r>
          </w:p>
        </w:tc>
        <w:tc>
          <w:tcPr>
            <w:tcW w:type="dxa" w:w="1224"/>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0.32</w:t>
            </w:r>
          </w:p>
        </w:tc>
      </w:tr>
    </w:tbl>
    <w:p>
      <w:pPr>
        <w:keepNext w:val="0"/>
        <w:pageBreakBefore w:val="0"/>
        <w:spacing w:before="0" w:after="120" w:line="276" w:lineRule="auto"/>
        <w:ind w:left="0" w:right="0" w:firstLine="0"/>
        <w:jc w:val="left"/>
      </w:pPr>
      <w:r>
        <w:rPr>
          <w:rFonts w:ascii="Arial" w:hAnsi="Arial" w:eastAsia="Arial"/>
          <w:b w:val="0"/>
          <w:i/>
          <w:color w:val="000000"/>
          <w:sz w:val="24"/>
        </w:rPr>
        <w:t xml:space="preserve">Note. </w:t>
      </w:r>
      <w:r>
        <w:rPr>
          <w:rFonts w:ascii="Arial" w:hAnsi="Arial" w:eastAsia="Arial"/>
          <w:b w:val="0"/>
          <w:i w:val="0"/>
          <w:color w:val="000000"/>
          <w:sz w:val="24"/>
        </w:rPr>
        <w:t>Five-fold grouped cross-validation for the primary RF yielded mean (SD) R² 0.581 (0.081), RMSE 6.19 (0.63) µg m⁻³, and MAE 3.41 (0.07) µg m⁻³. Mean residual is predicted minus observed target error, in µg m⁻³.</w:t>
      </w:r>
    </w:p>
    <w:p>
      <w:pPr>
        <w:pStyle w:val="Caption"/>
        <w:keepNext/>
        <w:pageBreakBefore/>
        <w:spacing w:before="120" w:after="120" w:line="276" w:lineRule="auto"/>
        <w:ind w:left="0" w:right="0" w:firstLine="0"/>
        <w:jc w:val="left"/>
      </w:pPr>
      <w:r>
        <w:rPr>
          <w:rFonts w:ascii="Arial" w:hAnsi="Arial" w:eastAsia="Arial"/>
          <w:color w:val="000000"/>
          <w:sz w:val="24"/>
        </w:rPr>
        <w:t>Table S7 Performance of the primary leakage-resistant Random Forest in the untouched test partition, stratified post hoc by observed PM₂.₅ regime. Regime labels were not supplied to the model</w:t>
      </w:r>
    </w:p>
    <w:tbl>
      <w:tblPr>
        <w:tblW w:type="auto" w:w="0"/>
        <w:jc w:val="center"/>
        <w:tblLayout w:type="autofit"/>
        <w:tblLook w:firstColumn="1" w:firstRow="1" w:lastColumn="0" w:lastRow="0" w:noHBand="0" w:noVBand="1" w:val="04A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399"/>
        <w:gridCol w:w="1399"/>
        <w:gridCol w:w="1399"/>
        <w:gridCol w:w="1399"/>
        <w:gridCol w:w="1399"/>
        <w:gridCol w:w="1399"/>
        <w:gridCol w:w="1399"/>
      </w:tblGrid>
      <w:tr>
        <w:trPr>
          <w:tblHeader w:val="true"/>
          <w:cantSplit/>
          <w:tblHeader w:val="true"/>
        </w:trPr>
        <w:tc>
          <w:tcPr>
            <w:tcW w:type="dxa" w:w="2232"/>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Regime</w:t>
            </w:r>
          </w:p>
        </w:tc>
        <w:tc>
          <w:tcPr>
            <w:tcW w:type="dxa" w:w="1080"/>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n</w:t>
            </w:r>
          </w:p>
        </w:tc>
        <w:tc>
          <w:tcPr>
            <w:tcW w:type="dxa" w:w="93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R²</w:t>
            </w:r>
          </w:p>
        </w:tc>
        <w:tc>
          <w:tcPr>
            <w:tcW w:type="dxa" w:w="1123"/>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Pearson r</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RMSE</w:t>
            </w:r>
          </w:p>
        </w:tc>
        <w:tc>
          <w:tcPr>
            <w:tcW w:type="dxa" w:w="1037"/>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MAE</w:t>
            </w:r>
          </w:p>
        </w:tc>
        <w:tc>
          <w:tcPr>
            <w:tcW w:type="dxa" w:w="1296"/>
            <w:shd w:fill="D9EAF2"/>
            <w:vAlign w:val="center"/>
            <w:tcMar>
              <w:top w:w="50" w:type="dxa"/>
              <w:start w:w="50" w:type="dxa"/>
              <w:bottom w:w="50" w:type="dxa"/>
              <w:end w:w="50" w:type="dxa"/>
            </w:tcMar>
            <w:shd w:fill="D9EAF2"/>
          </w:tcPr>
          <w:p>
            <w:pPr>
              <w:spacing w:after="40" w:line="240" w:lineRule="auto"/>
              <w:jc w:val="center"/>
            </w:pPr>
            <w:r>
              <w:rPr>
                <w:rFonts w:ascii="Arial" w:hAnsi="Arial" w:eastAsia="Arial"/>
                <w:b/>
                <w:i w:val="0"/>
                <w:color w:val="000000"/>
                <w:sz w:val="24"/>
              </w:rPr>
              <w:t>Mean residual</w:t>
            </w:r>
          </w:p>
        </w:tc>
      </w:tr>
      <w:tr>
        <w:trPr>
          <w:cantSplit/>
        </w:trPr>
        <w:tc>
          <w:tcPr>
            <w:tcW w:type="dxa" w:w="2232"/>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All</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37,430</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0.711</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0.844</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5.82</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3.44</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0.17</w:t>
            </w:r>
          </w:p>
        </w:tc>
      </w:tr>
      <w:tr>
        <w:trPr>
          <w:cantSplit/>
        </w:trPr>
        <w:tc>
          <w:tcPr>
            <w:tcW w:type="dxa" w:w="2232"/>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Background (&lt;12)</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25,242</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0.670</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0.838</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3.71</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2.50</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-1.15</w:t>
            </w:r>
          </w:p>
        </w:tc>
      </w:tr>
      <w:tr>
        <w:trPr>
          <w:cantSplit/>
        </w:trPr>
        <w:tc>
          <w:tcPr>
            <w:tcW w:type="dxa" w:w="2232"/>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Moderate (12 to &lt;35)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11,715</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0.730</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0.880</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6.65</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4.74</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2.33</w:t>
            </w:r>
          </w:p>
        </w:tc>
      </w:tr>
      <w:tr>
        <w:trPr>
          <w:cantSplit/>
        </w:trPr>
        <w:tc>
          <w:tcPr>
            <w:tcW w:type="dxa" w:w="2232"/>
            <w:vAlign w:val="center"/>
            <w:tcMar>
              <w:top w:w="50" w:type="dxa"/>
              <w:start w:w="50" w:type="dxa"/>
              <w:bottom w:w="50" w:type="dxa"/>
              <w:end w:w="50" w:type="dxa"/>
            </w:tcMar>
          </w:tcPr>
          <w:p>
            <w:pPr>
              <w:spacing w:after="40" w:line="240" w:lineRule="auto"/>
              <w:jc w:val="left"/>
            </w:pPr>
            <w:r>
              <w:rPr>
                <w:rFonts w:ascii="Arial" w:hAnsi="Arial" w:eastAsia="Arial"/>
                <w:b w:val="0"/>
                <w:i w:val="0"/>
                <w:color w:val="000000"/>
                <w:sz w:val="24"/>
              </w:rPr>
              <w:t>High (≥35)</w:t>
            </w:r>
          </w:p>
        </w:tc>
        <w:tc>
          <w:tcPr>
            <w:tcW w:type="dxa" w:w="1080"/>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473</w:t>
            </w:r>
          </w:p>
        </w:tc>
        <w:tc>
          <w:tcPr>
            <w:tcW w:type="dxa" w:w="93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0.695</w:t>
            </w:r>
          </w:p>
        </w:tc>
        <w:tc>
          <w:tcPr>
            <w:tcW w:type="dxa" w:w="1123"/>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0.897</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29.23</w:t>
            </w:r>
          </w:p>
        </w:tc>
        <w:tc>
          <w:tcPr>
            <w:tcW w:type="dxa" w:w="1037"/>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21.06</w:t>
            </w:r>
          </w:p>
        </w:tc>
        <w:tc>
          <w:tcPr>
            <w:tcW w:type="dxa" w:w="1296"/>
            <w:vAlign w:val="center"/>
            <w:tcMar>
              <w:top w:w="50" w:type="dxa"/>
              <w:start w:w="50" w:type="dxa"/>
              <w:bottom w:w="50" w:type="dxa"/>
              <w:end w:w="50" w:type="dxa"/>
            </w:tcMar>
          </w:tcPr>
          <w:p>
            <w:pPr>
              <w:spacing w:after="40" w:line="240" w:lineRule="auto"/>
              <w:jc w:val="center"/>
            </w:pPr>
            <w:r>
              <w:rPr>
                <w:rFonts w:ascii="Arial" w:hAnsi="Arial" w:eastAsia="Arial"/>
                <w:b w:val="0"/>
                <w:i w:val="0"/>
                <w:color w:val="000000"/>
                <w:sz w:val="24"/>
              </w:rPr>
              <w:t>16.97</w:t>
            </w:r>
          </w:p>
        </w:tc>
      </w:tr>
    </w:tbl>
    <w:p>
      <w:pPr>
        <w:pStyle w:val="Caption"/>
        <w:keepNext/>
        <w:spacing w:after="120" w:line="276" w:lineRule="auto"/>
        <w:ind w:left="0" w:right="0" w:firstLine="0"/>
        <w:jc w:val="left"/>
      </w:pPr>
      <w:r>
        <w:rPr>
          <w:rFonts w:ascii="Arial" w:hAnsi="Arial" w:eastAsia="Arial"/>
          <w:color w:val="000000"/>
          <w:sz w:val="24"/>
        </w:rPr>
        <w:t>Table S8 Pinned software environment for the leakage-resistant Random Forest rerun</w:t>
      </w:r>
    </w:p>
    <w:tbl>
      <w:tblPr>
        <w:tblW w:type="auto" w:w="0"/>
        <w:tblLayout w:type="autofit"/>
        <w:tblLook w:firstColumn="1" w:firstRow="1" w:lastColumn="0" w:lastRow="0" w:noHBand="0" w:noVBand="1" w:val="04A0"/>
        <w:tblBorders>
          <w:top w:val="single" w:sz="6" w:color="808080"/>
          <w:left w:val="single" w:sz="6" w:color="808080"/>
          <w:bottom w:val="single" w:sz="6" w:color="808080"/>
          <w:right w:val="single" w:sz="6" w:color="808080"/>
          <w:insideH w:val="single" w:sz="6" w:color="808080"/>
          <w:insideV w:val="single" w:sz="6" w:color="808080"/>
        </w:tblBorders>
      </w:tblPr>
      <w:tblGrid>
        <w:gridCol w:w="4896"/>
        <w:gridCol w:w="4896"/>
      </w:tblGrid>
      <w:tr>
        <w:trPr>
          <w:tblHeader w:val="true"/>
          <w:tblHeader w:val="true"/>
        </w:trPr>
        <w:tc>
          <w:tcPr>
            <w:tcW w:type="dxa" w:w="4896"/>
            <w:shd w:fill="D9EAF7"/>
            <w:tcMar>
              <w:top w:w="70" w:type="dxa"/>
              <w:start w:w="90" w:type="dxa"/>
              <w:bottom w:w="70" w:type="dxa"/>
              <w:end w:w="90" w:type="dxa"/>
            </w:tcMar>
            <w:vAlign w:val="center"/>
            <w:shd w:fill="D9EAF2"/>
          </w:tcPr>
          <w:p>
            <w:pPr>
              <w:spacing w:after="40" w:line="240" w:lineRule="auto"/>
            </w:pPr>
            <w:r>
              <w:rPr>
                <w:rFonts w:ascii="Arial" w:hAnsi="Arial" w:eastAsia="Arial"/>
                <w:b/>
                <w:color w:val="000000"/>
                <w:sz w:val="24"/>
              </w:rPr>
              <w:t>Component</w:t>
            </w:r>
          </w:p>
        </w:tc>
        <w:tc>
          <w:tcPr>
            <w:tcW w:type="dxa" w:w="4896"/>
            <w:shd w:fill="D9EAF7"/>
            <w:tcMar>
              <w:top w:w="70" w:type="dxa"/>
              <w:start w:w="90" w:type="dxa"/>
              <w:bottom w:w="70" w:type="dxa"/>
              <w:end w:w="90" w:type="dxa"/>
            </w:tcMar>
            <w:vAlign w:val="center"/>
            <w:shd w:fill="D9EAF2"/>
          </w:tcPr>
          <w:p>
            <w:pPr>
              <w:spacing w:after="40" w:line="240" w:lineRule="auto"/>
            </w:pPr>
            <w:r>
              <w:rPr>
                <w:rFonts w:ascii="Arial" w:hAnsi="Arial" w:eastAsia="Arial"/>
                <w:b/>
                <w:color w:val="000000"/>
                <w:sz w:val="24"/>
              </w:rPr>
              <w:t>Version</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Python</w:t>
            </w:r>
          </w:p>
        </w:tc>
        <w:tc>
          <w:tcPr>
            <w:tcW w:type="dxa" w:w="4896"/>
            <w:tcMar>
              <w:top w:w="70" w:type="dxa"/>
              <w:start w:w="90" w:type="dxa"/>
              <w:bottom w:w="70" w:type="dxa"/>
              <w:end w:w="90" w:type="dxa"/>
            </w:tcMar>
            <w:vAlign w:val="center"/>
          </w:tcPr>
          <w:p>
            <w:pPr>
              <w:spacing w:after="40" w:line="240" w:lineRule="auto"/>
            </w:pPr>
            <w:r>
              <w:t>3.12.14</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NumPy</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2.5.2</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pandas</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3.0.1</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SciPy</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1.18.1</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scikit-learn</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1.9.0</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Matplotlib</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3.11.1</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nbformat</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5.11.1</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nbclient</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0.11.0</w:t>
            </w:r>
          </w:p>
        </w:tc>
      </w:tr>
      <w:tr>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ipykernel</w:t>
            </w:r>
          </w:p>
        </w:tc>
        <w:tc>
          <w:tcPr>
            <w:tcW w:type="dxa" w:w="4896"/>
            <w:tcMar>
              <w:top w:w="70" w:type="dxa"/>
              <w:start w:w="90" w:type="dxa"/>
              <w:bottom w:w="70" w:type="dxa"/>
              <w:end w:w="90" w:type="dxa"/>
            </w:tcMar>
            <w:vAlign w:val="center"/>
          </w:tcPr>
          <w:p>
            <w:pPr>
              <w:spacing w:after="40" w:line="240" w:lineRule="auto"/>
            </w:pPr>
            <w:r>
              <w:rPr>
                <w:rFonts w:ascii="Arial" w:hAnsi="Arial" w:eastAsia="Arial"/>
                <w:color w:val="000000"/>
                <w:sz w:val="24"/>
              </w:rPr>
              <w:t>7.3.0</w:t>
            </w:r>
          </w:p>
        </w:tc>
      </w:tr>
    </w:tbl>
    <w:p>
      <w:pPr>
        <w:pStyle w:val="Caption"/>
        <w:keepNext/>
        <w:spacing w:after="120" w:line="276" w:lineRule="auto"/>
        <w:ind w:left="0" w:right="0" w:firstLine="0"/>
        <w:jc w:val="left"/>
      </w:pPr>
      <w:r>
        <w:rPr>
          <w:rFonts w:ascii="Arial" w:hAnsi="Arial" w:eastAsia="Arial"/>
          <w:color w:val="000000"/>
          <w:sz w:val="24"/>
        </w:rPr>
        <w:t>Table S9 Whole-day lag sensitivity for paired CMAQ total and AQS-observed PM₂.₅. Positive lags indicate that the modeled value preceded the observation; lag 0 is same-day pairing</w:t>
      </w:r>
    </w:p>
    <w:tbl>
      <w:tblPr>
        <w:tblW w:type="auto" w:w="0"/>
        <w:tblLayout w:type="autofit"/>
        <w:tblLook w:firstColumn="1" w:firstRow="1" w:lastColumn="0" w:lastRow="0" w:noHBand="0" w:noVBand="1" w:val="04A0"/>
        <w:tblBorders>
          <w:top w:val="single" w:sz="6" w:color="808080"/>
          <w:left w:val="single" w:sz="6" w:color="808080"/>
          <w:bottom w:val="single" w:sz="6" w:color="808080"/>
          <w:right w:val="single" w:sz="6" w:color="808080"/>
          <w:insideH w:val="single" w:sz="6" w:color="808080"/>
          <w:insideV w:val="single" w:sz="6" w:color="808080"/>
        </w:tblBorders>
      </w:tblPr>
      <w:tblGrid>
        <w:gridCol w:w="1399"/>
        <w:gridCol w:w="1399"/>
        <w:gridCol w:w="1399"/>
        <w:gridCol w:w="1399"/>
        <w:gridCol w:w="1399"/>
        <w:gridCol w:w="1399"/>
        <w:gridCol w:w="1399"/>
      </w:tblGrid>
      <w:tr>
        <w:trPr>
          <w:tblHeader w:val="true"/>
        </w:trPr>
        <w:tc>
          <w:tcPr>
            <w:tcW w:type="dxa" w:w="1399"/>
            <w:shd w:fill="D9EAF2"/>
            <w:vAlign w:val="center"/>
          </w:tcPr>
          <w:p>
            <w:pPr>
              <w:spacing w:after="40" w:line="240" w:lineRule="auto"/>
            </w:pPr>
            <w:r>
              <w:rPr>
                <w:rFonts w:ascii="Arial" w:hAnsi="Arial" w:eastAsia="Arial"/>
                <w:b/>
                <w:color w:val="000000"/>
                <w:sz w:val="24"/>
              </w:rPr>
              <w:t>Lag (days)</w:t>
            </w:r>
          </w:p>
        </w:tc>
        <w:tc>
          <w:tcPr>
            <w:tcW w:type="dxa" w:w="1399"/>
            <w:shd w:fill="D9EAF2"/>
            <w:vAlign w:val="center"/>
          </w:tcPr>
          <w:p>
            <w:pPr>
              <w:spacing w:after="40" w:line="240" w:lineRule="auto"/>
            </w:pPr>
            <w:r>
              <w:rPr>
                <w:rFonts w:ascii="Arial" w:hAnsi="Arial" w:eastAsia="Arial"/>
                <w:b/>
                <w:color w:val="000000"/>
                <w:sz w:val="24"/>
              </w:rPr>
              <w:t>n</w:t>
            </w:r>
          </w:p>
        </w:tc>
        <w:tc>
          <w:tcPr>
            <w:tcW w:type="dxa" w:w="1399"/>
            <w:shd w:fill="D9EAF2"/>
            <w:vAlign w:val="center"/>
          </w:tcPr>
          <w:p>
            <w:pPr>
              <w:spacing w:after="40" w:line="240" w:lineRule="auto"/>
            </w:pPr>
            <w:r>
              <w:rPr>
                <w:rFonts w:ascii="Arial" w:hAnsi="Arial" w:eastAsia="Arial"/>
                <w:b/>
                <w:color w:val="000000"/>
                <w:sz w:val="24"/>
              </w:rPr>
              <w:t>Pearson r</w:t>
            </w:r>
          </w:p>
        </w:tc>
        <w:tc>
          <w:tcPr>
            <w:tcW w:type="dxa" w:w="1399"/>
            <w:shd w:fill="D9EAF2"/>
            <w:vAlign w:val="center"/>
          </w:tcPr>
          <w:p>
            <w:pPr>
              <w:spacing w:after="40" w:line="240" w:lineRule="auto"/>
            </w:pPr>
            <w:r>
              <w:rPr>
                <w:rFonts w:ascii="Arial" w:hAnsi="Arial" w:eastAsia="Arial"/>
                <w:b/>
                <w:color w:val="000000"/>
                <w:sz w:val="24"/>
              </w:rPr>
              <w:t>MAE</w:t>
            </w:r>
          </w:p>
        </w:tc>
        <w:tc>
          <w:tcPr>
            <w:tcW w:type="dxa" w:w="1399"/>
            <w:shd w:fill="D9EAF2"/>
            <w:vAlign w:val="center"/>
          </w:tcPr>
          <w:p>
            <w:pPr>
              <w:spacing w:after="40" w:line="240" w:lineRule="auto"/>
            </w:pPr>
            <w:r>
              <w:rPr>
                <w:rFonts w:ascii="Arial" w:hAnsi="Arial" w:eastAsia="Arial"/>
                <w:b/>
                <w:color w:val="000000"/>
                <w:sz w:val="24"/>
              </w:rPr>
              <w:t>RMSE</w:t>
            </w:r>
          </w:p>
        </w:tc>
        <w:tc>
          <w:tcPr>
            <w:tcW w:type="dxa" w:w="1399"/>
            <w:shd w:fill="D9EAF2"/>
            <w:vAlign w:val="center"/>
          </w:tcPr>
          <w:p>
            <w:pPr>
              <w:spacing w:after="40" w:line="240" w:lineRule="auto"/>
            </w:pPr>
            <w:r>
              <w:rPr>
                <w:rFonts w:ascii="Arial" w:hAnsi="Arial" w:eastAsia="Arial"/>
                <w:b/>
                <w:color w:val="000000"/>
                <w:sz w:val="24"/>
              </w:rPr>
              <w:t>F1 at 12</w:t>
            </w:r>
          </w:p>
        </w:tc>
        <w:tc>
          <w:tcPr>
            <w:tcW w:type="dxa" w:w="1399"/>
            <w:shd w:fill="D9EAF2"/>
            <w:vAlign w:val="center"/>
          </w:tcPr>
          <w:p>
            <w:pPr>
              <w:spacing w:after="40" w:line="240" w:lineRule="auto"/>
            </w:pPr>
            <w:r>
              <w:rPr>
                <w:rFonts w:ascii="Arial" w:hAnsi="Arial" w:eastAsia="Arial"/>
                <w:b/>
                <w:color w:val="000000"/>
                <w:sz w:val="24"/>
              </w:rPr>
              <w:t>F1 at 35</w:t>
            </w:r>
          </w:p>
        </w:tc>
      </w:tr>
      <w:tr>
        <w:tc>
          <w:tcPr>
            <w:tcW w:type="dxa" w:w="1399"/>
            <w:vAlign w:val="center"/>
          </w:tcPr>
          <w:p>
            <w:pPr>
              <w:spacing w:after="40" w:line="240" w:lineRule="auto"/>
            </w:pPr>
            <w:r>
              <w:rPr>
                <w:rFonts w:ascii="Arial" w:hAnsi="Arial" w:eastAsia="Arial"/>
                <w:color w:val="000000"/>
                <w:sz w:val="24"/>
              </w:rPr>
              <w:t>-3</w:t>
            </w:r>
          </w:p>
        </w:tc>
        <w:tc>
          <w:tcPr>
            <w:tcW w:type="dxa" w:w="1399"/>
            <w:vAlign w:val="center"/>
          </w:tcPr>
          <w:p>
            <w:pPr>
              <w:spacing w:after="40" w:line="240" w:lineRule="auto"/>
            </w:pPr>
            <w:r>
              <w:rPr>
                <w:rFonts w:ascii="Arial" w:hAnsi="Arial" w:eastAsia="Arial"/>
                <w:color w:val="000000"/>
                <w:sz w:val="24"/>
              </w:rPr>
              <w:t>167,403</w:t>
            </w:r>
          </w:p>
        </w:tc>
        <w:tc>
          <w:tcPr>
            <w:tcW w:type="dxa" w:w="1399"/>
            <w:vAlign w:val="center"/>
          </w:tcPr>
          <w:p>
            <w:pPr>
              <w:spacing w:after="40" w:line="240" w:lineRule="auto"/>
            </w:pPr>
            <w:r>
              <w:rPr>
                <w:rFonts w:ascii="Arial" w:hAnsi="Arial" w:eastAsia="Arial"/>
                <w:color w:val="000000"/>
                <w:sz w:val="24"/>
              </w:rPr>
              <w:t>0.286</w:t>
            </w:r>
          </w:p>
        </w:tc>
        <w:tc>
          <w:tcPr>
            <w:tcW w:type="dxa" w:w="1399"/>
            <w:vAlign w:val="center"/>
          </w:tcPr>
          <w:p>
            <w:pPr>
              <w:spacing w:after="40" w:line="240" w:lineRule="auto"/>
            </w:pPr>
            <w:r>
              <w:rPr>
                <w:rFonts w:ascii="Arial" w:hAnsi="Arial" w:eastAsia="Arial"/>
                <w:color w:val="000000"/>
                <w:sz w:val="24"/>
              </w:rPr>
              <w:t>6.19</w:t>
            </w:r>
          </w:p>
        </w:tc>
        <w:tc>
          <w:tcPr>
            <w:tcW w:type="dxa" w:w="1399"/>
            <w:vAlign w:val="center"/>
          </w:tcPr>
          <w:p>
            <w:pPr>
              <w:spacing w:after="40" w:line="240" w:lineRule="auto"/>
            </w:pPr>
            <w:r>
              <w:rPr>
                <w:rFonts w:ascii="Arial" w:hAnsi="Arial" w:eastAsia="Arial"/>
                <w:color w:val="000000"/>
                <w:sz w:val="24"/>
              </w:rPr>
              <w:t>11.58</w:t>
            </w:r>
          </w:p>
        </w:tc>
        <w:tc>
          <w:tcPr>
            <w:tcW w:type="dxa" w:w="1399"/>
            <w:vAlign w:val="center"/>
          </w:tcPr>
          <w:p>
            <w:pPr>
              <w:spacing w:after="40" w:line="240" w:lineRule="auto"/>
            </w:pPr>
            <w:r>
              <w:rPr>
                <w:rFonts w:ascii="Arial" w:hAnsi="Arial" w:eastAsia="Arial"/>
                <w:color w:val="000000"/>
                <w:sz w:val="24"/>
              </w:rPr>
              <w:t>0.436</w:t>
            </w:r>
          </w:p>
        </w:tc>
        <w:tc>
          <w:tcPr>
            <w:tcW w:type="dxa" w:w="1399"/>
            <w:vAlign w:val="center"/>
          </w:tcPr>
          <w:p>
            <w:pPr>
              <w:spacing w:after="40" w:line="240" w:lineRule="auto"/>
            </w:pPr>
            <w:r>
              <w:rPr>
                <w:rFonts w:ascii="Arial" w:hAnsi="Arial" w:eastAsia="Arial"/>
                <w:color w:val="000000"/>
                <w:sz w:val="24"/>
              </w:rPr>
              <w:t>0.183</w:t>
            </w:r>
          </w:p>
        </w:tc>
      </w:tr>
      <w:tr>
        <w:tc>
          <w:tcPr>
            <w:tcW w:type="dxa" w:w="1399"/>
            <w:vAlign w:val="center"/>
          </w:tcPr>
          <w:p>
            <w:pPr>
              <w:spacing w:after="40" w:line="240" w:lineRule="auto"/>
            </w:pPr>
            <w:r>
              <w:rPr>
                <w:rFonts w:ascii="Arial" w:hAnsi="Arial" w:eastAsia="Arial"/>
                <w:color w:val="000000"/>
                <w:sz w:val="24"/>
              </w:rPr>
              <w:t>-2</w:t>
            </w:r>
          </w:p>
        </w:tc>
        <w:tc>
          <w:tcPr>
            <w:tcW w:type="dxa" w:w="1399"/>
            <w:vAlign w:val="center"/>
          </w:tcPr>
          <w:p>
            <w:pPr>
              <w:spacing w:after="40" w:line="240" w:lineRule="auto"/>
            </w:pPr>
            <w:r>
              <w:rPr>
                <w:rFonts w:ascii="Arial" w:hAnsi="Arial" w:eastAsia="Arial"/>
                <w:color w:val="000000"/>
                <w:sz w:val="24"/>
              </w:rPr>
              <w:t>145,347</w:t>
            </w:r>
          </w:p>
        </w:tc>
        <w:tc>
          <w:tcPr>
            <w:tcW w:type="dxa" w:w="1399"/>
            <w:vAlign w:val="center"/>
          </w:tcPr>
          <w:p>
            <w:pPr>
              <w:spacing w:after="40" w:line="240" w:lineRule="auto"/>
            </w:pPr>
            <w:r>
              <w:rPr>
                <w:rFonts w:ascii="Arial" w:hAnsi="Arial" w:eastAsia="Arial"/>
                <w:color w:val="000000"/>
                <w:sz w:val="24"/>
              </w:rPr>
              <w:t>0.318</w:t>
            </w:r>
          </w:p>
        </w:tc>
        <w:tc>
          <w:tcPr>
            <w:tcW w:type="dxa" w:w="1399"/>
            <w:vAlign w:val="center"/>
          </w:tcPr>
          <w:p>
            <w:pPr>
              <w:spacing w:after="40" w:line="240" w:lineRule="auto"/>
            </w:pPr>
            <w:r>
              <w:rPr>
                <w:rFonts w:ascii="Arial" w:hAnsi="Arial" w:eastAsia="Arial"/>
                <w:color w:val="000000"/>
                <w:sz w:val="24"/>
              </w:rPr>
              <w:t>6.16</w:t>
            </w:r>
          </w:p>
        </w:tc>
        <w:tc>
          <w:tcPr>
            <w:tcW w:type="dxa" w:w="1399"/>
            <w:vAlign w:val="center"/>
          </w:tcPr>
          <w:p>
            <w:pPr>
              <w:spacing w:after="40" w:line="240" w:lineRule="auto"/>
            </w:pPr>
            <w:r>
              <w:rPr>
                <w:rFonts w:ascii="Arial" w:hAnsi="Arial" w:eastAsia="Arial"/>
                <w:color w:val="000000"/>
                <w:sz w:val="24"/>
              </w:rPr>
              <w:t>11.45</w:t>
            </w:r>
          </w:p>
        </w:tc>
        <w:tc>
          <w:tcPr>
            <w:tcW w:type="dxa" w:w="1399"/>
            <w:vAlign w:val="center"/>
          </w:tcPr>
          <w:p>
            <w:pPr>
              <w:spacing w:after="40" w:line="240" w:lineRule="auto"/>
            </w:pPr>
            <w:r>
              <w:rPr>
                <w:rFonts w:ascii="Arial" w:hAnsi="Arial" w:eastAsia="Arial"/>
                <w:color w:val="000000"/>
                <w:sz w:val="24"/>
              </w:rPr>
              <w:t>0.451</w:t>
            </w:r>
          </w:p>
        </w:tc>
        <w:tc>
          <w:tcPr>
            <w:tcW w:type="dxa" w:w="1399"/>
            <w:vAlign w:val="center"/>
          </w:tcPr>
          <w:p>
            <w:pPr>
              <w:spacing w:after="40" w:line="240" w:lineRule="auto"/>
            </w:pPr>
            <w:r>
              <w:rPr>
                <w:rFonts w:ascii="Arial" w:hAnsi="Arial" w:eastAsia="Arial"/>
                <w:color w:val="000000"/>
                <w:sz w:val="24"/>
              </w:rPr>
              <w:t>0.215</w:t>
            </w:r>
          </w:p>
        </w:tc>
      </w:tr>
      <w:tr>
        <w:tc>
          <w:tcPr>
            <w:tcW w:type="dxa" w:w="1399"/>
            <w:vAlign w:val="center"/>
          </w:tcPr>
          <w:p>
            <w:pPr>
              <w:spacing w:after="40" w:line="240" w:lineRule="auto"/>
            </w:pPr>
            <w:r>
              <w:rPr>
                <w:rFonts w:ascii="Arial" w:hAnsi="Arial" w:eastAsia="Arial"/>
                <w:color w:val="000000"/>
                <w:sz w:val="24"/>
              </w:rPr>
              <w:t>-1</w:t>
            </w:r>
          </w:p>
        </w:tc>
        <w:tc>
          <w:tcPr>
            <w:tcW w:type="dxa" w:w="1399"/>
            <w:vAlign w:val="center"/>
          </w:tcPr>
          <w:p>
            <w:pPr>
              <w:spacing w:after="40" w:line="240" w:lineRule="auto"/>
            </w:pPr>
            <w:r>
              <w:rPr>
                <w:rFonts w:ascii="Arial" w:hAnsi="Arial" w:eastAsia="Arial"/>
                <w:color w:val="000000"/>
                <w:sz w:val="24"/>
              </w:rPr>
              <w:t>147,238</w:t>
            </w:r>
          </w:p>
        </w:tc>
        <w:tc>
          <w:tcPr>
            <w:tcW w:type="dxa" w:w="1399"/>
            <w:vAlign w:val="center"/>
          </w:tcPr>
          <w:p>
            <w:pPr>
              <w:spacing w:after="40" w:line="240" w:lineRule="auto"/>
            </w:pPr>
            <w:r>
              <w:rPr>
                <w:rFonts w:ascii="Arial" w:hAnsi="Arial" w:eastAsia="Arial"/>
                <w:color w:val="000000"/>
                <w:sz w:val="24"/>
              </w:rPr>
              <w:t>0.390</w:t>
            </w:r>
          </w:p>
        </w:tc>
        <w:tc>
          <w:tcPr>
            <w:tcW w:type="dxa" w:w="1399"/>
            <w:vAlign w:val="center"/>
          </w:tcPr>
          <w:p>
            <w:pPr>
              <w:spacing w:after="40" w:line="240" w:lineRule="auto"/>
            </w:pPr>
            <w:r>
              <w:rPr>
                <w:rFonts w:ascii="Arial" w:hAnsi="Arial" w:eastAsia="Arial"/>
                <w:color w:val="000000"/>
                <w:sz w:val="24"/>
              </w:rPr>
              <w:t>5.76</w:t>
            </w:r>
          </w:p>
        </w:tc>
        <w:tc>
          <w:tcPr>
            <w:tcW w:type="dxa" w:w="1399"/>
            <w:vAlign w:val="center"/>
          </w:tcPr>
          <w:p>
            <w:pPr>
              <w:spacing w:after="40" w:line="240" w:lineRule="auto"/>
            </w:pPr>
            <w:r>
              <w:rPr>
                <w:rFonts w:ascii="Arial" w:hAnsi="Arial" w:eastAsia="Arial"/>
                <w:color w:val="000000"/>
                <w:sz w:val="24"/>
              </w:rPr>
              <w:t>10.79</w:t>
            </w:r>
          </w:p>
        </w:tc>
        <w:tc>
          <w:tcPr>
            <w:tcW w:type="dxa" w:w="1399"/>
            <w:vAlign w:val="center"/>
          </w:tcPr>
          <w:p>
            <w:pPr>
              <w:spacing w:after="40" w:line="240" w:lineRule="auto"/>
            </w:pPr>
            <w:r>
              <w:rPr>
                <w:rFonts w:ascii="Arial" w:hAnsi="Arial" w:eastAsia="Arial"/>
                <w:color w:val="000000"/>
                <w:sz w:val="24"/>
              </w:rPr>
              <w:t>0.490</w:t>
            </w:r>
          </w:p>
        </w:tc>
        <w:tc>
          <w:tcPr>
            <w:tcW w:type="dxa" w:w="1399"/>
            <w:vAlign w:val="center"/>
          </w:tcPr>
          <w:p>
            <w:pPr>
              <w:spacing w:after="40" w:line="240" w:lineRule="auto"/>
            </w:pPr>
            <w:r>
              <w:rPr>
                <w:rFonts w:ascii="Arial" w:hAnsi="Arial" w:eastAsia="Arial"/>
                <w:color w:val="000000"/>
                <w:sz w:val="24"/>
              </w:rPr>
              <w:t>0.257</w:t>
            </w:r>
          </w:p>
        </w:tc>
      </w:tr>
      <w:tr>
        <w:tc>
          <w:tcPr>
            <w:tcW w:type="dxa" w:w="1399"/>
            <w:vAlign w:val="center"/>
          </w:tcPr>
          <w:p>
            <w:pPr>
              <w:spacing w:after="40" w:line="240" w:lineRule="auto"/>
            </w:pPr>
            <w:r>
              <w:rPr>
                <w:rFonts w:ascii="Arial" w:hAnsi="Arial" w:eastAsia="Arial"/>
                <w:color w:val="000000"/>
                <w:sz w:val="24"/>
              </w:rPr>
              <w:t>0</w:t>
            </w:r>
          </w:p>
        </w:tc>
        <w:tc>
          <w:tcPr>
            <w:tcW w:type="dxa" w:w="1399"/>
            <w:vAlign w:val="center"/>
          </w:tcPr>
          <w:p>
            <w:pPr>
              <w:spacing w:after="40" w:line="240" w:lineRule="auto"/>
            </w:pPr>
            <w:r>
              <w:rPr>
                <w:rFonts w:ascii="Arial" w:hAnsi="Arial" w:eastAsia="Arial"/>
                <w:color w:val="000000"/>
                <w:sz w:val="24"/>
              </w:rPr>
              <w:t>187,051</w:t>
            </w:r>
          </w:p>
        </w:tc>
        <w:tc>
          <w:tcPr>
            <w:tcW w:type="dxa" w:w="1399"/>
            <w:vAlign w:val="center"/>
          </w:tcPr>
          <w:p>
            <w:pPr>
              <w:spacing w:after="40" w:line="240" w:lineRule="auto"/>
            </w:pPr>
            <w:r>
              <w:rPr>
                <w:rFonts w:ascii="Arial" w:hAnsi="Arial" w:eastAsia="Arial"/>
                <w:color w:val="000000"/>
                <w:sz w:val="24"/>
              </w:rPr>
              <w:t>0.502</w:t>
            </w:r>
          </w:p>
        </w:tc>
        <w:tc>
          <w:tcPr>
            <w:tcW w:type="dxa" w:w="1399"/>
            <w:vAlign w:val="center"/>
          </w:tcPr>
          <w:p>
            <w:pPr>
              <w:spacing w:after="40" w:line="240" w:lineRule="auto"/>
            </w:pPr>
            <w:r>
              <w:rPr>
                <w:rFonts w:ascii="Arial" w:hAnsi="Arial" w:eastAsia="Arial"/>
                <w:color w:val="000000"/>
                <w:sz w:val="24"/>
              </w:rPr>
              <w:t>5.16</w:t>
            </w:r>
          </w:p>
        </w:tc>
        <w:tc>
          <w:tcPr>
            <w:tcW w:type="dxa" w:w="1399"/>
            <w:vAlign w:val="center"/>
          </w:tcPr>
          <w:p>
            <w:pPr>
              <w:spacing w:after="40" w:line="240" w:lineRule="auto"/>
            </w:pPr>
            <w:r>
              <w:rPr>
                <w:rFonts w:ascii="Arial" w:hAnsi="Arial" w:eastAsia="Arial"/>
                <w:color w:val="000000"/>
                <w:sz w:val="24"/>
              </w:rPr>
              <w:t>9.96</w:t>
            </w:r>
          </w:p>
        </w:tc>
        <w:tc>
          <w:tcPr>
            <w:tcW w:type="dxa" w:w="1399"/>
            <w:vAlign w:val="center"/>
          </w:tcPr>
          <w:p>
            <w:pPr>
              <w:spacing w:after="40" w:line="240" w:lineRule="auto"/>
            </w:pPr>
            <w:r>
              <w:rPr>
                <w:rFonts w:ascii="Arial" w:hAnsi="Arial" w:eastAsia="Arial"/>
                <w:color w:val="000000"/>
                <w:sz w:val="24"/>
              </w:rPr>
              <w:t>0.539</w:t>
            </w:r>
          </w:p>
        </w:tc>
        <w:tc>
          <w:tcPr>
            <w:tcW w:type="dxa" w:w="1399"/>
            <w:vAlign w:val="center"/>
          </w:tcPr>
          <w:p>
            <w:pPr>
              <w:spacing w:after="40" w:line="240" w:lineRule="auto"/>
            </w:pPr>
            <w:r>
              <w:rPr>
                <w:rFonts w:ascii="Arial" w:hAnsi="Arial" w:eastAsia="Arial"/>
                <w:color w:val="000000"/>
                <w:sz w:val="24"/>
              </w:rPr>
              <w:t>0.322</w:t>
            </w:r>
          </w:p>
        </w:tc>
      </w:tr>
      <w:tr>
        <w:tc>
          <w:tcPr>
            <w:tcW w:type="dxa" w:w="1399"/>
            <w:vAlign w:val="center"/>
          </w:tcPr>
          <w:p>
            <w:pPr>
              <w:spacing w:after="40" w:line="240" w:lineRule="auto"/>
            </w:pPr>
            <w:r>
              <w:rPr>
                <w:rFonts w:ascii="Arial" w:hAnsi="Arial" w:eastAsia="Arial"/>
                <w:color w:val="000000"/>
                <w:sz w:val="24"/>
              </w:rPr>
              <w:t>+1</w:t>
            </w:r>
          </w:p>
        </w:tc>
        <w:tc>
          <w:tcPr>
            <w:tcW w:type="dxa" w:w="1399"/>
            <w:vAlign w:val="center"/>
          </w:tcPr>
          <w:p>
            <w:pPr>
              <w:spacing w:after="40" w:line="240" w:lineRule="auto"/>
            </w:pPr>
            <w:r>
              <w:rPr>
                <w:rFonts w:ascii="Arial" w:hAnsi="Arial" w:eastAsia="Arial"/>
                <w:color w:val="000000"/>
                <w:sz w:val="24"/>
              </w:rPr>
              <w:t>147,238</w:t>
            </w:r>
          </w:p>
        </w:tc>
        <w:tc>
          <w:tcPr>
            <w:tcW w:type="dxa" w:w="1399"/>
            <w:vAlign w:val="center"/>
          </w:tcPr>
          <w:p>
            <w:pPr>
              <w:spacing w:after="40" w:line="240" w:lineRule="auto"/>
            </w:pPr>
            <w:r>
              <w:rPr>
                <w:rFonts w:ascii="Arial" w:hAnsi="Arial" w:eastAsia="Arial"/>
                <w:color w:val="000000"/>
                <w:sz w:val="24"/>
              </w:rPr>
              <w:t>0.420</w:t>
            </w:r>
          </w:p>
        </w:tc>
        <w:tc>
          <w:tcPr>
            <w:tcW w:type="dxa" w:w="1399"/>
            <w:vAlign w:val="center"/>
          </w:tcPr>
          <w:p>
            <w:pPr>
              <w:spacing w:after="40" w:line="240" w:lineRule="auto"/>
            </w:pPr>
            <w:r>
              <w:rPr>
                <w:rFonts w:ascii="Arial" w:hAnsi="Arial" w:eastAsia="Arial"/>
                <w:color w:val="000000"/>
                <w:sz w:val="24"/>
              </w:rPr>
              <w:t>5.69</w:t>
            </w:r>
          </w:p>
        </w:tc>
        <w:tc>
          <w:tcPr>
            <w:tcW w:type="dxa" w:w="1399"/>
            <w:vAlign w:val="center"/>
          </w:tcPr>
          <w:p>
            <w:pPr>
              <w:spacing w:after="40" w:line="240" w:lineRule="auto"/>
            </w:pPr>
            <w:r>
              <w:rPr>
                <w:rFonts w:ascii="Arial" w:hAnsi="Arial" w:eastAsia="Arial"/>
                <w:color w:val="000000"/>
                <w:sz w:val="24"/>
              </w:rPr>
              <w:t>10.55</w:t>
            </w:r>
          </w:p>
        </w:tc>
        <w:tc>
          <w:tcPr>
            <w:tcW w:type="dxa" w:w="1399"/>
            <w:vAlign w:val="center"/>
          </w:tcPr>
          <w:p>
            <w:pPr>
              <w:spacing w:after="40" w:line="240" w:lineRule="auto"/>
            </w:pPr>
            <w:r>
              <w:rPr>
                <w:rFonts w:ascii="Arial" w:hAnsi="Arial" w:eastAsia="Arial"/>
                <w:color w:val="000000"/>
                <w:sz w:val="24"/>
              </w:rPr>
              <w:t>0.495</w:t>
            </w:r>
          </w:p>
        </w:tc>
        <w:tc>
          <w:tcPr>
            <w:tcW w:type="dxa" w:w="1399"/>
            <w:vAlign w:val="center"/>
          </w:tcPr>
          <w:p>
            <w:pPr>
              <w:spacing w:after="40" w:line="240" w:lineRule="auto"/>
            </w:pPr>
            <w:r>
              <w:rPr>
                <w:rFonts w:ascii="Arial" w:hAnsi="Arial" w:eastAsia="Arial"/>
                <w:color w:val="000000"/>
                <w:sz w:val="24"/>
              </w:rPr>
              <w:t>0.264</w:t>
            </w:r>
          </w:p>
        </w:tc>
      </w:tr>
      <w:tr>
        <w:tc>
          <w:tcPr>
            <w:tcW w:type="dxa" w:w="1399"/>
            <w:vAlign w:val="center"/>
          </w:tcPr>
          <w:p>
            <w:pPr>
              <w:spacing w:after="40" w:line="240" w:lineRule="auto"/>
            </w:pPr>
            <w:r>
              <w:rPr>
                <w:rFonts w:ascii="Arial" w:hAnsi="Arial" w:eastAsia="Arial"/>
                <w:color w:val="000000"/>
                <w:sz w:val="24"/>
              </w:rPr>
              <w:t>+2</w:t>
            </w:r>
          </w:p>
        </w:tc>
        <w:tc>
          <w:tcPr>
            <w:tcW w:type="dxa" w:w="1399"/>
            <w:vAlign w:val="center"/>
          </w:tcPr>
          <w:p>
            <w:pPr>
              <w:spacing w:after="40" w:line="240" w:lineRule="auto"/>
            </w:pPr>
            <w:r>
              <w:rPr>
                <w:rFonts w:ascii="Arial" w:hAnsi="Arial" w:eastAsia="Arial"/>
                <w:color w:val="000000"/>
                <w:sz w:val="24"/>
              </w:rPr>
              <w:t>145,347</w:t>
            </w:r>
          </w:p>
        </w:tc>
        <w:tc>
          <w:tcPr>
            <w:tcW w:type="dxa" w:w="1399"/>
            <w:vAlign w:val="center"/>
          </w:tcPr>
          <w:p>
            <w:pPr>
              <w:spacing w:after="40" w:line="240" w:lineRule="auto"/>
            </w:pPr>
            <w:r>
              <w:rPr>
                <w:rFonts w:ascii="Arial" w:hAnsi="Arial" w:eastAsia="Arial"/>
                <w:color w:val="000000"/>
                <w:sz w:val="24"/>
              </w:rPr>
              <w:t>0.342</w:t>
            </w:r>
          </w:p>
        </w:tc>
        <w:tc>
          <w:tcPr>
            <w:tcW w:type="dxa" w:w="1399"/>
            <w:vAlign w:val="center"/>
          </w:tcPr>
          <w:p>
            <w:pPr>
              <w:spacing w:after="40" w:line="240" w:lineRule="auto"/>
            </w:pPr>
            <w:r>
              <w:rPr>
                <w:rFonts w:ascii="Arial" w:hAnsi="Arial" w:eastAsia="Arial"/>
                <w:color w:val="000000"/>
                <w:sz w:val="24"/>
              </w:rPr>
              <w:t>6.13</w:t>
            </w:r>
          </w:p>
        </w:tc>
        <w:tc>
          <w:tcPr>
            <w:tcW w:type="dxa" w:w="1399"/>
            <w:vAlign w:val="center"/>
          </w:tcPr>
          <w:p>
            <w:pPr>
              <w:spacing w:after="40" w:line="240" w:lineRule="auto"/>
            </w:pPr>
            <w:r>
              <w:rPr>
                <w:rFonts w:ascii="Arial" w:hAnsi="Arial" w:eastAsia="Arial"/>
                <w:color w:val="000000"/>
                <w:sz w:val="24"/>
              </w:rPr>
              <w:t>11.21</w:t>
            </w:r>
          </w:p>
        </w:tc>
        <w:tc>
          <w:tcPr>
            <w:tcW w:type="dxa" w:w="1399"/>
            <w:vAlign w:val="center"/>
          </w:tcPr>
          <w:p>
            <w:pPr>
              <w:spacing w:after="40" w:line="240" w:lineRule="auto"/>
            </w:pPr>
            <w:r>
              <w:rPr>
                <w:rFonts w:ascii="Arial" w:hAnsi="Arial" w:eastAsia="Arial"/>
                <w:color w:val="000000"/>
                <w:sz w:val="24"/>
              </w:rPr>
              <w:t>0.452</w:t>
            </w:r>
          </w:p>
        </w:tc>
        <w:tc>
          <w:tcPr>
            <w:tcW w:type="dxa" w:w="1399"/>
            <w:vAlign w:val="center"/>
          </w:tcPr>
          <w:p>
            <w:pPr>
              <w:spacing w:after="40" w:line="240" w:lineRule="auto"/>
            </w:pPr>
            <w:r>
              <w:rPr>
                <w:rFonts w:ascii="Arial" w:hAnsi="Arial" w:eastAsia="Arial"/>
                <w:color w:val="000000"/>
                <w:sz w:val="24"/>
              </w:rPr>
              <w:t>0.196</w:t>
            </w:r>
          </w:p>
        </w:tc>
      </w:tr>
      <w:tr>
        <w:tc>
          <w:tcPr>
            <w:tcW w:type="dxa" w:w="1399"/>
            <w:vAlign w:val="center"/>
          </w:tcPr>
          <w:p>
            <w:pPr>
              <w:spacing w:after="40" w:line="240" w:lineRule="auto"/>
            </w:pPr>
            <w:r>
              <w:rPr>
                <w:rFonts w:ascii="Arial" w:hAnsi="Arial" w:eastAsia="Arial"/>
                <w:color w:val="000000"/>
                <w:sz w:val="24"/>
              </w:rPr>
              <w:t>+3</w:t>
            </w:r>
          </w:p>
        </w:tc>
        <w:tc>
          <w:tcPr>
            <w:tcW w:type="dxa" w:w="1399"/>
            <w:vAlign w:val="center"/>
          </w:tcPr>
          <w:p>
            <w:pPr>
              <w:spacing w:after="40" w:line="240" w:lineRule="auto"/>
            </w:pPr>
            <w:r>
              <w:rPr>
                <w:rFonts w:ascii="Arial" w:hAnsi="Arial" w:eastAsia="Arial"/>
                <w:color w:val="000000"/>
                <w:sz w:val="24"/>
              </w:rPr>
              <w:t>167,403</w:t>
            </w:r>
          </w:p>
        </w:tc>
        <w:tc>
          <w:tcPr>
            <w:tcW w:type="dxa" w:w="1399"/>
            <w:vAlign w:val="center"/>
          </w:tcPr>
          <w:p>
            <w:pPr>
              <w:spacing w:after="40" w:line="240" w:lineRule="auto"/>
            </w:pPr>
            <w:r>
              <w:rPr>
                <w:rFonts w:ascii="Arial" w:hAnsi="Arial" w:eastAsia="Arial"/>
                <w:color w:val="000000"/>
                <w:sz w:val="24"/>
              </w:rPr>
              <w:t>0.298</w:t>
            </w:r>
          </w:p>
        </w:tc>
        <w:tc>
          <w:tcPr>
            <w:tcW w:type="dxa" w:w="1399"/>
            <w:vAlign w:val="center"/>
          </w:tcPr>
          <w:p>
            <w:pPr>
              <w:spacing w:after="40" w:line="240" w:lineRule="auto"/>
            </w:pPr>
            <w:r>
              <w:rPr>
                <w:rFonts w:ascii="Arial" w:hAnsi="Arial" w:eastAsia="Arial"/>
                <w:color w:val="000000"/>
                <w:sz w:val="24"/>
              </w:rPr>
              <w:t>6.21</w:t>
            </w:r>
          </w:p>
        </w:tc>
        <w:tc>
          <w:tcPr>
            <w:tcW w:type="dxa" w:w="1399"/>
            <w:vAlign w:val="center"/>
          </w:tcPr>
          <w:p>
            <w:pPr>
              <w:spacing w:after="40" w:line="240" w:lineRule="auto"/>
            </w:pPr>
            <w:r>
              <w:rPr>
                <w:rFonts w:ascii="Arial" w:hAnsi="Arial" w:eastAsia="Arial"/>
                <w:color w:val="000000"/>
                <w:sz w:val="24"/>
              </w:rPr>
              <w:t>11.55</w:t>
            </w:r>
          </w:p>
        </w:tc>
        <w:tc>
          <w:tcPr>
            <w:tcW w:type="dxa" w:w="1399"/>
            <w:vAlign w:val="center"/>
          </w:tcPr>
          <w:p>
            <w:pPr>
              <w:spacing w:after="40" w:line="240" w:lineRule="auto"/>
            </w:pPr>
            <w:r>
              <w:rPr>
                <w:rFonts w:ascii="Arial" w:hAnsi="Arial" w:eastAsia="Arial"/>
                <w:color w:val="000000"/>
                <w:sz w:val="24"/>
              </w:rPr>
              <w:t>0.431</w:t>
            </w:r>
          </w:p>
        </w:tc>
        <w:tc>
          <w:tcPr>
            <w:tcW w:type="dxa" w:w="1399"/>
            <w:vAlign w:val="center"/>
          </w:tcPr>
          <w:p>
            <w:pPr>
              <w:spacing w:after="40" w:line="240" w:lineRule="auto"/>
            </w:pPr>
            <w:r>
              <w:rPr>
                <w:rFonts w:ascii="Arial" w:hAnsi="Arial" w:eastAsia="Arial"/>
                <w:color w:val="000000"/>
                <w:sz w:val="24"/>
              </w:rPr>
              <w:t>0.166</w:t>
            </w:r>
          </w:p>
        </w:tc>
      </w:tr>
    </w:tbl>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5715000"/>
            <wp:docPr id="1" name="Picture 1" descr="Fig. S1 Spatial distribution of AQS and IMPROVE monitoring sites across California used in this study. AQS observation sites are shown as black filled circles, and IMPROVE sites are shown as red filled symbols. These monitoring locations provide the in-situ PM₂.₅ and carbonaceous aerosol measurements used for model evaluation"/>
            <wp:cNvGraphicFramePr>
              <a:graphicFrameLocks noChangeAspect="1"/>
            </wp:cNvGraphicFramePr>
            <a:graphic>
              <a:graphicData uri="http://schemas.openxmlformats.org/drawingml/2006/picture">
                <pic:pic>
                  <pic:nvPicPr>
                    <pic:cNvPr id="0" name="image.png"/>
                    <pic:cNvPicPr/>
                  </pic:nvPicPr>
                  <pic:blipFill>
                    <a:blip r:embed="rId8"/>
                    <a:stretch>
                      <a:fillRect/>
                    </a:stretch>
                  </pic:blipFill>
                  <pic:spPr>
                    <a:xfrm>
                      <a:off x="0" y="0"/>
                      <a:ext cx="5715000" cy="5715000"/>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S1 Spatial distribution of AQS and IMPROVE monitoring sites across California used in this study. AQS observation sites are shown as black filled circles, and IMPROVE sites are shown as red filled symbols. These monitoring locations provide the in-situ PM₂.₅ and carbonaceous aerosol measurements used for model evaluation</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4107656"/>
            <wp:docPr id="2" name="Picture 2" descr="Fig. S2 Interannual variability in CMAQ-simulated wildfire-attributable PM₂.₅ across California for 2008–2018. Each panel shows annual mean fire-only PM₂.₅ for the corresponding year. Concentrations are reported in µg m⁻³, and the color scale is consistent across panels with a maximum value of 80 µg m⁻³"/>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715000" cy="4107656"/>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S2 Interannual variability in CMAQ-simulated wildfire-attributable PM₂.₅ across California for 2008–2018. Each panel shows annual mean fire-only PM₂.₅ for the corresponding year. Concentrations are reported in µg m⁻³, and the color scale is consistent across panels with a maximum value of 80 µg m⁻³</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4289747"/>
            <wp:docPr id="3" name="Picture 3" descr="Fig. S3 Scatter plots comparing CMAQ-simulated total PM₂.₅ and paired AQS observations during California fire seasons for 2008–2018 after primary QC. The x-axis shows AQS-observed PM₂.₅ and the y-axis shows CMAQ total PM₂.₅. The red dashed line is the 1:1 identity line. Values were not capped or winsorized"/>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715000" cy="4289747"/>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S3 Scatter plots comparing CMAQ-simulated total PM₂.₅ and paired AQS observations during California fire seasons for 2008–2018 after primary QC. The x-axis shows AQS-observed PM₂.₅ and the y-axis shows CMAQ total PM₂.₅. The red dashed line is the 1:1 identity line. Values were not capped or winsorized</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3807619"/>
            <wp:docPr id="4" name="Picture 4" descr="Fig. S4 Spatial comparison of CMAQ-simulated and observed PM₂.₅ across California during fire seasons for 2008–2018. Gridded fields show CMAQ total PM₂.₅, and overlaid circles show AQS observations. The common color scale is capped at 15 µg m⁻³ for visualization only; analysis values were not capped"/>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715000" cy="3807619"/>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S4 Spatial comparison of CMAQ-simulated and observed PM₂.₅ across California during fire seasons for 2008–2018. Gridded fields show CMAQ total PM₂.₅, and overlaid circles show AQS observations. The common color scale is capped at 15 µg m⁻³ for visualization only; analysis values were not capped</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2043112"/>
            <wp:docPr id="5" name="Picture 5" descr="Fig. S5 Spatial distribution of CMAQ-simulated PM₂.₅ during the 2008 Klamath Fire window. Panel (a) shows fire-only PM₂.₅, panel (b) the no-fire simulation, and panel (c) total PM₂.₅. The black star indicates the approximate fire origi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715000" cy="2043112"/>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S5 Spatial distribution of CMAQ-simulated PM₂.₅ during the 2008 Klamath Fire window. Panel (a) shows fire-only PM₂.₅, panel (b) the no-fire simulation, and panel (c) total PM₂.₅. The black star indicates the approximate fire origin</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2914650"/>
            <wp:docPr id="6" name="Picture 6" descr="Fig. S6 Correlation plots for the 2008 Klamath Fire window comparing CMAQ-simulated PM₂.₅ with in-situ observations. The left panel compares CMAQ total PM₂.₅ with AQS PM₂.₅; the right compares CMAQ fire-only PM₂.₅ with IMPROVE total carbon. The dashed line is the 1:1 relatio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715000" cy="2914650"/>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S6 Correlation plots for the 2008 Klamath Fire window comparing CMAQ-simulated PM₂.₅ with in-situ observations. The left panel compares CMAQ total PM₂.₅ with AQS PM₂.₅; the right compares CMAQ fire-only PM₂.₅ with IMPROVE total carbon. The dashed line is the 1:1 relation</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2043112"/>
            <wp:docPr id="7" name="Picture 7" descr="Fig. S7 Spatial distribution of CMAQ-simulated PM₂.₅ during the 2013 Rim Fire window. Panel (a) shows fire-only PM₂.₅, panel (b) the no-fire simulation, and panel (c) total PM₂.₅. The black star indicates the approximate fire origi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715000" cy="2043112"/>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S7 Spatial distribution of CMAQ-simulated PM₂.₅ during the 2013 Rim Fire window. Panel (a) shows fire-only PM₂.₅, panel (b) the no-fire simulation, and panel (c) total PM₂.₅. The black star indicates the approximate fire origin</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2914650"/>
            <wp:docPr id="8" name="Picture 8" descr="Fig. S8 Correlation plots for the 2013 Rim Fire window comparing CMAQ-simulated PM₂.₅ with in-situ observations. The left panel compares CMAQ total PM₂.₅ with AQS PM₂.₅; the right compares CMAQ fire-only PM₂.₅ with IMPROVE total carbon. The dashed line is the 1:1 relatio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715000" cy="2914650"/>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S8 Correlation plots for the 2013 Rim Fire window comparing CMAQ-simulated PM₂.₅ with in-situ observations. The left panel compares CMAQ total PM₂.₅ with AQS PM₂.₅; the right compares CMAQ fire-only PM₂.₅ with IMPROVE total carbon. The dashed line is the 1:1 relation</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2314575"/>
            <wp:docPr id="9" name="Picture 9" descr="Fig. S9 Fire-season-wide ensemble time series for 2013. The left panel shows the daily across-site mean AQS-observed PM₂.₅ (black), with variability shading, together with CMAQ total PM₂.₅ (solid red) and fire-only PM₂.₅ (dashed red). The right panel shows IMPROVE total carbon (blue), CMAQ total PM₂.₅ (solid red), and fire-only PM₂.₅ (dashed red)"/>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715000" cy="2314575"/>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S9 Fire-season-wide ensemble time series for 2013. The left panel shows the daily across-site mean AQS-observed PM₂.₅ (black), with variability shading, together with CMAQ total PM₂.₅ (solid red) and fire-only PM₂.₅ (dashed red). The right panel shows IMPROVE total carbon (blue), CMAQ total PM₂.₅ (solid red), and fire-only PM₂.₅ (dashed red)</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4042318"/>
            <wp:docPr id="10" name="Picture 10" descr="Fig. S10 Permutation importance for the leakage-resistant Random Forest, calculated on a fixed random sample of 20,000 observations from the untouched site-year test partition with 10 repeated permutations. Importance is the decrease in test-set coefficient of determination (R²); error bars denote the standard deviation across repeats. Observed PM₂.₅, total CMAQ PM₂.₅, no-fire CMAQ PM₂.₅, and observed-regime labels were excluded from the primary feature matrix"/>
            <wp:cNvGraphicFramePr>
              <a:graphicFrameLocks noChangeAspect="1"/>
            </wp:cNvGraphicFramePr>
            <a:graphic>
              <a:graphicData uri="http://schemas.openxmlformats.org/drawingml/2006/picture">
                <pic:pic>
                  <pic:nvPicPr>
                    <pic:cNvPr id="0" name="Figure_S10_permutation_importance.png"/>
                    <pic:cNvPicPr/>
                  </pic:nvPicPr>
                  <pic:blipFill>
                    <a:blip r:embed="rId26"/>
                    <a:stretch>
                      <a:fillRect/>
                    </a:stretch>
                  </pic:blipFill>
                  <pic:spPr>
                    <a:xfrm>
                      <a:off x="0" y="0"/>
                      <a:ext cx="5715000" cy="4042318"/>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S10 Permutation importance for the leakage-resistant Random Forest, calculated on a fixed random sample of 20,000 observations from the untouched site-year test partition with 10 repeated permutations. Importance is the decrease in test-set coefficient of determination (R²); error bars denote the standard deviation across repeats. Observed PM₂.₅, total CMAQ PM₂.₅, no-fire CMAQ PM₂.₅, and observed-regime labels were excluded from the primary feature matrix</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3962400"/>
            <wp:docPr id="11" name="Picture 11" descr="Fig. S11 One-dimensional accumulated local effect (ALE) of CMAQ fire-only PM₂.₅ on predicted CMAQ total PM₂.₅ error in the leakage-resistant model. ALE was estimated from 20 equal-frequency bins in a fixed 20,000-row sample of the untouched test partition and centered at zero. A symmetric logarithmic x-axis displays the strongly right-skewed fire-only distribution; the uppermost bin spans the sparse extreme tail and should be interpreted cautiously"/>
            <wp:cNvGraphicFramePr>
              <a:graphicFrameLocks noChangeAspect="1"/>
            </wp:cNvGraphicFramePr>
            <a:graphic>
              <a:graphicData uri="http://schemas.openxmlformats.org/drawingml/2006/picture">
                <pic:pic>
                  <pic:nvPicPr>
                    <pic:cNvPr id="0" name="Figure_S11_ALE_cmaq_fire_pm25.png"/>
                    <pic:cNvPicPr/>
                  </pic:nvPicPr>
                  <pic:blipFill>
                    <a:blip r:embed="rId27"/>
                    <a:stretch>
                      <a:fillRect/>
                    </a:stretch>
                  </pic:blipFill>
                  <pic:spPr>
                    <a:xfrm>
                      <a:off x="0" y="0"/>
                      <a:ext cx="5715000" cy="3962400"/>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S11 One-dimensional accumulated local effect (ALE) of CMAQ fire-only PM₂.₅ on predicted CMAQ total PM₂.₅ error in the leakage-resistant model. ALE was estimated from 20 equal-frequency bins in a fixed 20,000-row sample of the untouched test partition and centered at zero. A symmetric logarithmic x-axis displays the strongly right-skewed fire-only distribution; the uppermost bin spans the sparse extreme tail and should be interpreted cautiously</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3962400"/>
            <wp:docPr id="12" name="Picture 12" descr="Fig. S12 One-dimensional accumulated local effect (ALE) of longitude, the next most influential contextual predictor after fire-only PM₂.₅ in test-set permutation analysis. ALE was estimated from 20 equal-frequency bins in a fixed 20,000-row sample of the untouched test partition and centered at zero. This diagnostic describes model behavior and should not be interpreted causally"/>
            <wp:cNvGraphicFramePr>
              <a:graphicFrameLocks noChangeAspect="1"/>
            </wp:cNvGraphicFramePr>
            <a:graphic>
              <a:graphicData uri="http://schemas.openxmlformats.org/drawingml/2006/picture">
                <pic:pic>
                  <pic:nvPicPr>
                    <pic:cNvPr id="0" name="Figure_S12_ALE_longitude.png"/>
                    <pic:cNvPicPr/>
                  </pic:nvPicPr>
                  <pic:blipFill>
                    <a:blip r:embed="rId28"/>
                    <a:stretch>
                      <a:fillRect/>
                    </a:stretch>
                  </pic:blipFill>
                  <pic:spPr>
                    <a:xfrm>
                      <a:off x="0" y="0"/>
                      <a:ext cx="5715000" cy="3962400"/>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S12 One-dimensional accumulated local effect (ALE) of longitude, the next most influential contextual predictor after fire-only PM₂.₅ in test-set permutation analysis. ALE was estimated from 20 equal-frequency bins in a fixed 20,000-row sample of the untouched test partition and centered at zero. This diagnostic describes model behavior and should not be interpreted causally</w:t>
      </w:r>
    </w:p>
    <w:p>
      <w:pPr>
        <w:keepNext/>
        <w:pageBreakBefore/>
        <w:spacing w:after="100"/>
        <w:jc w:val="center"/>
      </w:pPr>
      <w:r>
        <w:rPr>
          <w:rFonts w:ascii="Arial" w:hAnsi="Arial" w:eastAsia="Arial"/>
          <w:color w:val="000000"/>
          <w:sz w:val="24"/>
        </w:rPr>
        <w:drawing>
          <wp:inline xmlns:a="http://schemas.openxmlformats.org/drawingml/2006/main" xmlns:pic="http://schemas.openxmlformats.org/drawingml/2006/picture">
            <wp:extent cx="5715000" cy="3911391"/>
            <wp:docPr id="13" name="Picture 13" descr="Fig. S13 Distribution of CMAQ total PM₂.₅ error (CMAQ minus observed) by observed concentration regime after application of the primary QC rule. Boxes show the interquartile range and median, whiskers extend to 1.5 times the interquartile range, and diamonds show means. Observed-regime labels were used only for descriptive evaluation, not model training"/>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715000" cy="3911391"/>
                    </a:xfrm>
                    <a:prstGeom prst="rect"/>
                  </pic:spPr>
                </pic:pic>
              </a:graphicData>
            </a:graphic>
          </wp:inline>
        </w:drawing>
      </w:r>
    </w:p>
    <w:p>
      <w:pPr>
        <w:pStyle w:val="Caption"/>
        <w:keepNext/>
        <w:spacing w:after="120" w:line="276" w:lineRule="auto"/>
        <w:ind w:left="0" w:right="0" w:firstLine="0"/>
        <w:jc w:val="left"/>
      </w:pPr>
      <w:r>
        <w:rPr>
          <w:rFonts w:ascii="Arial" w:hAnsi="Arial" w:eastAsia="Arial"/>
          <w:color w:val="000000"/>
          <w:sz w:val="24"/>
        </w:rPr>
        <w:t>Fig. S13 Distribution of CMAQ total PM₂.₅ error (CMAQ minus observed) by observed concentration regime after application of the primary QC rule. Boxes show the interquartile range and median, whiskers extend to 1.5 times the interquartile range, and diamonds show means. Observed-regime labels were used only for descriptive evaluation, not model training</w:t>
      </w:r>
    </w:p>
    <w:sectPr w:rsidR="001D743F" w:rsidRPr="00ED362F">
      <w:footerReference w:type="default" r:id="rId21"/>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C2FED" w14:textId="77777777" w:rsidR="00011C42" w:rsidRDefault="00011C42" w:rsidP="00A43A28">
      <w:pPr>
        <w:spacing w:after="0" w:line="240" w:lineRule="auto"/>
      </w:pPr>
      <w:r>
        <w:separator/>
      </w:r>
    </w:p>
  </w:endnote>
  <w:endnote w:type="continuationSeparator" w:id="0">
    <w:p w14:paraId="5E52E8C4" w14:textId="77777777" w:rsidR="00011C42" w:rsidRDefault="00011C42" w:rsidP="00A4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
      <w:rPr>
        <w:rFonts w:ascii="Arial" w:hAnsi="Arial" w:eastAsia="Arial"/>
        <w:color w:val="000000"/>
        <w:sz w:val="20"/>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2DCEF" w14:textId="77777777" w:rsidR="00011C42" w:rsidRDefault="00011C42" w:rsidP="00A43A28">
      <w:pPr>
        <w:spacing w:after="0" w:line="240" w:lineRule="auto"/>
      </w:pPr>
      <w:r>
        <w:separator/>
      </w:r>
    </w:p>
  </w:footnote>
  <w:footnote w:type="continuationSeparator" w:id="0">
    <w:p w14:paraId="5C3FBBEC" w14:textId="77777777" w:rsidR="00011C42" w:rsidRDefault="00011C42" w:rsidP="00A43A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9D4"/>
    <w:rsid w:val="00011C42"/>
    <w:rsid w:val="000157A4"/>
    <w:rsid w:val="00025FDF"/>
    <w:rsid w:val="00082778"/>
    <w:rsid w:val="000858DA"/>
    <w:rsid w:val="00127DFF"/>
    <w:rsid w:val="00183CC4"/>
    <w:rsid w:val="001D743F"/>
    <w:rsid w:val="00231D9D"/>
    <w:rsid w:val="00276DAC"/>
    <w:rsid w:val="002C3708"/>
    <w:rsid w:val="003008EA"/>
    <w:rsid w:val="00300A7D"/>
    <w:rsid w:val="00331974"/>
    <w:rsid w:val="00344125"/>
    <w:rsid w:val="003C7BE7"/>
    <w:rsid w:val="003E6ABC"/>
    <w:rsid w:val="003F065D"/>
    <w:rsid w:val="00427ED4"/>
    <w:rsid w:val="004659D4"/>
    <w:rsid w:val="004849A6"/>
    <w:rsid w:val="00491A8F"/>
    <w:rsid w:val="004A534F"/>
    <w:rsid w:val="005128C8"/>
    <w:rsid w:val="0056179C"/>
    <w:rsid w:val="005927FA"/>
    <w:rsid w:val="00596E77"/>
    <w:rsid w:val="006629B5"/>
    <w:rsid w:val="006933D3"/>
    <w:rsid w:val="006B677C"/>
    <w:rsid w:val="006C0CC4"/>
    <w:rsid w:val="006D0C20"/>
    <w:rsid w:val="007371F3"/>
    <w:rsid w:val="00746AB3"/>
    <w:rsid w:val="007E3453"/>
    <w:rsid w:val="00803618"/>
    <w:rsid w:val="00871948"/>
    <w:rsid w:val="009000B1"/>
    <w:rsid w:val="009464A4"/>
    <w:rsid w:val="009C519B"/>
    <w:rsid w:val="00A43A28"/>
    <w:rsid w:val="00AC6FC4"/>
    <w:rsid w:val="00AE18C3"/>
    <w:rsid w:val="00AE4B32"/>
    <w:rsid w:val="00AF59A9"/>
    <w:rsid w:val="00B17D23"/>
    <w:rsid w:val="00B60487"/>
    <w:rsid w:val="00C03ABE"/>
    <w:rsid w:val="00C71F86"/>
    <w:rsid w:val="00D83CF4"/>
    <w:rsid w:val="00DD7850"/>
    <w:rsid w:val="00ED362F"/>
    <w:rsid w:val="00EF45E8"/>
    <w:rsid w:val="00F104D2"/>
    <w:rsid w:val="00F62899"/>
    <w:rsid w:val="00F67864"/>
    <w:rsid w:val="00FB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5C662"/>
  <w15:chartTrackingRefBased/>
  <w15:docId w15:val="{5FD5B92C-BA17-49EF-A5EE-8D3F14BC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9D4"/>
    <w:pPr>
      <w:spacing w:after="120" w:line="276" w:lineRule="auto"/>
    </w:pPr>
    <w:rPr>
      <w:rFonts w:ascii="Arial" w:hAnsi="Arial" w:eastAsia="Arial"/>
      <w:sz w:val="24"/>
    </w:rPr>
  </w:style>
  <w:style w:type="paragraph" w:styleId="Heading1">
    <w:name w:val="heading 1"/>
    <w:basedOn w:val="Normal"/>
    <w:next w:val="Normal"/>
    <w:link w:val="Heading1Char"/>
    <w:uiPriority w:val="9"/>
    <w:qFormat/>
    <w:rsid w:val="004659D4"/>
    <w:pPr>
      <w:keepNext/>
      <w:keepLines/>
      <w:spacing w:before="200" w:after="80"/>
      <w:outlineLvl w:val="0"/>
    </w:pPr>
    <w:rPr>
      <w:rFonts w:asciiTheme="majorHAnsi" w:eastAsiaTheme="majorEastAsia" w:hAnsiTheme="majorHAnsi" w:cstheme="majorBidi" w:ascii="Arial" w:hAnsi="Arial" w:eastAsia="Arial"/>
      <w:b/>
      <w:color w:val="000000"/>
      <w:sz w:val="28"/>
      <w:szCs w:val="40"/>
    </w:rPr>
  </w:style>
  <w:style w:type="paragraph" w:styleId="Heading2">
    <w:name w:val="heading 2"/>
    <w:basedOn w:val="Normal"/>
    <w:next w:val="Normal"/>
    <w:link w:val="Heading2Char"/>
    <w:uiPriority w:val="9"/>
    <w:unhideWhenUsed/>
    <w:qFormat/>
    <w:rsid w:val="004659D4"/>
    <w:pPr>
      <w:keepNext/>
      <w:keepLines/>
      <w:spacing w:before="200" w:after="80"/>
      <w:outlineLvl w:val="1"/>
    </w:pPr>
    <w:rPr>
      <w:rFonts w:asciiTheme="majorHAnsi" w:eastAsiaTheme="majorEastAsia" w:hAnsiTheme="majorHAnsi" w:cstheme="majorBidi" w:ascii="Arial" w:hAnsi="Arial" w:eastAsia="Arial"/>
      <w:b/>
      <w:color w:val="000000"/>
      <w:sz w:val="24"/>
      <w:szCs w:val="32"/>
    </w:rPr>
  </w:style>
  <w:style w:type="paragraph" w:styleId="Heading3">
    <w:name w:val="heading 3"/>
    <w:basedOn w:val="Normal"/>
    <w:next w:val="Normal"/>
    <w:link w:val="Heading3Char"/>
    <w:uiPriority w:val="9"/>
    <w:semiHidden/>
    <w:unhideWhenUsed/>
    <w:qFormat/>
    <w:rsid w:val="00465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5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9D4"/>
    <w:rPr>
      <w:rFonts w:eastAsiaTheme="majorEastAsia" w:cstheme="majorBidi"/>
      <w:color w:val="272727" w:themeColor="text1" w:themeTint="D8"/>
    </w:rPr>
  </w:style>
  <w:style w:type="paragraph" w:styleId="Title">
    <w:name w:val="Title"/>
    <w:basedOn w:val="Normal"/>
    <w:next w:val="Normal"/>
    <w:link w:val="TitleChar"/>
    <w:uiPriority w:val="10"/>
    <w:qFormat/>
    <w:rsid w:val="004659D4"/>
    <w:pPr>
      <w:keepNext/>
      <w:spacing w:after="80" w:line="240" w:lineRule="auto" w:before="200"/>
      <w:contextualSpacing/>
    </w:pPr>
    <w:rPr>
      <w:rFonts w:asciiTheme="majorHAnsi" w:eastAsiaTheme="majorEastAsia" w:hAnsiTheme="majorHAnsi" w:cstheme="majorBidi" w:ascii="Arial" w:hAnsi="Arial" w:eastAsia="Arial"/>
      <w:b/>
      <w:color w:val="000000"/>
      <w:spacing w:val="-10"/>
      <w:kern w:val="28"/>
      <w:sz w:val="32"/>
      <w:szCs w:val="56"/>
    </w:rPr>
  </w:style>
  <w:style w:type="character" w:customStyle="1" w:styleId="TitleChar">
    <w:name w:val="Title Char"/>
    <w:basedOn w:val="DefaultParagraphFont"/>
    <w:link w:val="Title"/>
    <w:uiPriority w:val="10"/>
    <w:rsid w:val="00465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9D4"/>
    <w:pPr>
      <w:spacing w:before="160"/>
      <w:jc w:val="center"/>
    </w:pPr>
    <w:rPr>
      <w:i/>
      <w:iCs/>
      <w:color w:val="404040" w:themeColor="text1" w:themeTint="BF"/>
    </w:rPr>
  </w:style>
  <w:style w:type="character" w:customStyle="1" w:styleId="QuoteChar">
    <w:name w:val="Quote Char"/>
    <w:basedOn w:val="DefaultParagraphFont"/>
    <w:link w:val="Quote"/>
    <w:uiPriority w:val="29"/>
    <w:rsid w:val="004659D4"/>
    <w:rPr>
      <w:i/>
      <w:iCs/>
      <w:color w:val="404040" w:themeColor="text1" w:themeTint="BF"/>
    </w:rPr>
  </w:style>
  <w:style w:type="paragraph" w:styleId="ListParagraph">
    <w:name w:val="List Paragraph"/>
    <w:basedOn w:val="Normal"/>
    <w:uiPriority w:val="34"/>
    <w:qFormat/>
    <w:rsid w:val="004659D4"/>
    <w:pPr>
      <w:ind w:left="720"/>
      <w:contextualSpacing/>
    </w:pPr>
  </w:style>
  <w:style w:type="character" w:styleId="IntenseEmphasis">
    <w:name w:val="Intense Emphasis"/>
    <w:basedOn w:val="DefaultParagraphFont"/>
    <w:uiPriority w:val="21"/>
    <w:qFormat/>
    <w:rsid w:val="004659D4"/>
    <w:rPr>
      <w:i/>
      <w:iCs/>
      <w:color w:val="0F4761" w:themeColor="accent1" w:themeShade="BF"/>
    </w:rPr>
  </w:style>
  <w:style w:type="paragraph" w:styleId="IntenseQuote">
    <w:name w:val="Intense Quote"/>
    <w:basedOn w:val="Normal"/>
    <w:next w:val="Normal"/>
    <w:link w:val="IntenseQuoteChar"/>
    <w:uiPriority w:val="30"/>
    <w:qFormat/>
    <w:rsid w:val="00465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9D4"/>
    <w:rPr>
      <w:i/>
      <w:iCs/>
      <w:color w:val="0F4761" w:themeColor="accent1" w:themeShade="BF"/>
    </w:rPr>
  </w:style>
  <w:style w:type="character" w:styleId="IntenseReference">
    <w:name w:val="Intense Reference"/>
    <w:basedOn w:val="DefaultParagraphFont"/>
    <w:uiPriority w:val="32"/>
    <w:qFormat/>
    <w:rsid w:val="004659D4"/>
    <w:rPr>
      <w:b/>
      <w:bCs/>
      <w:smallCaps/>
      <w:color w:val="0F4761" w:themeColor="accent1" w:themeShade="BF"/>
      <w:spacing w:val="5"/>
    </w:rPr>
  </w:style>
  <w:style w:type="paragraph" w:styleId="Header">
    <w:name w:val="header"/>
    <w:basedOn w:val="Normal"/>
    <w:link w:val="HeaderChar"/>
    <w:uiPriority w:val="99"/>
    <w:unhideWhenUsed/>
    <w:rsid w:val="00A43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A28"/>
  </w:style>
  <w:style w:type="paragraph" w:styleId="Footer">
    <w:name w:val="footer"/>
    <w:basedOn w:val="Normal"/>
    <w:link w:val="FooterChar"/>
    <w:uiPriority w:val="99"/>
    <w:unhideWhenUsed/>
    <w:rsid w:val="00A43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A28"/>
  </w:style>
  <w:style w:type="character" w:styleId="Hyperlink">
    <w:name w:val="Hyperlink"/>
    <w:basedOn w:val="DefaultParagraphFont"/>
    <w:uiPriority w:val="99"/>
    <w:unhideWhenUsed/>
    <w:rsid w:val="002C3708"/>
    <w:rPr>
      <w:color w:val="0000FF"/>
      <w:u w:val="single"/>
    </w:rPr>
  </w:style>
  <w:style w:type="paragraph" w:customStyle="1" w:styleId="Caption">
    <w:name w:val="caption"/>
    <w:rPr>
      <w:rFonts w:ascii="Arial" w:hAnsi="Arial"/>
      <w:i w:val="0"/>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hyperlink" Target="https://www.google.com/url?q=https://www.sciencedirect.com/journal/atmospheric-environment/publish/guide-for-authors&amp;sa=D&amp;source=editors&amp;ust=1776465441467861&amp;usg=AOvVaw2Gt7rYEbzd8wp68ZzUKfQv"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1913</Words>
  <Characters>10906</Characters>
  <Application>Microsoft Office Word</Application>
  <DocSecurity>4</DocSecurity>
  <Lines>90</Lines>
  <Paragraphs>25</Paragraphs>
  <ScaleCrop>false</ScaleCrop>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Evaluating CMAQ Representation of Wildfire PM₂.₅ in California (2008–2018): Regime-Dependent Performance and Nonlinear Error Structure</dc:title>
  <dc:subject>Refined final supplement synchronized with manuscript and frozen run</dc:subject>
  <dc:creator>Bonilla et al.</dc:creator>
  <cp:keywords/>
  <dc:description>Rebuilt from Supplementary Material_v10 and synchronized to the frozen primary-QC and leakage-resistant outputs.</dc:description>
  <cp:lastModifiedBy>Bonilla et al.</cp:lastModifiedBy>
  <cp:revision>2</cp:revision>
  <dcterms:created xsi:type="dcterms:W3CDTF">2026-05-16T04:04:00Z</dcterms:created>
  <dcterms:modified xsi:type="dcterms:W3CDTF">2026-05-16T04:04:00Z</dcterms:modified>
</cp:coreProperties>
</file>