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6C9C2D" w14:textId="76CD2CA3" w:rsidR="00DD3919" w:rsidRDefault="00DD3919" w:rsidP="0080787B">
      <w:pPr>
        <w:spacing w:after="0" w:line="240" w:lineRule="auto"/>
        <w:rPr>
          <w:rFonts w:ascii="Arial" w:eastAsia="Times New Roman" w:hAnsi="Arial" w:cs="Arial"/>
          <w:b/>
          <w:bCs/>
          <w:color w:val="000000"/>
          <w:kern w:val="36"/>
          <w:lang w:val="en-GB"/>
          <w14:ligatures w14:val="none"/>
        </w:rPr>
      </w:pPr>
      <w:r w:rsidRPr="0080787B">
        <w:rPr>
          <w:rFonts w:ascii="Arial" w:eastAsia="Times New Roman" w:hAnsi="Arial" w:cs="Arial"/>
          <w:b/>
          <w:bCs/>
          <w:color w:val="000000"/>
          <w:kern w:val="36"/>
          <w:lang w:val="en-GB"/>
          <w14:ligatures w14:val="none"/>
        </w:rPr>
        <w:t>Additional File 5</w:t>
      </w:r>
      <w:r w:rsidR="0080787B">
        <w:rPr>
          <w:rFonts w:ascii="Arial" w:eastAsia="Times New Roman" w:hAnsi="Arial" w:cs="Arial"/>
          <w:b/>
          <w:bCs/>
          <w:color w:val="000000"/>
          <w:kern w:val="36"/>
          <w:lang w:val="en-GB"/>
          <w14:ligatures w14:val="none"/>
        </w:rPr>
        <w:t xml:space="preserve"> - </w:t>
      </w:r>
      <w:r w:rsidRPr="0080787B">
        <w:rPr>
          <w:rFonts w:ascii="Arial" w:eastAsia="Times New Roman" w:hAnsi="Arial" w:cs="Arial"/>
          <w:b/>
          <w:bCs/>
          <w:color w:val="000000"/>
          <w:kern w:val="36"/>
          <w:lang w:val="en-GB"/>
          <w14:ligatures w14:val="none"/>
        </w:rPr>
        <w:t>LAST knowledge questionnaire</w:t>
      </w:r>
    </w:p>
    <w:p w14:paraId="41EC7614" w14:textId="77777777" w:rsidR="0080787B" w:rsidRPr="0080787B" w:rsidRDefault="0080787B" w:rsidP="0080787B">
      <w:pPr>
        <w:spacing w:after="0" w:line="240" w:lineRule="auto"/>
        <w:rPr>
          <w:rFonts w:ascii="Arial" w:eastAsia="Times New Roman" w:hAnsi="Arial" w:cs="Arial"/>
          <w:kern w:val="0"/>
          <w:lang w:eastAsia="pt-PT"/>
          <w14:ligatures w14:val="none"/>
        </w:rPr>
      </w:pPr>
    </w:p>
    <w:p w14:paraId="3C49166C" w14:textId="77777777" w:rsidR="00DD3919" w:rsidRPr="0080787B" w:rsidRDefault="00DD3919" w:rsidP="00340431">
      <w:pPr>
        <w:spacing w:after="0" w:line="240" w:lineRule="auto"/>
        <w:jc w:val="center"/>
        <w:rPr>
          <w:rFonts w:ascii="Arial" w:eastAsia="Times New Roman" w:hAnsi="Arial" w:cs="Arial"/>
          <w:kern w:val="0"/>
          <w:lang w:eastAsia="pt-PT"/>
          <w14:ligatures w14:val="none"/>
        </w:rPr>
      </w:pPr>
      <w:r w:rsidRPr="0080787B">
        <w:rPr>
          <w:rFonts w:ascii="Arial" w:eastAsia="Times New Roman" w:hAnsi="Arial" w:cs="Arial"/>
          <w:b/>
          <w:bCs/>
          <w:color w:val="000000"/>
          <w:kern w:val="36"/>
          <w:lang w:val="en-GB"/>
          <w14:ligatures w14:val="none"/>
        </w:rPr>
        <w:t>Knowledge questionnaire: LAST protocol</w:t>
      </w:r>
    </w:p>
    <w:p w14:paraId="3BCEAFCF" w14:textId="73E6A80C" w:rsidR="0047578E" w:rsidRPr="0080787B" w:rsidRDefault="00DD3919" w:rsidP="0039771A">
      <w:pPr>
        <w:spacing w:after="0" w:line="240" w:lineRule="auto"/>
        <w:jc w:val="center"/>
        <w:outlineLvl w:val="2"/>
        <w:rPr>
          <w:rFonts w:ascii="Arial" w:eastAsia="Times New Roman" w:hAnsi="Arial" w:cs="Arial"/>
          <w:b/>
          <w:bCs/>
          <w:color w:val="000000"/>
          <w:kern w:val="0"/>
          <w:lang w:eastAsia="pt-PT"/>
          <w14:ligatures w14:val="none"/>
        </w:rPr>
      </w:pPr>
      <w:r w:rsidRPr="0080787B">
        <w:rPr>
          <w:rFonts w:ascii="Arial" w:eastAsia="Times New Roman" w:hAnsi="Arial" w:cs="Arial"/>
          <w:b/>
          <w:bCs/>
          <w:color w:val="000000"/>
          <w:kern w:val="0"/>
          <w:lang w:val="en-GB"/>
          <w14:ligatures w14:val="none"/>
        </w:rPr>
        <w:t>(Administered before and after the simulation)</w:t>
      </w:r>
    </w:p>
    <w:p w14:paraId="7F2D6871" w14:textId="77777777" w:rsidR="0047578E" w:rsidRPr="0080787B" w:rsidRDefault="0047578E" w:rsidP="00340431">
      <w:pPr>
        <w:spacing w:after="0" w:line="240" w:lineRule="auto"/>
        <w:jc w:val="both"/>
        <w:rPr>
          <w:rFonts w:ascii="Arial" w:eastAsia="Times New Roman" w:hAnsi="Arial" w:cs="Arial"/>
          <w:kern w:val="0"/>
          <w:lang w:eastAsia="pt-PT"/>
          <w14:ligatures w14:val="none"/>
        </w:rPr>
      </w:pPr>
    </w:p>
    <w:p w14:paraId="18A19B36" w14:textId="3E788624" w:rsidR="005A6F0E" w:rsidRPr="0080787B" w:rsidRDefault="005A6F0E" w:rsidP="00340431">
      <w:pPr>
        <w:spacing w:after="0" w:line="240" w:lineRule="auto"/>
        <w:jc w:val="both"/>
        <w:rPr>
          <w:rFonts w:ascii="Arial" w:eastAsia="Times New Roman" w:hAnsi="Arial" w:cs="Arial"/>
          <w:kern w:val="0"/>
          <w:lang w:eastAsia="pt-PT"/>
          <w14:ligatures w14:val="none"/>
        </w:rPr>
      </w:pPr>
      <w:r w:rsidRPr="0080787B">
        <w:rPr>
          <w:rFonts w:ascii="Arial" w:eastAsia="Times New Roman" w:hAnsi="Arial" w:cs="Arial"/>
          <w:kern w:val="0"/>
          <w:lang w:val="en-GB"/>
          <w14:ligatures w14:val="none"/>
        </w:rPr>
        <w:t xml:space="preserve">This questionnaire has an educational purpose. It assesses the actual gain in knowledge of the </w:t>
      </w:r>
      <w:r w:rsidRPr="0080787B">
        <w:rPr>
          <w:rFonts w:ascii="Arial" w:eastAsia="Times New Roman" w:hAnsi="Arial" w:cs="Arial"/>
          <w:b/>
          <w:bCs/>
          <w:kern w:val="0"/>
          <w:lang w:val="en-GB"/>
          <w14:ligatures w14:val="none"/>
        </w:rPr>
        <w:t>local anaesthetic systemic toxicity (LAST)</w:t>
      </w:r>
      <w:r w:rsidRPr="0080787B">
        <w:rPr>
          <w:rFonts w:ascii="Arial" w:eastAsia="Times New Roman" w:hAnsi="Arial" w:cs="Arial"/>
          <w:kern w:val="0"/>
          <w:lang w:val="en-GB"/>
          <w14:ligatures w14:val="none"/>
        </w:rPr>
        <w:t xml:space="preserve"> protocol that is common to all professions, obtained through simulation training, and whether all the professionals taking part in the LAST simulation (anaesthetists, nurses and healthcare assistants) acquire its core concepts.</w:t>
      </w:r>
    </w:p>
    <w:p w14:paraId="736078DC" w14:textId="77777777" w:rsidR="002A2CED" w:rsidRPr="0080787B" w:rsidRDefault="002A2CED" w:rsidP="00340431">
      <w:pPr>
        <w:spacing w:after="0" w:line="240" w:lineRule="auto"/>
        <w:jc w:val="both"/>
        <w:rPr>
          <w:rFonts w:ascii="Arial" w:eastAsia="Times New Roman" w:hAnsi="Arial" w:cs="Arial"/>
          <w:kern w:val="0"/>
          <w:lang w:eastAsia="pt-PT"/>
          <w14:ligatures w14:val="none"/>
        </w:rPr>
      </w:pPr>
    </w:p>
    <w:p w14:paraId="22BF596F" w14:textId="602DA3F7" w:rsidR="0047578E" w:rsidRPr="0080787B" w:rsidRDefault="0047578E" w:rsidP="00340431">
      <w:pPr>
        <w:spacing w:after="0" w:line="240" w:lineRule="auto"/>
        <w:jc w:val="both"/>
        <w:rPr>
          <w:rFonts w:ascii="Arial" w:eastAsia="Times New Roman" w:hAnsi="Arial" w:cs="Arial"/>
          <w:kern w:val="0"/>
          <w:lang w:eastAsia="pt-PT"/>
          <w14:ligatures w14:val="none"/>
        </w:rPr>
      </w:pPr>
      <w:r w:rsidRPr="0080787B">
        <w:rPr>
          <w:rFonts w:ascii="Arial" w:eastAsia="Times New Roman" w:hAnsi="Arial" w:cs="Arial"/>
          <w:kern w:val="0"/>
          <w:lang w:val="en-GB"/>
          <w14:ligatures w14:val="none"/>
        </w:rPr>
        <w:t xml:space="preserve">For each question, </w:t>
      </w:r>
      <w:r w:rsidRPr="0080787B">
        <w:rPr>
          <w:rFonts w:ascii="Arial" w:eastAsia="Times New Roman" w:hAnsi="Arial" w:cs="Arial"/>
          <w:b/>
          <w:bCs/>
          <w:kern w:val="0"/>
          <w:lang w:val="en-GB"/>
          <w14:ligatures w14:val="none"/>
        </w:rPr>
        <w:t>choose the one correct option</w:t>
      </w:r>
      <w:r w:rsidRPr="0080787B">
        <w:rPr>
          <w:rFonts w:ascii="Arial" w:eastAsia="Times New Roman" w:hAnsi="Arial" w:cs="Arial"/>
          <w:kern w:val="0"/>
          <w:lang w:val="en-GB"/>
          <w14:ligatures w14:val="none"/>
        </w:rPr>
        <w:t>.</w:t>
      </w:r>
    </w:p>
    <w:p w14:paraId="7347160F" w14:textId="77777777" w:rsidR="005A6F0E" w:rsidRPr="0080787B" w:rsidRDefault="005A6F0E" w:rsidP="00340431">
      <w:pPr>
        <w:spacing w:after="0" w:line="240" w:lineRule="auto"/>
        <w:jc w:val="both"/>
        <w:rPr>
          <w:rFonts w:ascii="Arial" w:eastAsia="Times New Roman" w:hAnsi="Arial" w:cs="Arial"/>
          <w:kern w:val="0"/>
          <w:lang w:eastAsia="pt-PT"/>
          <w14:ligatures w14:val="none"/>
        </w:rPr>
      </w:pPr>
    </w:p>
    <w:p w14:paraId="4B4043B8"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Local anaesthetic systemic toxicity (LAST) is best defined as:</w:t>
      </w:r>
      <w:r w:rsidRPr="0080787B">
        <w:rPr>
          <w:rFonts w:ascii="Arial" w:eastAsia="Times New Roman" w:hAnsi="Arial" w:cs="Arial"/>
          <w:color w:val="000000"/>
          <w:kern w:val="0"/>
          <w:lang w:val="en-GB"/>
          <w14:ligatures w14:val="none"/>
        </w:rPr>
        <w:br/>
        <w:t>A. An IgE-mediated immune reaction</w:t>
      </w:r>
      <w:r w:rsidRPr="0080787B">
        <w:rPr>
          <w:rFonts w:ascii="Arial" w:eastAsia="Times New Roman" w:hAnsi="Arial" w:cs="Arial"/>
          <w:b/>
          <w:bCs/>
          <w:color w:val="000000"/>
          <w:kern w:val="0"/>
          <w:lang w:val="en-GB"/>
          <w14:ligatures w14:val="none"/>
        </w:rPr>
        <w:br/>
        <w:t>B. A clinical syndrome caused by high plasma concentrations of local anaesthetic, with neurological and/or cardiovascular involvement</w:t>
      </w:r>
      <w:r w:rsidRPr="0080787B">
        <w:rPr>
          <w:rFonts w:ascii="Arial" w:eastAsia="Times New Roman" w:hAnsi="Arial" w:cs="Arial"/>
          <w:color w:val="000000"/>
          <w:kern w:val="0"/>
          <w:lang w:val="en-GB"/>
          <w14:ligatures w14:val="none"/>
        </w:rPr>
        <w:br/>
        <w:t>C. A complication associated only with neuraxial blocks</w:t>
      </w:r>
      <w:r w:rsidRPr="0080787B">
        <w:rPr>
          <w:rFonts w:ascii="Arial" w:eastAsia="Times New Roman" w:hAnsi="Arial" w:cs="Arial"/>
          <w:color w:val="000000"/>
          <w:kern w:val="0"/>
          <w:lang w:val="en-GB"/>
          <w14:ligatures w14:val="none"/>
        </w:rPr>
        <w:br/>
        <w:t>D. A predictable adverse event whenever the maximum dose is used</w:t>
      </w:r>
      <w:r w:rsidRPr="0080787B">
        <w:rPr>
          <w:rFonts w:ascii="Arial" w:eastAsia="Times New Roman" w:hAnsi="Arial" w:cs="Arial"/>
          <w:color w:val="000000"/>
          <w:kern w:val="0"/>
          <w:lang w:val="en-GB"/>
          <w14:ligatures w14:val="none"/>
        </w:rPr>
        <w:br/>
        <w:t>E. Toxicity that is purely cardiovascular</w:t>
      </w:r>
    </w:p>
    <w:p w14:paraId="2F8CD66E"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7B72C028"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In most cases of progressive systemic absorption, the first clinical features result from:</w:t>
      </w:r>
      <w:r w:rsidRPr="0080787B">
        <w:rPr>
          <w:rFonts w:ascii="Arial" w:eastAsia="Times New Roman" w:hAnsi="Arial" w:cs="Arial"/>
          <w:color w:val="000000"/>
          <w:kern w:val="0"/>
          <w:lang w:val="en-GB"/>
          <w14:ligatures w14:val="none"/>
        </w:rPr>
        <w:br/>
        <w:t>A. Direct myocardial depression</w:t>
      </w:r>
      <w:r w:rsidRPr="0080787B">
        <w:rPr>
          <w:rFonts w:ascii="Arial" w:eastAsia="Times New Roman" w:hAnsi="Arial" w:cs="Arial"/>
          <w:b/>
          <w:bCs/>
          <w:color w:val="000000"/>
          <w:kern w:val="0"/>
          <w:lang w:val="en-GB"/>
          <w14:ligatures w14:val="none"/>
        </w:rPr>
        <w:br/>
        <w:t>B. Initial excitation of the central nervous system through blockade of inhibitory pathways</w:t>
      </w:r>
      <w:r w:rsidRPr="0080787B">
        <w:rPr>
          <w:rFonts w:ascii="Arial" w:eastAsia="Times New Roman" w:hAnsi="Arial" w:cs="Arial"/>
          <w:color w:val="000000"/>
          <w:kern w:val="0"/>
          <w:lang w:val="en-GB"/>
          <w14:ligatures w14:val="none"/>
        </w:rPr>
        <w:br/>
        <w:t>C. Isolated peripheral vasodilatation</w:t>
      </w:r>
      <w:r w:rsidRPr="0080787B">
        <w:rPr>
          <w:rFonts w:ascii="Arial" w:eastAsia="Times New Roman" w:hAnsi="Arial" w:cs="Arial"/>
          <w:color w:val="000000"/>
          <w:kern w:val="0"/>
          <w:lang w:val="en-GB"/>
          <w14:ligatures w14:val="none"/>
        </w:rPr>
        <w:br/>
        <w:t>D. Acute kidney injury</w:t>
      </w:r>
      <w:r w:rsidRPr="0080787B">
        <w:rPr>
          <w:rFonts w:ascii="Arial" w:eastAsia="Times New Roman" w:hAnsi="Arial" w:cs="Arial"/>
          <w:color w:val="000000"/>
          <w:kern w:val="0"/>
          <w:lang w:val="en-GB"/>
          <w14:ligatures w14:val="none"/>
        </w:rPr>
        <w:br/>
        <w:t>E. Sudden cardiovascular collapse</w:t>
      </w:r>
    </w:p>
    <w:p w14:paraId="24B7DDDC"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7C42C852"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Which of the following signs is most consistent with the early phase of LAST?</w:t>
      </w:r>
      <w:r w:rsidRPr="0080787B">
        <w:rPr>
          <w:rFonts w:ascii="Arial" w:eastAsia="Times New Roman" w:hAnsi="Arial" w:cs="Arial"/>
          <w:color w:val="000000"/>
          <w:kern w:val="0"/>
          <w:lang w:val="en-GB"/>
          <w14:ligatures w14:val="none"/>
        </w:rPr>
        <w:br/>
        <w:t>A. Asystole</w:t>
      </w:r>
      <w:r w:rsidRPr="0080787B">
        <w:rPr>
          <w:rFonts w:ascii="Arial" w:eastAsia="Times New Roman" w:hAnsi="Arial" w:cs="Arial"/>
          <w:color w:val="000000"/>
          <w:kern w:val="0"/>
          <w:lang w:val="en-GB"/>
          <w14:ligatures w14:val="none"/>
        </w:rPr>
        <w:br/>
        <w:t>B. Tonic-clonic seizure</w:t>
      </w:r>
      <w:r w:rsidRPr="0080787B">
        <w:rPr>
          <w:rFonts w:ascii="Arial" w:eastAsia="Times New Roman" w:hAnsi="Arial" w:cs="Arial"/>
          <w:b/>
          <w:bCs/>
          <w:color w:val="000000"/>
          <w:kern w:val="0"/>
          <w:lang w:val="en-GB"/>
          <w14:ligatures w14:val="none"/>
        </w:rPr>
        <w:br/>
        <w:t>C. Perioral paraesthesia with tinnitus</w:t>
      </w:r>
      <w:r w:rsidRPr="0080787B">
        <w:rPr>
          <w:rFonts w:ascii="Arial" w:eastAsia="Times New Roman" w:hAnsi="Arial" w:cs="Arial"/>
          <w:color w:val="000000"/>
          <w:kern w:val="0"/>
          <w:lang w:val="en-GB"/>
          <w14:ligatures w14:val="none"/>
        </w:rPr>
        <w:br/>
        <w:t>D. Complete atrioventricular block</w:t>
      </w:r>
      <w:r w:rsidRPr="0080787B">
        <w:rPr>
          <w:rFonts w:ascii="Arial" w:eastAsia="Times New Roman" w:hAnsi="Arial" w:cs="Arial"/>
          <w:color w:val="000000"/>
          <w:kern w:val="0"/>
          <w:lang w:val="en-GB"/>
          <w14:ligatures w14:val="none"/>
        </w:rPr>
        <w:br/>
        <w:t>E. Cardiogenic shock</w:t>
      </w:r>
    </w:p>
    <w:p w14:paraId="576ECFEA"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290BF37E" w14:textId="25A84C5F"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Which of the following significantly increases the risk of LAST?</w:t>
      </w:r>
      <w:r w:rsidRPr="0080787B">
        <w:rPr>
          <w:rFonts w:ascii="Arial" w:eastAsia="Times New Roman" w:hAnsi="Arial" w:cs="Arial"/>
          <w:color w:val="000000"/>
          <w:kern w:val="0"/>
          <w:lang w:val="en-GB"/>
          <w14:ligatures w14:val="none"/>
        </w:rPr>
        <w:br/>
        <w:t>A. Incremental injection with aspiration</w:t>
      </w:r>
      <w:r w:rsidRPr="0080787B">
        <w:rPr>
          <w:rFonts w:ascii="Arial" w:eastAsia="Times New Roman" w:hAnsi="Arial" w:cs="Arial"/>
          <w:b/>
          <w:bCs/>
          <w:color w:val="000000"/>
          <w:kern w:val="0"/>
          <w:lang w:val="en-GB"/>
          <w14:ligatures w14:val="none"/>
        </w:rPr>
        <w:br/>
        <w:t>B. A block in a highly vascular area</w:t>
      </w:r>
      <w:r w:rsidRPr="0080787B">
        <w:rPr>
          <w:rFonts w:ascii="Arial" w:eastAsia="Times New Roman" w:hAnsi="Arial" w:cs="Arial"/>
          <w:color w:val="000000"/>
          <w:kern w:val="0"/>
          <w:lang w:val="en-GB"/>
          <w14:ligatures w14:val="none"/>
        </w:rPr>
        <w:br/>
        <w:t>C. Use of ultrasound guidance</w:t>
      </w:r>
      <w:r w:rsidRPr="0080787B">
        <w:rPr>
          <w:rFonts w:ascii="Arial" w:eastAsia="Times New Roman" w:hAnsi="Arial" w:cs="Arial"/>
          <w:color w:val="000000"/>
          <w:kern w:val="0"/>
          <w:lang w:val="en-GB"/>
          <w14:ligatures w14:val="none"/>
        </w:rPr>
        <w:br/>
        <w:t>D. Continuous monitoring</w:t>
      </w:r>
      <w:r w:rsidRPr="0080787B">
        <w:rPr>
          <w:rFonts w:ascii="Arial" w:eastAsia="Times New Roman" w:hAnsi="Arial" w:cs="Arial"/>
          <w:color w:val="000000"/>
          <w:kern w:val="0"/>
          <w:lang w:val="en-GB"/>
          <w14:ligatures w14:val="none"/>
        </w:rPr>
        <w:br/>
        <w:t>E. Addition of a vasoconstrictor</w:t>
      </w:r>
    </w:p>
    <w:p w14:paraId="41450349"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4A88EC6F"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Which of the following strategies reduces the likelihood of inadvertent intravascular injection?</w:t>
      </w:r>
      <w:r w:rsidRPr="0080787B">
        <w:rPr>
          <w:rFonts w:ascii="Arial" w:eastAsia="Times New Roman" w:hAnsi="Arial" w:cs="Arial"/>
          <w:color w:val="000000"/>
          <w:kern w:val="0"/>
          <w:lang w:val="en-GB"/>
          <w14:ligatures w14:val="none"/>
        </w:rPr>
        <w:br/>
        <w:t>A. Rapid injection of the full dose</w:t>
      </w:r>
      <w:r w:rsidRPr="0080787B">
        <w:rPr>
          <w:rFonts w:ascii="Arial" w:eastAsia="Times New Roman" w:hAnsi="Arial" w:cs="Arial"/>
          <w:b/>
          <w:bCs/>
          <w:color w:val="000000"/>
          <w:kern w:val="0"/>
          <w:lang w:val="en-GB"/>
          <w14:ligatures w14:val="none"/>
        </w:rPr>
        <w:br/>
        <w:t>B. Intermittent aspiration with incremental injection</w:t>
      </w:r>
      <w:r w:rsidRPr="0080787B">
        <w:rPr>
          <w:rFonts w:ascii="Arial" w:eastAsia="Times New Roman" w:hAnsi="Arial" w:cs="Arial"/>
          <w:color w:val="000000"/>
          <w:kern w:val="0"/>
          <w:lang w:val="en-GB"/>
          <w14:ligatures w14:val="none"/>
        </w:rPr>
        <w:br/>
        <w:t>C. Deep sedation</w:t>
      </w:r>
      <w:r w:rsidRPr="0080787B">
        <w:rPr>
          <w:rFonts w:ascii="Arial" w:eastAsia="Times New Roman" w:hAnsi="Arial" w:cs="Arial"/>
          <w:color w:val="000000"/>
          <w:kern w:val="0"/>
          <w:lang w:val="en-GB"/>
          <w14:ligatures w14:val="none"/>
        </w:rPr>
        <w:br/>
        <w:t>D. Routine use of the maximum dose</w:t>
      </w:r>
      <w:r w:rsidRPr="0080787B">
        <w:rPr>
          <w:rFonts w:ascii="Arial" w:eastAsia="Times New Roman" w:hAnsi="Arial" w:cs="Arial"/>
          <w:color w:val="000000"/>
          <w:kern w:val="0"/>
          <w:lang w:val="en-GB"/>
          <w14:ligatures w14:val="none"/>
        </w:rPr>
        <w:br/>
        <w:t>E. No monitoring</w:t>
      </w:r>
    </w:p>
    <w:p w14:paraId="64A7C2A0"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01E338FE"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When LAST is suspected during injection of a local anaesthetic, the immediate priority is to:</w:t>
      </w:r>
      <w:r w:rsidRPr="0080787B">
        <w:rPr>
          <w:rFonts w:ascii="Arial" w:eastAsia="Times New Roman" w:hAnsi="Arial" w:cs="Arial"/>
          <w:color w:val="000000"/>
          <w:kern w:val="0"/>
          <w:lang w:val="en-GB"/>
          <w14:ligatures w14:val="none"/>
        </w:rPr>
        <w:br/>
      </w:r>
      <w:r w:rsidRPr="0080787B">
        <w:rPr>
          <w:rFonts w:ascii="Arial" w:eastAsia="Times New Roman" w:hAnsi="Arial" w:cs="Arial"/>
          <w:color w:val="000000"/>
          <w:kern w:val="0"/>
          <w:lang w:val="en-GB"/>
          <w14:ligatures w14:val="none"/>
        </w:rPr>
        <w:lastRenderedPageBreak/>
        <w:t>A. Defibrillate</w:t>
      </w:r>
      <w:r w:rsidRPr="0080787B">
        <w:rPr>
          <w:rFonts w:ascii="Arial" w:eastAsia="Times New Roman" w:hAnsi="Arial" w:cs="Arial"/>
          <w:color w:val="000000"/>
          <w:kern w:val="0"/>
          <w:lang w:val="en-GB"/>
          <w14:ligatures w14:val="none"/>
        </w:rPr>
        <w:br/>
        <w:t>B. Give adrenaline 1 mg</w:t>
      </w:r>
      <w:r w:rsidRPr="0080787B">
        <w:rPr>
          <w:rFonts w:ascii="Arial" w:eastAsia="Times New Roman" w:hAnsi="Arial" w:cs="Arial"/>
          <w:b/>
          <w:bCs/>
          <w:color w:val="000000"/>
          <w:kern w:val="0"/>
          <w:lang w:val="en-GB"/>
          <w14:ligatures w14:val="none"/>
        </w:rPr>
        <w:br/>
        <w:t>C. Secure the airway and stop the injection of local anaesthetic</w:t>
      </w:r>
      <w:r w:rsidRPr="0080787B">
        <w:rPr>
          <w:rFonts w:ascii="Arial" w:eastAsia="Times New Roman" w:hAnsi="Arial" w:cs="Arial"/>
          <w:color w:val="000000"/>
          <w:kern w:val="0"/>
          <w:lang w:val="en-GB"/>
          <w14:ligatures w14:val="none"/>
        </w:rPr>
        <w:br/>
        <w:t>D. Transfer the patient to the ICU</w:t>
      </w:r>
      <w:r w:rsidRPr="0080787B">
        <w:rPr>
          <w:rFonts w:ascii="Arial" w:eastAsia="Times New Roman" w:hAnsi="Arial" w:cs="Arial"/>
          <w:color w:val="000000"/>
          <w:kern w:val="0"/>
          <w:lang w:val="en-GB"/>
          <w14:ligatures w14:val="none"/>
        </w:rPr>
        <w:br/>
        <w:t>E. Give an antibiotic</w:t>
      </w:r>
    </w:p>
    <w:p w14:paraId="35E0A7C9"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050E1383"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Specific treatment of severe cardiovascular toxicity from local anaesthetics includes:</w:t>
      </w:r>
      <w:r w:rsidRPr="0080787B">
        <w:rPr>
          <w:rFonts w:ascii="Arial" w:eastAsia="Times New Roman" w:hAnsi="Arial" w:cs="Arial"/>
          <w:color w:val="000000"/>
          <w:kern w:val="0"/>
          <w:lang w:val="en-GB"/>
          <w14:ligatures w14:val="none"/>
        </w:rPr>
        <w:br/>
        <w:t>A. Dantrolene</w:t>
      </w:r>
      <w:r w:rsidRPr="0080787B">
        <w:rPr>
          <w:rFonts w:ascii="Arial" w:eastAsia="Times New Roman" w:hAnsi="Arial" w:cs="Arial"/>
          <w:b/>
          <w:bCs/>
          <w:color w:val="000000"/>
          <w:kern w:val="0"/>
          <w:lang w:val="en-GB"/>
          <w14:ligatures w14:val="none"/>
        </w:rPr>
        <w:br/>
        <w:t>B. Intravenous 20% lipid emulsion</w:t>
      </w:r>
      <w:r w:rsidRPr="0080787B">
        <w:rPr>
          <w:rFonts w:ascii="Arial" w:eastAsia="Times New Roman" w:hAnsi="Arial" w:cs="Arial"/>
          <w:color w:val="000000"/>
          <w:kern w:val="0"/>
          <w:lang w:val="en-GB"/>
          <w14:ligatures w14:val="none"/>
        </w:rPr>
        <w:br/>
        <w:t>C. Corticosteroids</w:t>
      </w:r>
      <w:r w:rsidRPr="0080787B">
        <w:rPr>
          <w:rFonts w:ascii="Arial" w:eastAsia="Times New Roman" w:hAnsi="Arial" w:cs="Arial"/>
          <w:color w:val="000000"/>
          <w:kern w:val="0"/>
          <w:lang w:val="en-GB"/>
          <w14:ligatures w14:val="none"/>
        </w:rPr>
        <w:br/>
        <w:t>D. Sodium bicarbonate as definitive treatment</w:t>
      </w:r>
      <w:r w:rsidRPr="0080787B">
        <w:rPr>
          <w:rFonts w:ascii="Arial" w:eastAsia="Times New Roman" w:hAnsi="Arial" w:cs="Arial"/>
          <w:color w:val="000000"/>
          <w:kern w:val="0"/>
          <w:lang w:val="en-GB"/>
          <w14:ligatures w14:val="none"/>
        </w:rPr>
        <w:br/>
        <w:t>E. Atropine alone</w:t>
      </w:r>
    </w:p>
    <w:p w14:paraId="0EB60915"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p>
    <w:p w14:paraId="34884E6A"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p>
    <w:p w14:paraId="66D951BA"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080F34A7"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During a block with bupivacaine, the patient has a seizure followed by progressive hypotension. The most appropriate management is:</w:t>
      </w:r>
      <w:r w:rsidRPr="0080787B">
        <w:rPr>
          <w:rFonts w:ascii="Arial" w:eastAsia="Times New Roman" w:hAnsi="Arial" w:cs="Arial"/>
          <w:color w:val="000000"/>
          <w:kern w:val="0"/>
          <w:lang w:val="en-GB"/>
          <w14:ligatures w14:val="none"/>
        </w:rPr>
        <w:br/>
        <w:t>A. An adrenaline 1 mg bolus</w:t>
      </w:r>
      <w:r w:rsidRPr="0080787B">
        <w:rPr>
          <w:rFonts w:ascii="Arial" w:eastAsia="Times New Roman" w:hAnsi="Arial" w:cs="Arial"/>
          <w:b/>
          <w:bCs/>
          <w:color w:val="000000"/>
          <w:kern w:val="0"/>
          <w:lang w:val="en-GB"/>
          <w14:ligatures w14:val="none"/>
        </w:rPr>
        <w:br/>
        <w:t>B. 20% lipid emulsion, with reduced doses of adrenaline if needed</w:t>
      </w:r>
      <w:r w:rsidRPr="0080787B">
        <w:rPr>
          <w:rFonts w:ascii="Arial" w:eastAsia="Times New Roman" w:hAnsi="Arial" w:cs="Arial"/>
          <w:color w:val="000000"/>
          <w:kern w:val="0"/>
          <w:lang w:val="en-GB"/>
          <w14:ligatures w14:val="none"/>
        </w:rPr>
        <w:br/>
        <w:t>C. Vasopressin as first-line treatment</w:t>
      </w:r>
      <w:r w:rsidRPr="0080787B">
        <w:rPr>
          <w:rFonts w:ascii="Arial" w:eastAsia="Times New Roman" w:hAnsi="Arial" w:cs="Arial"/>
          <w:color w:val="000000"/>
          <w:kern w:val="0"/>
          <w:lang w:val="en-GB"/>
          <w14:ligatures w14:val="none"/>
        </w:rPr>
        <w:br/>
        <w:t>D. Calcium channel blockers</w:t>
      </w:r>
      <w:r w:rsidRPr="0080787B">
        <w:rPr>
          <w:rFonts w:ascii="Arial" w:eastAsia="Times New Roman" w:hAnsi="Arial" w:cs="Arial"/>
          <w:color w:val="000000"/>
          <w:kern w:val="0"/>
          <w:lang w:val="en-GB"/>
          <w14:ligatures w14:val="none"/>
        </w:rPr>
        <w:br/>
        <w:t>E. Stopping ventilation</w:t>
      </w:r>
    </w:p>
    <w:p w14:paraId="2DC7B39C"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4A63ADA5"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The recommended initial regimen of 20% lipid emulsion in an adult is:</w:t>
      </w:r>
      <w:r w:rsidRPr="0080787B">
        <w:rPr>
          <w:rFonts w:ascii="Arial" w:eastAsia="Times New Roman" w:hAnsi="Arial" w:cs="Arial"/>
          <w:color w:val="000000"/>
          <w:kern w:val="0"/>
          <w:lang w:val="en-GB"/>
          <w14:ligatures w14:val="none"/>
        </w:rPr>
        <w:br/>
        <w:t>A. 0.25 ml/kg infusion</w:t>
      </w:r>
      <w:r w:rsidRPr="0080787B">
        <w:rPr>
          <w:rFonts w:ascii="Arial" w:eastAsia="Times New Roman" w:hAnsi="Arial" w:cs="Arial"/>
          <w:color w:val="000000"/>
          <w:kern w:val="0"/>
          <w:lang w:val="en-GB"/>
          <w14:ligatures w14:val="none"/>
        </w:rPr>
        <w:br/>
        <w:t>B. 1 ml/kg single bolus</w:t>
      </w:r>
      <w:r w:rsidRPr="0080787B">
        <w:rPr>
          <w:rFonts w:ascii="Arial" w:eastAsia="Times New Roman" w:hAnsi="Arial" w:cs="Arial"/>
          <w:b/>
          <w:bCs/>
          <w:color w:val="000000"/>
          <w:kern w:val="0"/>
          <w:lang w:val="en-GB"/>
          <w14:ligatures w14:val="none"/>
        </w:rPr>
        <w:br/>
        <w:t>C. 1.5 ml/kg bolus followed by a continuous infusion</w:t>
      </w:r>
      <w:r w:rsidRPr="0080787B">
        <w:rPr>
          <w:rFonts w:ascii="Arial" w:eastAsia="Times New Roman" w:hAnsi="Arial" w:cs="Arial"/>
          <w:color w:val="000000"/>
          <w:kern w:val="0"/>
          <w:lang w:val="en-GB"/>
          <w14:ligatures w14:val="none"/>
        </w:rPr>
        <w:br/>
        <w:t>D. 5 ml/kg single bolus</w:t>
      </w:r>
      <w:r w:rsidRPr="0080787B">
        <w:rPr>
          <w:rFonts w:ascii="Arial" w:eastAsia="Times New Roman" w:hAnsi="Arial" w:cs="Arial"/>
          <w:color w:val="000000"/>
          <w:kern w:val="0"/>
          <w:lang w:val="en-GB"/>
          <w14:ligatures w14:val="none"/>
        </w:rPr>
        <w:br/>
        <w:t>E. Continuous infusion without a bolus</w:t>
      </w:r>
    </w:p>
    <w:p w14:paraId="616B9682"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6D096C5B"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In LAST with cardiovascular collapse, which of the following should be avoided?</w:t>
      </w:r>
      <w:r w:rsidRPr="0080787B">
        <w:rPr>
          <w:rFonts w:ascii="Arial" w:eastAsia="Times New Roman" w:hAnsi="Arial" w:cs="Arial"/>
          <w:color w:val="000000"/>
          <w:kern w:val="0"/>
          <w:lang w:val="en-GB"/>
          <w14:ligatures w14:val="none"/>
        </w:rPr>
        <w:br/>
        <w:t>A. 100% oxygen</w:t>
      </w:r>
      <w:r w:rsidRPr="0080787B">
        <w:rPr>
          <w:rFonts w:ascii="Arial" w:eastAsia="Times New Roman" w:hAnsi="Arial" w:cs="Arial"/>
          <w:color w:val="000000"/>
          <w:kern w:val="0"/>
          <w:lang w:val="en-GB"/>
          <w14:ligatures w14:val="none"/>
        </w:rPr>
        <w:br/>
        <w:t>B. Prolonged chest compressions</w:t>
      </w:r>
      <w:r w:rsidRPr="0080787B">
        <w:rPr>
          <w:rFonts w:ascii="Arial" w:eastAsia="Times New Roman" w:hAnsi="Arial" w:cs="Arial"/>
          <w:b/>
          <w:bCs/>
          <w:color w:val="000000"/>
          <w:kern w:val="0"/>
          <w:lang w:val="en-GB"/>
          <w14:ligatures w14:val="none"/>
        </w:rPr>
        <w:br/>
        <w:t>C. Vasopressin</w:t>
      </w:r>
      <w:r w:rsidRPr="0080787B">
        <w:rPr>
          <w:rFonts w:ascii="Arial" w:eastAsia="Times New Roman" w:hAnsi="Arial" w:cs="Arial"/>
          <w:color w:val="000000"/>
          <w:kern w:val="0"/>
          <w:lang w:val="en-GB"/>
          <w14:ligatures w14:val="none"/>
        </w:rPr>
        <w:br/>
        <w:t>D. Early lipid emulsion</w:t>
      </w:r>
      <w:r w:rsidRPr="0080787B">
        <w:rPr>
          <w:rFonts w:ascii="Arial" w:eastAsia="Times New Roman" w:hAnsi="Arial" w:cs="Arial"/>
          <w:color w:val="000000"/>
          <w:kern w:val="0"/>
          <w:lang w:val="en-GB"/>
          <w14:ligatures w14:val="none"/>
        </w:rPr>
        <w:br/>
        <w:t>E. Benzodiazepines for seizures</w:t>
      </w:r>
    </w:p>
    <w:p w14:paraId="1ADD3D04"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1D8EDB11"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Progression to the cardiovascular phase is typically marked by:</w:t>
      </w:r>
      <w:r w:rsidRPr="0080787B">
        <w:rPr>
          <w:rFonts w:ascii="Arial" w:eastAsia="Times New Roman" w:hAnsi="Arial" w:cs="Arial"/>
          <w:color w:val="000000"/>
          <w:kern w:val="0"/>
          <w:lang w:val="en-GB"/>
          <w14:ligatures w14:val="none"/>
        </w:rPr>
        <w:br/>
        <w:t>A. Improvement in the level of consciousness</w:t>
      </w:r>
      <w:r w:rsidRPr="0080787B">
        <w:rPr>
          <w:rFonts w:ascii="Arial" w:eastAsia="Times New Roman" w:hAnsi="Arial" w:cs="Arial"/>
          <w:b/>
          <w:bCs/>
          <w:color w:val="000000"/>
          <w:kern w:val="0"/>
          <w:lang w:val="en-GB"/>
          <w14:ligatures w14:val="none"/>
        </w:rPr>
        <w:br/>
        <w:t>B. Haemodynamic instability with ventricular arrhythmias</w:t>
      </w:r>
      <w:r w:rsidRPr="0080787B">
        <w:rPr>
          <w:rFonts w:ascii="Arial" w:eastAsia="Times New Roman" w:hAnsi="Arial" w:cs="Arial"/>
          <w:color w:val="000000"/>
          <w:kern w:val="0"/>
          <w:lang w:val="en-GB"/>
          <w14:ligatures w14:val="none"/>
        </w:rPr>
        <w:br/>
        <w:t>C. Disappearance of the paraesthesia</w:t>
      </w:r>
      <w:r w:rsidRPr="0080787B">
        <w:rPr>
          <w:rFonts w:ascii="Arial" w:eastAsia="Times New Roman" w:hAnsi="Arial" w:cs="Arial"/>
          <w:color w:val="000000"/>
          <w:kern w:val="0"/>
          <w:lang w:val="en-GB"/>
          <w14:ligatures w14:val="none"/>
        </w:rPr>
        <w:br/>
        <w:t>D. Isolated tachypnoea</w:t>
      </w:r>
      <w:r w:rsidRPr="0080787B">
        <w:rPr>
          <w:rFonts w:ascii="Arial" w:eastAsia="Times New Roman" w:hAnsi="Arial" w:cs="Arial"/>
          <w:color w:val="000000"/>
          <w:kern w:val="0"/>
          <w:lang w:val="en-GB"/>
          <w14:ligatures w14:val="none"/>
        </w:rPr>
        <w:br/>
        <w:t>E. Hyperthermia</w:t>
      </w:r>
    </w:p>
    <w:p w14:paraId="161FC52A"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0C76E655"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Once lipid emulsion has been started, which statement is correct?</w:t>
      </w:r>
      <w:r w:rsidRPr="0080787B">
        <w:rPr>
          <w:rFonts w:ascii="Arial" w:eastAsia="Times New Roman" w:hAnsi="Arial" w:cs="Arial"/>
          <w:color w:val="000000"/>
          <w:kern w:val="0"/>
          <w:lang w:val="en-GB"/>
          <w14:ligatures w14:val="none"/>
        </w:rPr>
        <w:br/>
        <w:t>A. Recovery is immediate and permanent</w:t>
      </w:r>
      <w:r w:rsidRPr="0080787B">
        <w:rPr>
          <w:rFonts w:ascii="Arial" w:eastAsia="Times New Roman" w:hAnsi="Arial" w:cs="Arial"/>
          <w:b/>
          <w:bCs/>
          <w:color w:val="000000"/>
          <w:kern w:val="0"/>
          <w:lang w:val="en-GB"/>
          <w14:ligatures w14:val="none"/>
        </w:rPr>
        <w:br/>
        <w:t>B. Cardiovascular instability may recur</w:t>
      </w:r>
      <w:r w:rsidRPr="0080787B">
        <w:rPr>
          <w:rFonts w:ascii="Arial" w:eastAsia="Times New Roman" w:hAnsi="Arial" w:cs="Arial"/>
          <w:color w:val="000000"/>
          <w:kern w:val="0"/>
          <w:lang w:val="en-GB"/>
          <w14:ligatures w14:val="none"/>
        </w:rPr>
        <w:br/>
        <w:t>C. Advanced life support is no longer needed</w:t>
      </w:r>
      <w:r w:rsidRPr="0080787B">
        <w:rPr>
          <w:rFonts w:ascii="Arial" w:eastAsia="Times New Roman" w:hAnsi="Arial" w:cs="Arial"/>
          <w:color w:val="000000"/>
          <w:kern w:val="0"/>
          <w:lang w:val="en-GB"/>
          <w14:ligatures w14:val="none"/>
        </w:rPr>
        <w:br/>
        <w:t>D. There is no further risk of seizures</w:t>
      </w:r>
      <w:r w:rsidRPr="0080787B">
        <w:rPr>
          <w:rFonts w:ascii="Arial" w:eastAsia="Times New Roman" w:hAnsi="Arial" w:cs="Arial"/>
          <w:color w:val="000000"/>
          <w:kern w:val="0"/>
          <w:lang w:val="en-GB"/>
          <w14:ligatures w14:val="none"/>
        </w:rPr>
        <w:br/>
        <w:t>E. It replaces assisted ventilation</w:t>
      </w:r>
    </w:p>
    <w:p w14:paraId="6755A217"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486F0579"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lastRenderedPageBreak/>
        <w:t>Which ECG change is most consistent with myocardial toxicity from local anaesthetics?</w:t>
      </w:r>
      <w:r w:rsidRPr="0080787B">
        <w:rPr>
          <w:rFonts w:ascii="Arial" w:eastAsia="Times New Roman" w:hAnsi="Arial" w:cs="Arial"/>
          <w:b/>
          <w:bCs/>
          <w:color w:val="000000"/>
          <w:kern w:val="0"/>
          <w:lang w:val="en-GB"/>
          <w14:ligatures w14:val="none"/>
        </w:rPr>
        <w:br/>
        <w:t>A. QRS widening</w:t>
      </w:r>
      <w:r w:rsidRPr="0080787B">
        <w:rPr>
          <w:rFonts w:ascii="Arial" w:eastAsia="Times New Roman" w:hAnsi="Arial" w:cs="Arial"/>
          <w:color w:val="000000"/>
          <w:kern w:val="0"/>
          <w:lang w:val="en-GB"/>
          <w14:ligatures w14:val="none"/>
        </w:rPr>
        <w:br/>
        <w:t>B. Isolated ST-segment elevation</w:t>
      </w:r>
      <w:r w:rsidRPr="0080787B">
        <w:rPr>
          <w:rFonts w:ascii="Arial" w:eastAsia="Times New Roman" w:hAnsi="Arial" w:cs="Arial"/>
          <w:color w:val="000000"/>
          <w:kern w:val="0"/>
          <w:lang w:val="en-GB"/>
          <w14:ligatures w14:val="none"/>
        </w:rPr>
        <w:br/>
        <w:t>C. Isolated sinus tachycardia</w:t>
      </w:r>
      <w:r w:rsidRPr="0080787B">
        <w:rPr>
          <w:rFonts w:ascii="Arial" w:eastAsia="Times New Roman" w:hAnsi="Arial" w:cs="Arial"/>
          <w:color w:val="000000"/>
          <w:kern w:val="0"/>
          <w:lang w:val="en-GB"/>
          <w14:ligatures w14:val="none"/>
        </w:rPr>
        <w:br/>
        <w:t>D. Prominent U waves</w:t>
      </w:r>
      <w:r w:rsidRPr="0080787B">
        <w:rPr>
          <w:rFonts w:ascii="Arial" w:eastAsia="Times New Roman" w:hAnsi="Arial" w:cs="Arial"/>
          <w:color w:val="000000"/>
          <w:kern w:val="0"/>
          <w:lang w:val="en-GB"/>
          <w14:ligatures w14:val="none"/>
        </w:rPr>
        <w:br/>
        <w:t>E. Paroxysmal atrial fibrillation</w:t>
      </w:r>
    </w:p>
    <w:p w14:paraId="5C1C4D74"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6631CE71"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Instability may recur after initial stabilisation because:</w:t>
      </w:r>
      <w:r w:rsidRPr="0080787B">
        <w:rPr>
          <w:rFonts w:ascii="Arial" w:eastAsia="Times New Roman" w:hAnsi="Arial" w:cs="Arial"/>
          <w:color w:val="000000"/>
          <w:kern w:val="0"/>
          <w:lang w:val="en-GB"/>
          <w14:ligatures w14:val="none"/>
        </w:rPr>
        <w:br/>
        <w:t>A. The emulsion neutralises the anaesthetic permanently</w:t>
      </w:r>
      <w:r w:rsidRPr="0080787B">
        <w:rPr>
          <w:rFonts w:ascii="Arial" w:eastAsia="Times New Roman" w:hAnsi="Arial" w:cs="Arial"/>
          <w:b/>
          <w:bCs/>
          <w:color w:val="000000"/>
          <w:kern w:val="0"/>
          <w:lang w:val="en-GB"/>
          <w14:ligatures w14:val="none"/>
        </w:rPr>
        <w:br/>
        <w:t>B. The anaesthetic redistributes from the tissues back into the plasma</w:t>
      </w:r>
      <w:r w:rsidRPr="0080787B">
        <w:rPr>
          <w:rFonts w:ascii="Arial" w:eastAsia="Times New Roman" w:hAnsi="Arial" w:cs="Arial"/>
          <w:color w:val="000000"/>
          <w:kern w:val="0"/>
          <w:lang w:val="en-GB"/>
          <w14:ligatures w14:val="none"/>
        </w:rPr>
        <w:br/>
        <w:t>C. The liver stops metabolising the drug</w:t>
      </w:r>
      <w:r w:rsidRPr="0080787B">
        <w:rPr>
          <w:rFonts w:ascii="Arial" w:eastAsia="Times New Roman" w:hAnsi="Arial" w:cs="Arial"/>
          <w:color w:val="000000"/>
          <w:kern w:val="0"/>
          <w:lang w:val="en-GB"/>
          <w14:ligatures w14:val="none"/>
        </w:rPr>
        <w:br/>
        <w:t>D. There is a sympathetic rebound effect</w:t>
      </w:r>
      <w:r w:rsidRPr="0080787B">
        <w:rPr>
          <w:rFonts w:ascii="Arial" w:eastAsia="Times New Roman" w:hAnsi="Arial" w:cs="Arial"/>
          <w:color w:val="000000"/>
          <w:kern w:val="0"/>
          <w:lang w:val="en-GB"/>
          <w14:ligatures w14:val="none"/>
        </w:rPr>
        <w:br/>
        <w:t>E. The diagnosis was wrong</w:t>
      </w:r>
    </w:p>
    <w:p w14:paraId="4223839D" w14:textId="77777777" w:rsidR="00E107DE" w:rsidRPr="0080787B" w:rsidRDefault="00E107DE" w:rsidP="0039771A">
      <w:pPr>
        <w:spacing w:after="0" w:line="240" w:lineRule="auto"/>
        <w:rPr>
          <w:rFonts w:ascii="Arial" w:eastAsia="Times New Roman" w:hAnsi="Arial" w:cs="Arial"/>
          <w:color w:val="000000"/>
          <w:kern w:val="0"/>
          <w:lang w:eastAsia="pt-PT"/>
          <w14:ligatures w14:val="none"/>
        </w:rPr>
      </w:pPr>
    </w:p>
    <w:p w14:paraId="1FC9BCF0" w14:textId="77777777" w:rsidR="00E107DE" w:rsidRPr="0080787B" w:rsidRDefault="00E107DE" w:rsidP="00E107DE">
      <w:pPr>
        <w:numPr>
          <w:ilvl w:val="0"/>
          <w:numId w:val="12"/>
        </w:num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The main contribution of interprofessional simulation training for LAST is to:</w:t>
      </w:r>
      <w:r w:rsidRPr="0080787B">
        <w:rPr>
          <w:rFonts w:ascii="Arial" w:eastAsia="Times New Roman" w:hAnsi="Arial" w:cs="Arial"/>
          <w:color w:val="000000"/>
          <w:kern w:val="0"/>
          <w:lang w:val="en-GB"/>
          <w14:ligatures w14:val="none"/>
        </w:rPr>
        <w:br/>
        <w:t>A. Replace real clinical experience</w:t>
      </w:r>
      <w:r w:rsidRPr="0080787B">
        <w:rPr>
          <w:rFonts w:ascii="Arial" w:eastAsia="Times New Roman" w:hAnsi="Arial" w:cs="Arial"/>
          <w:color w:val="000000"/>
          <w:kern w:val="0"/>
          <w:lang w:val="en-GB"/>
          <w14:ligatures w14:val="none"/>
        </w:rPr>
        <w:br/>
        <w:t>B. Improve individual technical skills only</w:t>
      </w:r>
      <w:r w:rsidRPr="0080787B">
        <w:rPr>
          <w:rFonts w:ascii="Arial" w:eastAsia="Times New Roman" w:hAnsi="Arial" w:cs="Arial"/>
          <w:b/>
          <w:bCs/>
          <w:color w:val="000000"/>
          <w:kern w:val="0"/>
          <w:lang w:val="en-GB"/>
          <w14:ligatures w14:val="none"/>
        </w:rPr>
        <w:br/>
        <w:t>C. Reinforce crisis resource management (CRM), coordination and adherence to protocols</w:t>
      </w:r>
      <w:r w:rsidRPr="0080787B">
        <w:rPr>
          <w:rFonts w:ascii="Arial" w:eastAsia="Times New Roman" w:hAnsi="Arial" w:cs="Arial"/>
          <w:color w:val="000000"/>
          <w:kern w:val="0"/>
          <w:lang w:val="en-GB"/>
          <w14:ligatures w14:val="none"/>
        </w:rPr>
        <w:br/>
        <w:t>D. Reduce the need for continuing education</w:t>
      </w:r>
      <w:r w:rsidRPr="0080787B">
        <w:rPr>
          <w:rFonts w:ascii="Arial" w:eastAsia="Times New Roman" w:hAnsi="Arial" w:cs="Arial"/>
          <w:color w:val="000000"/>
          <w:kern w:val="0"/>
          <w:lang w:val="en-GB"/>
          <w14:ligatures w14:val="none"/>
        </w:rPr>
        <w:br/>
        <w:t>E. Assess technical performance only</w:t>
      </w:r>
    </w:p>
    <w:p w14:paraId="5B1DD84E" w14:textId="77777777" w:rsidR="00E107DE" w:rsidRPr="0080787B" w:rsidRDefault="00E107DE" w:rsidP="00E107DE">
      <w:pPr>
        <w:pStyle w:val="PargrafodaLista"/>
        <w:rPr>
          <w:rFonts w:ascii="Arial" w:eastAsia="Times New Roman" w:hAnsi="Arial" w:cs="Arial"/>
          <w:color w:val="000000"/>
          <w:kern w:val="0"/>
          <w:lang w:eastAsia="pt-PT"/>
          <w14:ligatures w14:val="none"/>
        </w:rPr>
      </w:pPr>
    </w:p>
    <w:p w14:paraId="6FAA852A" w14:textId="77777777" w:rsidR="00E107DE" w:rsidRPr="0080787B" w:rsidRDefault="00E107DE" w:rsidP="00E107DE">
      <w:pPr>
        <w:pStyle w:val="PargrafodaLista"/>
        <w:rPr>
          <w:rFonts w:ascii="Arial" w:eastAsia="Times New Roman" w:hAnsi="Arial" w:cs="Arial"/>
          <w:color w:val="000000"/>
          <w:kern w:val="0"/>
          <w:lang w:eastAsia="pt-PT"/>
          <w14:ligatures w14:val="none"/>
        </w:rPr>
      </w:pPr>
    </w:p>
    <w:p w14:paraId="28DF5C7E" w14:textId="09477BD5" w:rsidR="00E107DE" w:rsidRPr="0080787B" w:rsidRDefault="00D53A51" w:rsidP="00E107DE">
      <w:pPr>
        <w:pStyle w:val="PargrafodaLista"/>
        <w:rPr>
          <w:rFonts w:ascii="Arial" w:eastAsia="Times New Roman" w:hAnsi="Arial" w:cs="Arial"/>
          <w:b/>
          <w:bCs/>
          <w:color w:val="000000"/>
          <w:kern w:val="0"/>
          <w:lang w:eastAsia="pt-PT"/>
          <w14:ligatures w14:val="none"/>
        </w:rPr>
      </w:pPr>
      <w:r w:rsidRPr="0080787B">
        <w:rPr>
          <w:rFonts w:ascii="Arial" w:eastAsia="Times New Roman" w:hAnsi="Arial" w:cs="Arial"/>
          <w:b/>
          <w:bCs/>
          <w:color w:val="000000"/>
          <w:kern w:val="0"/>
          <w:lang w:val="en-GB"/>
          <w14:ligatures w14:val="none"/>
        </w:rPr>
        <w:t>Note: the correct answer is shown in bold.</w:t>
      </w:r>
    </w:p>
    <w:p w14:paraId="33AA0679" w14:textId="77777777" w:rsidR="00E107DE" w:rsidRPr="0080787B" w:rsidRDefault="00E107DE" w:rsidP="0039771A">
      <w:pPr>
        <w:pStyle w:val="PargrafodaLista"/>
        <w:rPr>
          <w:rFonts w:ascii="Arial" w:eastAsia="Times New Roman" w:hAnsi="Arial" w:cs="Arial"/>
          <w:color w:val="000000"/>
          <w:kern w:val="0"/>
          <w:lang w:eastAsia="pt-PT"/>
          <w14:ligatures w14:val="none"/>
        </w:rPr>
      </w:pPr>
    </w:p>
    <w:p w14:paraId="0B39E546" w14:textId="77777777" w:rsidR="00B72764" w:rsidRPr="0080787B" w:rsidRDefault="00B72764" w:rsidP="0039771A">
      <w:pPr>
        <w:pStyle w:val="PargrafodaLista"/>
        <w:rPr>
          <w:rFonts w:ascii="Arial" w:eastAsia="Times New Roman" w:hAnsi="Arial" w:cs="Arial"/>
          <w:color w:val="000000"/>
          <w:kern w:val="0"/>
          <w:lang w:eastAsia="pt-PT"/>
          <w14:ligatures w14:val="none"/>
        </w:rPr>
      </w:pPr>
    </w:p>
    <w:p w14:paraId="774CF468" w14:textId="77777777" w:rsidR="00B72764" w:rsidRPr="0080787B" w:rsidRDefault="00B72764" w:rsidP="0039771A">
      <w:pPr>
        <w:pStyle w:val="PargrafodaLista"/>
        <w:rPr>
          <w:rFonts w:ascii="Arial" w:eastAsia="Times New Roman" w:hAnsi="Arial" w:cs="Arial"/>
          <w:color w:val="000000"/>
          <w:kern w:val="0"/>
          <w:lang w:eastAsia="pt-PT"/>
          <w14:ligatures w14:val="none"/>
        </w:rPr>
      </w:pPr>
    </w:p>
    <w:p w14:paraId="76690DD0" w14:textId="77777777" w:rsidR="0039771A" w:rsidRPr="0080787B" w:rsidRDefault="0039771A" w:rsidP="00E107DE">
      <w:pPr>
        <w:spacing w:after="0" w:line="240" w:lineRule="auto"/>
        <w:rPr>
          <w:rFonts w:ascii="Arial" w:eastAsia="Times New Roman" w:hAnsi="Arial" w:cs="Arial"/>
          <w:color w:val="000000"/>
          <w:kern w:val="0"/>
          <w:lang w:eastAsia="pt-PT"/>
          <w14:ligatures w14:val="none"/>
        </w:rPr>
      </w:pPr>
    </w:p>
    <w:p w14:paraId="643EEF72" w14:textId="77777777" w:rsidR="0039771A" w:rsidRPr="0080787B" w:rsidRDefault="0039771A" w:rsidP="0039771A">
      <w:pPr>
        <w:spacing w:after="0" w:line="240" w:lineRule="auto"/>
        <w:jc w:val="both"/>
        <w:rPr>
          <w:rFonts w:ascii="Arial" w:eastAsia="Times New Roman" w:hAnsi="Arial" w:cs="Arial"/>
          <w:b/>
          <w:bCs/>
          <w:color w:val="000000" w:themeColor="text1"/>
          <w:kern w:val="0"/>
          <w:lang w:eastAsia="pt-PT"/>
          <w14:ligatures w14:val="none"/>
        </w:rPr>
      </w:pPr>
      <w:r w:rsidRPr="0080787B">
        <w:rPr>
          <w:rFonts w:ascii="Arial" w:eastAsia="Times New Roman" w:hAnsi="Arial" w:cs="Arial"/>
          <w:b/>
          <w:bCs/>
          <w:color w:val="000000" w:themeColor="text1"/>
          <w:kern w:val="0"/>
          <w:lang w:val="en-GB"/>
          <w14:ligatures w14:val="none"/>
        </w:rPr>
        <w:t>Educational blueprint: interpretive summary</w:t>
      </w:r>
    </w:p>
    <w:p w14:paraId="5D74CDCA" w14:textId="77777777" w:rsidR="0039771A" w:rsidRPr="0080787B" w:rsidRDefault="0039771A" w:rsidP="0039771A">
      <w:pPr>
        <w:spacing w:after="0" w:line="240" w:lineRule="auto"/>
        <w:jc w:val="both"/>
        <w:rPr>
          <w:rFonts w:ascii="Arial" w:eastAsia="Times New Roman" w:hAnsi="Arial" w:cs="Arial"/>
          <w:b/>
          <w:bCs/>
          <w:color w:val="000000" w:themeColor="text1"/>
          <w:kern w:val="0"/>
          <w:lang w:eastAsia="pt-PT"/>
          <w14:ligatures w14:val="none"/>
        </w:rPr>
      </w:pPr>
    </w:p>
    <w:p w14:paraId="6507B55E" w14:textId="77777777" w:rsidR="0039771A" w:rsidRPr="0080787B" w:rsidRDefault="0039771A" w:rsidP="0039771A">
      <w:pPr>
        <w:spacing w:after="0" w:line="240" w:lineRule="auto"/>
        <w:jc w:val="both"/>
        <w:rPr>
          <w:rFonts w:ascii="Arial" w:eastAsia="Times New Roman" w:hAnsi="Arial" w:cs="Arial"/>
          <w:color w:val="000000" w:themeColor="text1"/>
          <w:kern w:val="0"/>
          <w:lang w:eastAsia="pt-PT"/>
          <w14:ligatures w14:val="none"/>
        </w:rPr>
      </w:pPr>
      <w:r w:rsidRPr="0080787B">
        <w:rPr>
          <w:rFonts w:ascii="Arial" w:eastAsia="Times New Roman" w:hAnsi="Arial" w:cs="Arial"/>
          <w:color w:val="000000" w:themeColor="text1"/>
          <w:kern w:val="0"/>
          <w:lang w:val="en-GB"/>
          <w14:ligatures w14:val="none"/>
        </w:rPr>
        <w:t>The blueprint shows how the learning objectives of the local anaesthetic systemic toxicity (LAST) scenario map onto the questions of the knowledge questionnaire administered before and after the simulation. The questions span different cognitive levels of Bloom's taxonomy, from recall of core concepts to the analysis of clinical situations and an understanding of the value of interprofessional training. This spread allows the questionnaire to assess not only the acquisition of factual knowledge but also clinical recognition, decision-making and an understanding of the principles of patient safety.</w:t>
      </w:r>
    </w:p>
    <w:p w14:paraId="73C5C211" w14:textId="77777777" w:rsidR="0039771A" w:rsidRPr="0080787B" w:rsidRDefault="0039771A" w:rsidP="0039771A">
      <w:pPr>
        <w:spacing w:after="0" w:line="240" w:lineRule="auto"/>
        <w:jc w:val="both"/>
        <w:rPr>
          <w:rFonts w:ascii="Arial" w:eastAsia="Times New Roman" w:hAnsi="Arial" w:cs="Arial"/>
          <w:color w:val="000000" w:themeColor="text1"/>
          <w:kern w:val="0"/>
          <w:lang w:eastAsia="pt-PT"/>
          <w14:ligatures w14:val="none"/>
        </w:rPr>
      </w:pPr>
      <w:r w:rsidRPr="0080787B">
        <w:rPr>
          <w:rFonts w:ascii="Arial" w:eastAsia="Times New Roman" w:hAnsi="Arial" w:cs="Arial"/>
          <w:color w:val="000000" w:themeColor="text1"/>
          <w:kern w:val="0"/>
          <w:lang w:val="en-GB"/>
          <w14:ligatures w14:val="none"/>
        </w:rPr>
        <w:t>Because no question is specific to one profession, the questionnaire applies to every professional group taking part in the simulation (anaesthetists, nurses and healthcare assistants) and can be used to assess the overall educational impact of interprofessional training.</w:t>
      </w:r>
    </w:p>
    <w:p w14:paraId="7022ADCE" w14:textId="77777777" w:rsidR="0039771A" w:rsidRPr="0080787B" w:rsidRDefault="0039771A" w:rsidP="00E107DE">
      <w:pPr>
        <w:spacing w:after="0" w:line="240" w:lineRule="auto"/>
        <w:rPr>
          <w:rFonts w:ascii="Arial" w:eastAsia="Times New Roman" w:hAnsi="Arial" w:cs="Arial"/>
          <w:color w:val="000000"/>
          <w:kern w:val="0"/>
          <w:lang w:eastAsia="pt-PT"/>
          <w14:ligatures w14:val="none"/>
        </w:rPr>
      </w:pPr>
    </w:p>
    <w:p w14:paraId="1B9D8FBB" w14:textId="77777777" w:rsidR="0039771A" w:rsidRPr="0080787B" w:rsidRDefault="0039771A" w:rsidP="00E107DE">
      <w:pPr>
        <w:spacing w:after="0" w:line="240" w:lineRule="auto"/>
        <w:rPr>
          <w:rFonts w:ascii="Arial" w:eastAsia="Times New Roman" w:hAnsi="Arial" w:cs="Arial"/>
          <w:color w:val="000000"/>
          <w:kern w:val="0"/>
          <w:lang w:eastAsia="pt-PT"/>
          <w14:ligatures w14:val="none"/>
        </w:rPr>
      </w:pPr>
    </w:p>
    <w:p w14:paraId="20335B20" w14:textId="77777777" w:rsidR="0039771A" w:rsidRPr="0080787B" w:rsidRDefault="0039771A" w:rsidP="00E107DE">
      <w:pPr>
        <w:spacing w:after="0" w:line="240" w:lineRule="auto"/>
        <w:rPr>
          <w:rFonts w:ascii="Arial" w:eastAsia="Times New Roman" w:hAnsi="Arial" w:cs="Arial"/>
          <w:color w:val="000000"/>
          <w:kern w:val="0"/>
          <w:lang w:eastAsia="pt-PT"/>
          <w14:ligatures w14:val="none"/>
        </w:rPr>
      </w:pPr>
    </w:p>
    <w:tbl>
      <w:tblPr>
        <w:tblW w:w="9800" w:type="dxa"/>
        <w:tblCellMar>
          <w:left w:w="70" w:type="dxa"/>
          <w:right w:w="70" w:type="dxa"/>
        </w:tblCellMar>
        <w:tblLook w:val="04A0" w:firstRow="1" w:lastRow="0" w:firstColumn="1" w:lastColumn="0" w:noHBand="0" w:noVBand="1"/>
      </w:tblPr>
      <w:tblGrid>
        <w:gridCol w:w="510"/>
        <w:gridCol w:w="3560"/>
        <w:gridCol w:w="1134"/>
        <w:gridCol w:w="2413"/>
        <w:gridCol w:w="1344"/>
        <w:gridCol w:w="1377"/>
      </w:tblGrid>
      <w:tr w:rsidR="00E107DE" w:rsidRPr="0080787B" w14:paraId="4AB12B1F" w14:textId="77777777" w:rsidTr="00E107DE">
        <w:trPr>
          <w:trHeight w:val="290"/>
        </w:trPr>
        <w:tc>
          <w:tcPr>
            <w:tcW w:w="320" w:type="dxa"/>
            <w:tcBorders>
              <w:top w:val="single" w:sz="4" w:space="0" w:color="auto"/>
              <w:left w:val="single" w:sz="4" w:space="0" w:color="auto"/>
              <w:bottom w:val="single" w:sz="4" w:space="0" w:color="auto"/>
              <w:right w:val="single" w:sz="4" w:space="0" w:color="auto"/>
            </w:tcBorders>
            <w:noWrap/>
            <w:vAlign w:val="center"/>
            <w:hideMark/>
          </w:tcPr>
          <w:p w14:paraId="46FC9E6D" w14:textId="77777777" w:rsidR="00E107DE" w:rsidRPr="0080787B" w:rsidRDefault="00E107DE" w:rsidP="00E107DE">
            <w:pPr>
              <w:spacing w:after="0" w:line="240" w:lineRule="auto"/>
              <w:jc w:val="center"/>
              <w:rPr>
                <w:rFonts w:ascii="Arial" w:eastAsia="Times New Roman" w:hAnsi="Arial" w:cs="Arial"/>
                <w:b/>
                <w:bCs/>
                <w:color w:val="000000"/>
                <w:kern w:val="0"/>
                <w:lang w:eastAsia="pt-PT"/>
                <w14:ligatures w14:val="none"/>
              </w:rPr>
            </w:pPr>
            <w:r w:rsidRPr="0080787B">
              <w:rPr>
                <w:rFonts w:ascii="Arial" w:eastAsia="Times New Roman" w:hAnsi="Arial" w:cs="Arial"/>
                <w:b/>
                <w:bCs/>
                <w:color w:val="000000"/>
                <w:kern w:val="0"/>
                <w:lang w:val="en-GB"/>
                <w14:ligatures w14:val="none"/>
              </w:rPr>
              <w:t>No.</w:t>
            </w:r>
          </w:p>
        </w:tc>
        <w:tc>
          <w:tcPr>
            <w:tcW w:w="3720" w:type="dxa"/>
            <w:tcBorders>
              <w:top w:val="single" w:sz="4" w:space="0" w:color="auto"/>
              <w:left w:val="nil"/>
              <w:bottom w:val="single" w:sz="4" w:space="0" w:color="auto"/>
              <w:right w:val="single" w:sz="4" w:space="0" w:color="auto"/>
            </w:tcBorders>
            <w:noWrap/>
            <w:vAlign w:val="center"/>
            <w:hideMark/>
          </w:tcPr>
          <w:p w14:paraId="6456882C" w14:textId="77777777" w:rsidR="00E107DE" w:rsidRPr="0080787B" w:rsidRDefault="00E107DE" w:rsidP="00E107DE">
            <w:pPr>
              <w:spacing w:after="0" w:line="240" w:lineRule="auto"/>
              <w:jc w:val="center"/>
              <w:rPr>
                <w:rFonts w:ascii="Arial" w:eastAsia="Times New Roman" w:hAnsi="Arial" w:cs="Arial"/>
                <w:b/>
                <w:bCs/>
                <w:color w:val="000000"/>
                <w:kern w:val="0"/>
                <w:lang w:eastAsia="pt-PT"/>
                <w14:ligatures w14:val="none"/>
              </w:rPr>
            </w:pPr>
            <w:r w:rsidRPr="0080787B">
              <w:rPr>
                <w:rFonts w:ascii="Arial" w:eastAsia="Times New Roman" w:hAnsi="Arial" w:cs="Arial"/>
                <w:b/>
                <w:bCs/>
                <w:color w:val="000000"/>
                <w:kern w:val="0"/>
                <w:lang w:val="en-GB"/>
                <w14:ligatures w14:val="none"/>
              </w:rPr>
              <w:t>Learning objective</w:t>
            </w:r>
          </w:p>
        </w:tc>
        <w:tc>
          <w:tcPr>
            <w:tcW w:w="760" w:type="dxa"/>
            <w:tcBorders>
              <w:top w:val="single" w:sz="4" w:space="0" w:color="auto"/>
              <w:left w:val="nil"/>
              <w:bottom w:val="single" w:sz="4" w:space="0" w:color="auto"/>
              <w:right w:val="single" w:sz="4" w:space="0" w:color="auto"/>
            </w:tcBorders>
            <w:noWrap/>
            <w:vAlign w:val="center"/>
            <w:hideMark/>
          </w:tcPr>
          <w:p w14:paraId="66B2F23F" w14:textId="77777777" w:rsidR="00E107DE" w:rsidRPr="0080787B" w:rsidRDefault="00E107DE" w:rsidP="00E107DE">
            <w:pPr>
              <w:spacing w:after="0" w:line="240" w:lineRule="auto"/>
              <w:jc w:val="center"/>
              <w:rPr>
                <w:rFonts w:ascii="Arial" w:eastAsia="Times New Roman" w:hAnsi="Arial" w:cs="Arial"/>
                <w:b/>
                <w:bCs/>
                <w:color w:val="000000"/>
                <w:kern w:val="0"/>
                <w:lang w:eastAsia="pt-PT"/>
                <w14:ligatures w14:val="none"/>
              </w:rPr>
            </w:pPr>
            <w:r w:rsidRPr="0080787B">
              <w:rPr>
                <w:rFonts w:ascii="Arial" w:eastAsia="Times New Roman" w:hAnsi="Arial" w:cs="Arial"/>
                <w:b/>
                <w:bCs/>
                <w:color w:val="000000"/>
                <w:kern w:val="0"/>
                <w:lang w:val="en-GB"/>
                <w14:ligatures w14:val="none"/>
              </w:rPr>
              <w:t>Question</w:t>
            </w:r>
          </w:p>
        </w:tc>
        <w:tc>
          <w:tcPr>
            <w:tcW w:w="2520" w:type="dxa"/>
            <w:tcBorders>
              <w:top w:val="single" w:sz="4" w:space="0" w:color="auto"/>
              <w:left w:val="nil"/>
              <w:bottom w:val="single" w:sz="4" w:space="0" w:color="auto"/>
              <w:right w:val="single" w:sz="4" w:space="0" w:color="auto"/>
            </w:tcBorders>
            <w:noWrap/>
            <w:vAlign w:val="center"/>
            <w:hideMark/>
          </w:tcPr>
          <w:p w14:paraId="7A045B29" w14:textId="77777777" w:rsidR="00E107DE" w:rsidRPr="0080787B" w:rsidRDefault="00E107DE" w:rsidP="00E107DE">
            <w:pPr>
              <w:spacing w:after="0" w:line="240" w:lineRule="auto"/>
              <w:jc w:val="center"/>
              <w:rPr>
                <w:rFonts w:ascii="Arial" w:eastAsia="Times New Roman" w:hAnsi="Arial" w:cs="Arial"/>
                <w:b/>
                <w:bCs/>
                <w:color w:val="000000"/>
                <w:kern w:val="0"/>
                <w:lang w:eastAsia="pt-PT"/>
                <w14:ligatures w14:val="none"/>
              </w:rPr>
            </w:pPr>
            <w:r w:rsidRPr="0080787B">
              <w:rPr>
                <w:rFonts w:ascii="Arial" w:eastAsia="Times New Roman" w:hAnsi="Arial" w:cs="Arial"/>
                <w:b/>
                <w:bCs/>
                <w:color w:val="000000"/>
                <w:kern w:val="0"/>
                <w:lang w:val="en-GB"/>
                <w14:ligatures w14:val="none"/>
              </w:rPr>
              <w:t>Domain</w:t>
            </w:r>
          </w:p>
        </w:tc>
        <w:tc>
          <w:tcPr>
            <w:tcW w:w="1400" w:type="dxa"/>
            <w:tcBorders>
              <w:top w:val="single" w:sz="4" w:space="0" w:color="auto"/>
              <w:left w:val="nil"/>
              <w:bottom w:val="single" w:sz="4" w:space="0" w:color="auto"/>
              <w:right w:val="single" w:sz="4" w:space="0" w:color="auto"/>
            </w:tcBorders>
            <w:noWrap/>
            <w:vAlign w:val="center"/>
            <w:hideMark/>
          </w:tcPr>
          <w:p w14:paraId="142A32E7" w14:textId="77777777" w:rsidR="00E107DE" w:rsidRPr="0080787B" w:rsidRDefault="00E107DE" w:rsidP="00E107DE">
            <w:pPr>
              <w:spacing w:after="0" w:line="240" w:lineRule="auto"/>
              <w:jc w:val="center"/>
              <w:rPr>
                <w:rFonts w:ascii="Arial" w:eastAsia="Times New Roman" w:hAnsi="Arial" w:cs="Arial"/>
                <w:b/>
                <w:bCs/>
                <w:color w:val="000000"/>
                <w:kern w:val="0"/>
                <w:lang w:eastAsia="pt-PT"/>
                <w14:ligatures w14:val="none"/>
              </w:rPr>
            </w:pPr>
            <w:r w:rsidRPr="0080787B">
              <w:rPr>
                <w:rFonts w:ascii="Arial" w:eastAsia="Times New Roman" w:hAnsi="Arial" w:cs="Arial"/>
                <w:b/>
                <w:bCs/>
                <w:color w:val="000000"/>
                <w:kern w:val="0"/>
                <w:lang w:val="en-GB"/>
                <w14:ligatures w14:val="none"/>
              </w:rPr>
              <w:t>Bloom level</w:t>
            </w:r>
          </w:p>
        </w:tc>
        <w:tc>
          <w:tcPr>
            <w:tcW w:w="1080" w:type="dxa"/>
            <w:tcBorders>
              <w:top w:val="single" w:sz="4" w:space="0" w:color="auto"/>
              <w:left w:val="nil"/>
              <w:bottom w:val="single" w:sz="4" w:space="0" w:color="auto"/>
              <w:right w:val="single" w:sz="4" w:space="0" w:color="auto"/>
            </w:tcBorders>
            <w:noWrap/>
            <w:vAlign w:val="center"/>
            <w:hideMark/>
          </w:tcPr>
          <w:p w14:paraId="31EF76E6" w14:textId="77777777" w:rsidR="00E107DE" w:rsidRPr="0080787B" w:rsidRDefault="00E107DE" w:rsidP="00E107DE">
            <w:pPr>
              <w:spacing w:after="0" w:line="240" w:lineRule="auto"/>
              <w:jc w:val="center"/>
              <w:rPr>
                <w:rFonts w:ascii="Arial" w:eastAsia="Times New Roman" w:hAnsi="Arial" w:cs="Arial"/>
                <w:b/>
                <w:bCs/>
                <w:color w:val="000000"/>
                <w:kern w:val="0"/>
                <w:lang w:eastAsia="pt-PT"/>
                <w14:ligatures w14:val="none"/>
              </w:rPr>
            </w:pPr>
            <w:r w:rsidRPr="0080787B">
              <w:rPr>
                <w:rFonts w:ascii="Arial" w:eastAsia="Times New Roman" w:hAnsi="Arial" w:cs="Arial"/>
                <w:b/>
                <w:bCs/>
                <w:color w:val="000000"/>
                <w:kern w:val="0"/>
                <w:lang w:val="en-GB"/>
                <w14:ligatures w14:val="none"/>
              </w:rPr>
              <w:t>Relevance</w:t>
            </w:r>
          </w:p>
        </w:tc>
      </w:tr>
      <w:tr w:rsidR="00E107DE" w:rsidRPr="0080787B" w14:paraId="511BD214"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09D02EBD"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1</w:t>
            </w:r>
          </w:p>
        </w:tc>
        <w:tc>
          <w:tcPr>
            <w:tcW w:w="3720" w:type="dxa"/>
            <w:tcBorders>
              <w:top w:val="nil"/>
              <w:left w:val="nil"/>
              <w:bottom w:val="single" w:sz="4" w:space="0" w:color="auto"/>
              <w:right w:val="single" w:sz="4" w:space="0" w:color="auto"/>
            </w:tcBorders>
            <w:noWrap/>
            <w:vAlign w:val="center"/>
            <w:hideMark/>
          </w:tcPr>
          <w:p w14:paraId="129DC069"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Define LAST</w:t>
            </w:r>
          </w:p>
        </w:tc>
        <w:tc>
          <w:tcPr>
            <w:tcW w:w="760" w:type="dxa"/>
            <w:tcBorders>
              <w:top w:val="nil"/>
              <w:left w:val="nil"/>
              <w:bottom w:val="single" w:sz="4" w:space="0" w:color="auto"/>
              <w:right w:val="single" w:sz="4" w:space="0" w:color="auto"/>
            </w:tcBorders>
            <w:noWrap/>
            <w:vAlign w:val="center"/>
            <w:hideMark/>
          </w:tcPr>
          <w:p w14:paraId="48EB3504"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Q1</w:t>
            </w:r>
          </w:p>
        </w:tc>
        <w:tc>
          <w:tcPr>
            <w:tcW w:w="2520" w:type="dxa"/>
            <w:tcBorders>
              <w:top w:val="nil"/>
              <w:left w:val="nil"/>
              <w:bottom w:val="single" w:sz="4" w:space="0" w:color="auto"/>
              <w:right w:val="single" w:sz="4" w:space="0" w:color="auto"/>
            </w:tcBorders>
            <w:noWrap/>
            <w:vAlign w:val="center"/>
            <w:hideMark/>
          </w:tcPr>
          <w:p w14:paraId="025DAF20"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Knowledge</w:t>
            </w:r>
          </w:p>
        </w:tc>
        <w:tc>
          <w:tcPr>
            <w:tcW w:w="1400" w:type="dxa"/>
            <w:tcBorders>
              <w:top w:val="nil"/>
              <w:left w:val="nil"/>
              <w:bottom w:val="single" w:sz="4" w:space="0" w:color="auto"/>
              <w:right w:val="single" w:sz="4" w:space="0" w:color="auto"/>
            </w:tcBorders>
            <w:noWrap/>
            <w:vAlign w:val="center"/>
            <w:hideMark/>
          </w:tcPr>
          <w:p w14:paraId="5F141BD7"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Remember</w:t>
            </w:r>
          </w:p>
        </w:tc>
        <w:tc>
          <w:tcPr>
            <w:tcW w:w="1080" w:type="dxa"/>
            <w:tcBorders>
              <w:top w:val="nil"/>
              <w:left w:val="nil"/>
              <w:bottom w:val="single" w:sz="4" w:space="0" w:color="auto"/>
              <w:right w:val="single" w:sz="4" w:space="0" w:color="auto"/>
            </w:tcBorders>
            <w:noWrap/>
            <w:vAlign w:val="center"/>
            <w:hideMark/>
          </w:tcPr>
          <w:p w14:paraId="217CF04F"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Cross-professional</w:t>
            </w:r>
          </w:p>
        </w:tc>
      </w:tr>
      <w:tr w:rsidR="00E107DE" w:rsidRPr="0080787B" w14:paraId="63B2D091"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335718C4"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2</w:t>
            </w:r>
          </w:p>
        </w:tc>
        <w:tc>
          <w:tcPr>
            <w:tcW w:w="3720" w:type="dxa"/>
            <w:tcBorders>
              <w:top w:val="nil"/>
              <w:left w:val="nil"/>
              <w:bottom w:val="single" w:sz="4" w:space="0" w:color="auto"/>
              <w:right w:val="single" w:sz="4" w:space="0" w:color="auto"/>
            </w:tcBorders>
            <w:noWrap/>
            <w:vAlign w:val="center"/>
            <w:hideMark/>
          </w:tcPr>
          <w:p w14:paraId="2F5DE654"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Recognise the initial mechanism</w:t>
            </w:r>
          </w:p>
        </w:tc>
        <w:tc>
          <w:tcPr>
            <w:tcW w:w="760" w:type="dxa"/>
            <w:tcBorders>
              <w:top w:val="nil"/>
              <w:left w:val="nil"/>
              <w:bottom w:val="single" w:sz="4" w:space="0" w:color="auto"/>
              <w:right w:val="single" w:sz="4" w:space="0" w:color="auto"/>
            </w:tcBorders>
            <w:noWrap/>
            <w:vAlign w:val="center"/>
            <w:hideMark/>
          </w:tcPr>
          <w:p w14:paraId="4059F729"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Q2</w:t>
            </w:r>
          </w:p>
        </w:tc>
        <w:tc>
          <w:tcPr>
            <w:tcW w:w="2520" w:type="dxa"/>
            <w:tcBorders>
              <w:top w:val="nil"/>
              <w:left w:val="nil"/>
              <w:bottom w:val="single" w:sz="4" w:space="0" w:color="auto"/>
              <w:right w:val="single" w:sz="4" w:space="0" w:color="auto"/>
            </w:tcBorders>
            <w:noWrap/>
            <w:vAlign w:val="center"/>
            <w:hideMark/>
          </w:tcPr>
          <w:p w14:paraId="566BC725"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Clinical recognition</w:t>
            </w:r>
          </w:p>
        </w:tc>
        <w:tc>
          <w:tcPr>
            <w:tcW w:w="1400" w:type="dxa"/>
            <w:tcBorders>
              <w:top w:val="nil"/>
              <w:left w:val="nil"/>
              <w:bottom w:val="single" w:sz="4" w:space="0" w:color="auto"/>
              <w:right w:val="single" w:sz="4" w:space="0" w:color="auto"/>
            </w:tcBorders>
            <w:noWrap/>
            <w:vAlign w:val="center"/>
            <w:hideMark/>
          </w:tcPr>
          <w:p w14:paraId="7FC3BBD1"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Understand</w:t>
            </w:r>
          </w:p>
        </w:tc>
        <w:tc>
          <w:tcPr>
            <w:tcW w:w="1080" w:type="dxa"/>
            <w:tcBorders>
              <w:top w:val="nil"/>
              <w:left w:val="nil"/>
              <w:bottom w:val="single" w:sz="4" w:space="0" w:color="auto"/>
              <w:right w:val="single" w:sz="4" w:space="0" w:color="auto"/>
            </w:tcBorders>
            <w:noWrap/>
            <w:vAlign w:val="center"/>
            <w:hideMark/>
          </w:tcPr>
          <w:p w14:paraId="130937EA"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High</w:t>
            </w:r>
          </w:p>
        </w:tc>
      </w:tr>
      <w:tr w:rsidR="00E107DE" w:rsidRPr="0080787B" w14:paraId="26606532"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5DF82C3B"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lastRenderedPageBreak/>
              <w:t>3</w:t>
            </w:r>
          </w:p>
        </w:tc>
        <w:tc>
          <w:tcPr>
            <w:tcW w:w="3720" w:type="dxa"/>
            <w:tcBorders>
              <w:top w:val="nil"/>
              <w:left w:val="nil"/>
              <w:bottom w:val="single" w:sz="4" w:space="0" w:color="auto"/>
              <w:right w:val="single" w:sz="4" w:space="0" w:color="auto"/>
            </w:tcBorders>
            <w:noWrap/>
            <w:vAlign w:val="center"/>
            <w:hideMark/>
          </w:tcPr>
          <w:p w14:paraId="14C5C04F"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Identify early signs</w:t>
            </w:r>
          </w:p>
        </w:tc>
        <w:tc>
          <w:tcPr>
            <w:tcW w:w="760" w:type="dxa"/>
            <w:tcBorders>
              <w:top w:val="nil"/>
              <w:left w:val="nil"/>
              <w:bottom w:val="single" w:sz="4" w:space="0" w:color="auto"/>
              <w:right w:val="single" w:sz="4" w:space="0" w:color="auto"/>
            </w:tcBorders>
            <w:noWrap/>
            <w:vAlign w:val="center"/>
            <w:hideMark/>
          </w:tcPr>
          <w:p w14:paraId="016F4742"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Q3</w:t>
            </w:r>
          </w:p>
        </w:tc>
        <w:tc>
          <w:tcPr>
            <w:tcW w:w="2520" w:type="dxa"/>
            <w:tcBorders>
              <w:top w:val="nil"/>
              <w:left w:val="nil"/>
              <w:bottom w:val="single" w:sz="4" w:space="0" w:color="auto"/>
              <w:right w:val="single" w:sz="4" w:space="0" w:color="auto"/>
            </w:tcBorders>
            <w:noWrap/>
            <w:vAlign w:val="center"/>
            <w:hideMark/>
          </w:tcPr>
          <w:p w14:paraId="250D5711"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Clinical recognition</w:t>
            </w:r>
          </w:p>
        </w:tc>
        <w:tc>
          <w:tcPr>
            <w:tcW w:w="1400" w:type="dxa"/>
            <w:tcBorders>
              <w:top w:val="nil"/>
              <w:left w:val="nil"/>
              <w:bottom w:val="single" w:sz="4" w:space="0" w:color="auto"/>
              <w:right w:val="single" w:sz="4" w:space="0" w:color="auto"/>
            </w:tcBorders>
            <w:noWrap/>
            <w:vAlign w:val="center"/>
            <w:hideMark/>
          </w:tcPr>
          <w:p w14:paraId="0BD1E17A"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Understand</w:t>
            </w:r>
          </w:p>
        </w:tc>
        <w:tc>
          <w:tcPr>
            <w:tcW w:w="1080" w:type="dxa"/>
            <w:tcBorders>
              <w:top w:val="nil"/>
              <w:left w:val="nil"/>
              <w:bottom w:val="single" w:sz="4" w:space="0" w:color="auto"/>
              <w:right w:val="single" w:sz="4" w:space="0" w:color="auto"/>
            </w:tcBorders>
            <w:noWrap/>
            <w:vAlign w:val="center"/>
            <w:hideMark/>
          </w:tcPr>
          <w:p w14:paraId="0DC3AA13"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High</w:t>
            </w:r>
          </w:p>
        </w:tc>
      </w:tr>
      <w:tr w:rsidR="00E107DE" w:rsidRPr="0080787B" w14:paraId="765B4DD6"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5B16F987"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4</w:t>
            </w:r>
          </w:p>
        </w:tc>
        <w:tc>
          <w:tcPr>
            <w:tcW w:w="3720" w:type="dxa"/>
            <w:tcBorders>
              <w:top w:val="nil"/>
              <w:left w:val="nil"/>
              <w:bottom w:val="single" w:sz="4" w:space="0" w:color="auto"/>
              <w:right w:val="single" w:sz="4" w:space="0" w:color="auto"/>
            </w:tcBorders>
            <w:noWrap/>
            <w:vAlign w:val="center"/>
            <w:hideMark/>
          </w:tcPr>
          <w:p w14:paraId="1B6FA7BE"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Recognise risk factors</w:t>
            </w:r>
          </w:p>
        </w:tc>
        <w:tc>
          <w:tcPr>
            <w:tcW w:w="760" w:type="dxa"/>
            <w:tcBorders>
              <w:top w:val="nil"/>
              <w:left w:val="nil"/>
              <w:bottom w:val="single" w:sz="4" w:space="0" w:color="auto"/>
              <w:right w:val="single" w:sz="4" w:space="0" w:color="auto"/>
            </w:tcBorders>
            <w:noWrap/>
            <w:vAlign w:val="center"/>
            <w:hideMark/>
          </w:tcPr>
          <w:p w14:paraId="2582F134"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Q4</w:t>
            </w:r>
          </w:p>
        </w:tc>
        <w:tc>
          <w:tcPr>
            <w:tcW w:w="2520" w:type="dxa"/>
            <w:tcBorders>
              <w:top w:val="nil"/>
              <w:left w:val="nil"/>
              <w:bottom w:val="single" w:sz="4" w:space="0" w:color="auto"/>
              <w:right w:val="single" w:sz="4" w:space="0" w:color="auto"/>
            </w:tcBorders>
            <w:noWrap/>
            <w:vAlign w:val="center"/>
            <w:hideMark/>
          </w:tcPr>
          <w:p w14:paraId="2B6C0ED1"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Clinical safety</w:t>
            </w:r>
          </w:p>
        </w:tc>
        <w:tc>
          <w:tcPr>
            <w:tcW w:w="1400" w:type="dxa"/>
            <w:tcBorders>
              <w:top w:val="nil"/>
              <w:left w:val="nil"/>
              <w:bottom w:val="single" w:sz="4" w:space="0" w:color="auto"/>
              <w:right w:val="single" w:sz="4" w:space="0" w:color="auto"/>
            </w:tcBorders>
            <w:noWrap/>
            <w:vAlign w:val="center"/>
            <w:hideMark/>
          </w:tcPr>
          <w:p w14:paraId="6B8120DE"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Understand</w:t>
            </w:r>
          </w:p>
        </w:tc>
        <w:tc>
          <w:tcPr>
            <w:tcW w:w="1080" w:type="dxa"/>
            <w:tcBorders>
              <w:top w:val="nil"/>
              <w:left w:val="nil"/>
              <w:bottom w:val="single" w:sz="4" w:space="0" w:color="auto"/>
              <w:right w:val="single" w:sz="4" w:space="0" w:color="auto"/>
            </w:tcBorders>
            <w:noWrap/>
            <w:vAlign w:val="center"/>
            <w:hideMark/>
          </w:tcPr>
          <w:p w14:paraId="53D6E6A6"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High</w:t>
            </w:r>
          </w:p>
        </w:tc>
      </w:tr>
      <w:tr w:rsidR="00E107DE" w:rsidRPr="0080787B" w14:paraId="1A3CFFE5"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27C5FB49"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5</w:t>
            </w:r>
          </w:p>
        </w:tc>
        <w:tc>
          <w:tcPr>
            <w:tcW w:w="3720" w:type="dxa"/>
            <w:tcBorders>
              <w:top w:val="nil"/>
              <w:left w:val="nil"/>
              <w:bottom w:val="single" w:sz="4" w:space="0" w:color="auto"/>
              <w:right w:val="single" w:sz="4" w:space="0" w:color="auto"/>
            </w:tcBorders>
            <w:noWrap/>
            <w:vAlign w:val="center"/>
            <w:hideMark/>
          </w:tcPr>
          <w:p w14:paraId="7145F2C3"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Apply the principles of prevention</w:t>
            </w:r>
          </w:p>
        </w:tc>
        <w:tc>
          <w:tcPr>
            <w:tcW w:w="760" w:type="dxa"/>
            <w:tcBorders>
              <w:top w:val="nil"/>
              <w:left w:val="nil"/>
              <w:bottom w:val="single" w:sz="4" w:space="0" w:color="auto"/>
              <w:right w:val="single" w:sz="4" w:space="0" w:color="auto"/>
            </w:tcBorders>
            <w:noWrap/>
            <w:vAlign w:val="center"/>
            <w:hideMark/>
          </w:tcPr>
          <w:p w14:paraId="237F1B7A"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Q5</w:t>
            </w:r>
          </w:p>
        </w:tc>
        <w:tc>
          <w:tcPr>
            <w:tcW w:w="2520" w:type="dxa"/>
            <w:tcBorders>
              <w:top w:val="nil"/>
              <w:left w:val="nil"/>
              <w:bottom w:val="single" w:sz="4" w:space="0" w:color="auto"/>
              <w:right w:val="single" w:sz="4" w:space="0" w:color="auto"/>
            </w:tcBorders>
            <w:noWrap/>
            <w:vAlign w:val="center"/>
            <w:hideMark/>
          </w:tcPr>
          <w:p w14:paraId="5E4DDBE1"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Patient safety / prevention</w:t>
            </w:r>
          </w:p>
        </w:tc>
        <w:tc>
          <w:tcPr>
            <w:tcW w:w="1400" w:type="dxa"/>
            <w:tcBorders>
              <w:top w:val="nil"/>
              <w:left w:val="nil"/>
              <w:bottom w:val="single" w:sz="4" w:space="0" w:color="auto"/>
              <w:right w:val="single" w:sz="4" w:space="0" w:color="auto"/>
            </w:tcBorders>
            <w:noWrap/>
            <w:vAlign w:val="center"/>
            <w:hideMark/>
          </w:tcPr>
          <w:p w14:paraId="6BF9284B"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Apply</w:t>
            </w:r>
          </w:p>
        </w:tc>
        <w:tc>
          <w:tcPr>
            <w:tcW w:w="1080" w:type="dxa"/>
            <w:tcBorders>
              <w:top w:val="nil"/>
              <w:left w:val="nil"/>
              <w:bottom w:val="single" w:sz="4" w:space="0" w:color="auto"/>
              <w:right w:val="single" w:sz="4" w:space="0" w:color="auto"/>
            </w:tcBorders>
            <w:noWrap/>
            <w:vAlign w:val="center"/>
            <w:hideMark/>
          </w:tcPr>
          <w:p w14:paraId="508BB21E"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High</w:t>
            </w:r>
          </w:p>
        </w:tc>
      </w:tr>
      <w:tr w:rsidR="00E107DE" w:rsidRPr="0080787B" w14:paraId="53F60ED5"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3131A33F"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6</w:t>
            </w:r>
          </w:p>
        </w:tc>
        <w:tc>
          <w:tcPr>
            <w:tcW w:w="3720" w:type="dxa"/>
            <w:tcBorders>
              <w:top w:val="nil"/>
              <w:left w:val="nil"/>
              <w:bottom w:val="single" w:sz="4" w:space="0" w:color="auto"/>
              <w:right w:val="single" w:sz="4" w:space="0" w:color="auto"/>
            </w:tcBorders>
            <w:noWrap/>
            <w:vAlign w:val="center"/>
            <w:hideMark/>
          </w:tcPr>
          <w:p w14:paraId="5850846C"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Identify the first action</w:t>
            </w:r>
          </w:p>
        </w:tc>
        <w:tc>
          <w:tcPr>
            <w:tcW w:w="760" w:type="dxa"/>
            <w:tcBorders>
              <w:top w:val="nil"/>
              <w:left w:val="nil"/>
              <w:bottom w:val="single" w:sz="4" w:space="0" w:color="auto"/>
              <w:right w:val="single" w:sz="4" w:space="0" w:color="auto"/>
            </w:tcBorders>
            <w:noWrap/>
            <w:vAlign w:val="center"/>
            <w:hideMark/>
          </w:tcPr>
          <w:p w14:paraId="23F50997"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Q6</w:t>
            </w:r>
          </w:p>
        </w:tc>
        <w:tc>
          <w:tcPr>
            <w:tcW w:w="2520" w:type="dxa"/>
            <w:tcBorders>
              <w:top w:val="nil"/>
              <w:left w:val="nil"/>
              <w:bottom w:val="single" w:sz="4" w:space="0" w:color="auto"/>
              <w:right w:val="single" w:sz="4" w:space="0" w:color="auto"/>
            </w:tcBorders>
            <w:noWrap/>
            <w:vAlign w:val="center"/>
            <w:hideMark/>
          </w:tcPr>
          <w:p w14:paraId="0A7D9DFB"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Decision-making</w:t>
            </w:r>
          </w:p>
        </w:tc>
        <w:tc>
          <w:tcPr>
            <w:tcW w:w="1400" w:type="dxa"/>
            <w:tcBorders>
              <w:top w:val="nil"/>
              <w:left w:val="nil"/>
              <w:bottom w:val="single" w:sz="4" w:space="0" w:color="auto"/>
              <w:right w:val="single" w:sz="4" w:space="0" w:color="auto"/>
            </w:tcBorders>
            <w:noWrap/>
            <w:vAlign w:val="center"/>
            <w:hideMark/>
          </w:tcPr>
          <w:p w14:paraId="10225B89"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Apply</w:t>
            </w:r>
          </w:p>
        </w:tc>
        <w:tc>
          <w:tcPr>
            <w:tcW w:w="1080" w:type="dxa"/>
            <w:tcBorders>
              <w:top w:val="nil"/>
              <w:left w:val="nil"/>
              <w:bottom w:val="single" w:sz="4" w:space="0" w:color="auto"/>
              <w:right w:val="single" w:sz="4" w:space="0" w:color="auto"/>
            </w:tcBorders>
            <w:noWrap/>
            <w:vAlign w:val="center"/>
            <w:hideMark/>
          </w:tcPr>
          <w:p w14:paraId="111E56D6"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Very high</w:t>
            </w:r>
          </w:p>
        </w:tc>
      </w:tr>
      <w:tr w:rsidR="00E107DE" w:rsidRPr="0080787B" w14:paraId="0B2A1FBD"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21A3D8F9"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7</w:t>
            </w:r>
          </w:p>
        </w:tc>
        <w:tc>
          <w:tcPr>
            <w:tcW w:w="3720" w:type="dxa"/>
            <w:tcBorders>
              <w:top w:val="nil"/>
              <w:left w:val="nil"/>
              <w:bottom w:val="single" w:sz="4" w:space="0" w:color="auto"/>
              <w:right w:val="single" w:sz="4" w:space="0" w:color="auto"/>
            </w:tcBorders>
            <w:noWrap/>
            <w:vAlign w:val="center"/>
            <w:hideMark/>
          </w:tcPr>
          <w:p w14:paraId="25C788E6"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Know the specific treatment</w:t>
            </w:r>
          </w:p>
        </w:tc>
        <w:tc>
          <w:tcPr>
            <w:tcW w:w="760" w:type="dxa"/>
            <w:tcBorders>
              <w:top w:val="nil"/>
              <w:left w:val="nil"/>
              <w:bottom w:val="single" w:sz="4" w:space="0" w:color="auto"/>
              <w:right w:val="single" w:sz="4" w:space="0" w:color="auto"/>
            </w:tcBorders>
            <w:noWrap/>
            <w:vAlign w:val="center"/>
            <w:hideMark/>
          </w:tcPr>
          <w:p w14:paraId="72DB9B1F"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Q7</w:t>
            </w:r>
          </w:p>
        </w:tc>
        <w:tc>
          <w:tcPr>
            <w:tcW w:w="2520" w:type="dxa"/>
            <w:tcBorders>
              <w:top w:val="nil"/>
              <w:left w:val="nil"/>
              <w:bottom w:val="single" w:sz="4" w:space="0" w:color="auto"/>
              <w:right w:val="single" w:sz="4" w:space="0" w:color="auto"/>
            </w:tcBorders>
            <w:noWrap/>
            <w:vAlign w:val="center"/>
            <w:hideMark/>
          </w:tcPr>
          <w:p w14:paraId="6DDADD9C"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Critical treatment</w:t>
            </w:r>
          </w:p>
        </w:tc>
        <w:tc>
          <w:tcPr>
            <w:tcW w:w="1400" w:type="dxa"/>
            <w:tcBorders>
              <w:top w:val="nil"/>
              <w:left w:val="nil"/>
              <w:bottom w:val="single" w:sz="4" w:space="0" w:color="auto"/>
              <w:right w:val="single" w:sz="4" w:space="0" w:color="auto"/>
            </w:tcBorders>
            <w:noWrap/>
            <w:vAlign w:val="center"/>
            <w:hideMark/>
          </w:tcPr>
          <w:p w14:paraId="00749280"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Remember / apply</w:t>
            </w:r>
          </w:p>
        </w:tc>
        <w:tc>
          <w:tcPr>
            <w:tcW w:w="1080" w:type="dxa"/>
            <w:tcBorders>
              <w:top w:val="nil"/>
              <w:left w:val="nil"/>
              <w:bottom w:val="single" w:sz="4" w:space="0" w:color="auto"/>
              <w:right w:val="single" w:sz="4" w:space="0" w:color="auto"/>
            </w:tcBorders>
            <w:noWrap/>
            <w:vAlign w:val="center"/>
            <w:hideMark/>
          </w:tcPr>
          <w:p w14:paraId="1324F079"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Very high</w:t>
            </w:r>
          </w:p>
        </w:tc>
      </w:tr>
      <w:tr w:rsidR="00E107DE" w:rsidRPr="0080787B" w14:paraId="6EAEC49E"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6A10431A"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8</w:t>
            </w:r>
          </w:p>
        </w:tc>
        <w:tc>
          <w:tcPr>
            <w:tcW w:w="3720" w:type="dxa"/>
            <w:tcBorders>
              <w:top w:val="nil"/>
              <w:left w:val="nil"/>
              <w:bottom w:val="single" w:sz="4" w:space="0" w:color="auto"/>
              <w:right w:val="single" w:sz="4" w:space="0" w:color="auto"/>
            </w:tcBorders>
            <w:noWrap/>
            <w:vAlign w:val="center"/>
            <w:hideMark/>
          </w:tcPr>
          <w:p w14:paraId="0CEB2FCD"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Integrate seizure and haemodynamic instability</w:t>
            </w:r>
          </w:p>
        </w:tc>
        <w:tc>
          <w:tcPr>
            <w:tcW w:w="760" w:type="dxa"/>
            <w:tcBorders>
              <w:top w:val="nil"/>
              <w:left w:val="nil"/>
              <w:bottom w:val="single" w:sz="4" w:space="0" w:color="auto"/>
              <w:right w:val="single" w:sz="4" w:space="0" w:color="auto"/>
            </w:tcBorders>
            <w:noWrap/>
            <w:vAlign w:val="center"/>
            <w:hideMark/>
          </w:tcPr>
          <w:p w14:paraId="3595841F"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Q8</w:t>
            </w:r>
          </w:p>
        </w:tc>
        <w:tc>
          <w:tcPr>
            <w:tcW w:w="2520" w:type="dxa"/>
            <w:tcBorders>
              <w:top w:val="nil"/>
              <w:left w:val="nil"/>
              <w:bottom w:val="single" w:sz="4" w:space="0" w:color="auto"/>
              <w:right w:val="single" w:sz="4" w:space="0" w:color="auto"/>
            </w:tcBorders>
            <w:noWrap/>
            <w:vAlign w:val="center"/>
            <w:hideMark/>
          </w:tcPr>
          <w:p w14:paraId="43FA5907"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Critical treatment</w:t>
            </w:r>
          </w:p>
        </w:tc>
        <w:tc>
          <w:tcPr>
            <w:tcW w:w="1400" w:type="dxa"/>
            <w:tcBorders>
              <w:top w:val="nil"/>
              <w:left w:val="nil"/>
              <w:bottom w:val="single" w:sz="4" w:space="0" w:color="auto"/>
              <w:right w:val="single" w:sz="4" w:space="0" w:color="auto"/>
            </w:tcBorders>
            <w:noWrap/>
            <w:vAlign w:val="center"/>
            <w:hideMark/>
          </w:tcPr>
          <w:p w14:paraId="76362B1F"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Apply</w:t>
            </w:r>
          </w:p>
        </w:tc>
        <w:tc>
          <w:tcPr>
            <w:tcW w:w="1080" w:type="dxa"/>
            <w:tcBorders>
              <w:top w:val="nil"/>
              <w:left w:val="nil"/>
              <w:bottom w:val="single" w:sz="4" w:space="0" w:color="auto"/>
              <w:right w:val="single" w:sz="4" w:space="0" w:color="auto"/>
            </w:tcBorders>
            <w:noWrap/>
            <w:vAlign w:val="center"/>
            <w:hideMark/>
          </w:tcPr>
          <w:p w14:paraId="17212C57"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Very high</w:t>
            </w:r>
          </w:p>
        </w:tc>
      </w:tr>
      <w:tr w:rsidR="00E107DE" w:rsidRPr="0080787B" w14:paraId="6850DD49"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41B9D863"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9</w:t>
            </w:r>
          </w:p>
        </w:tc>
        <w:tc>
          <w:tcPr>
            <w:tcW w:w="3720" w:type="dxa"/>
            <w:tcBorders>
              <w:top w:val="nil"/>
              <w:left w:val="nil"/>
              <w:bottom w:val="single" w:sz="4" w:space="0" w:color="auto"/>
              <w:right w:val="single" w:sz="4" w:space="0" w:color="auto"/>
            </w:tcBorders>
            <w:noWrap/>
            <w:vAlign w:val="center"/>
            <w:hideMark/>
          </w:tcPr>
          <w:p w14:paraId="11AF1287"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Know the correct dose of lipid emulsion</w:t>
            </w:r>
          </w:p>
        </w:tc>
        <w:tc>
          <w:tcPr>
            <w:tcW w:w="760" w:type="dxa"/>
            <w:tcBorders>
              <w:top w:val="nil"/>
              <w:left w:val="nil"/>
              <w:bottom w:val="single" w:sz="4" w:space="0" w:color="auto"/>
              <w:right w:val="single" w:sz="4" w:space="0" w:color="auto"/>
            </w:tcBorders>
            <w:noWrap/>
            <w:vAlign w:val="center"/>
            <w:hideMark/>
          </w:tcPr>
          <w:p w14:paraId="0466803E"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Q9</w:t>
            </w:r>
          </w:p>
        </w:tc>
        <w:tc>
          <w:tcPr>
            <w:tcW w:w="2520" w:type="dxa"/>
            <w:tcBorders>
              <w:top w:val="nil"/>
              <w:left w:val="nil"/>
              <w:bottom w:val="single" w:sz="4" w:space="0" w:color="auto"/>
              <w:right w:val="single" w:sz="4" w:space="0" w:color="auto"/>
            </w:tcBorders>
            <w:noWrap/>
            <w:vAlign w:val="center"/>
            <w:hideMark/>
          </w:tcPr>
          <w:p w14:paraId="6B526AAA"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Critical treatment</w:t>
            </w:r>
          </w:p>
        </w:tc>
        <w:tc>
          <w:tcPr>
            <w:tcW w:w="1400" w:type="dxa"/>
            <w:tcBorders>
              <w:top w:val="nil"/>
              <w:left w:val="nil"/>
              <w:bottom w:val="single" w:sz="4" w:space="0" w:color="auto"/>
              <w:right w:val="single" w:sz="4" w:space="0" w:color="auto"/>
            </w:tcBorders>
            <w:noWrap/>
            <w:vAlign w:val="center"/>
            <w:hideMark/>
          </w:tcPr>
          <w:p w14:paraId="53D2F909"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Remember / apply</w:t>
            </w:r>
          </w:p>
        </w:tc>
        <w:tc>
          <w:tcPr>
            <w:tcW w:w="1080" w:type="dxa"/>
            <w:tcBorders>
              <w:top w:val="nil"/>
              <w:left w:val="nil"/>
              <w:bottom w:val="single" w:sz="4" w:space="0" w:color="auto"/>
              <w:right w:val="single" w:sz="4" w:space="0" w:color="auto"/>
            </w:tcBorders>
            <w:noWrap/>
            <w:vAlign w:val="center"/>
            <w:hideMark/>
          </w:tcPr>
          <w:p w14:paraId="5FA8C315"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Very high</w:t>
            </w:r>
          </w:p>
        </w:tc>
      </w:tr>
      <w:tr w:rsidR="00E107DE" w:rsidRPr="0080787B" w14:paraId="7C87D4AD"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01461F80"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10</w:t>
            </w:r>
          </w:p>
        </w:tc>
        <w:tc>
          <w:tcPr>
            <w:tcW w:w="3720" w:type="dxa"/>
            <w:tcBorders>
              <w:top w:val="nil"/>
              <w:left w:val="nil"/>
              <w:bottom w:val="single" w:sz="4" w:space="0" w:color="auto"/>
              <w:right w:val="single" w:sz="4" w:space="0" w:color="auto"/>
            </w:tcBorders>
            <w:noWrap/>
            <w:vAlign w:val="center"/>
            <w:hideMark/>
          </w:tcPr>
          <w:p w14:paraId="7A332D24"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Identify contraindicated interventions</w:t>
            </w:r>
          </w:p>
        </w:tc>
        <w:tc>
          <w:tcPr>
            <w:tcW w:w="760" w:type="dxa"/>
            <w:tcBorders>
              <w:top w:val="nil"/>
              <w:left w:val="nil"/>
              <w:bottom w:val="single" w:sz="4" w:space="0" w:color="auto"/>
              <w:right w:val="single" w:sz="4" w:space="0" w:color="auto"/>
            </w:tcBorders>
            <w:noWrap/>
            <w:vAlign w:val="center"/>
            <w:hideMark/>
          </w:tcPr>
          <w:p w14:paraId="1857AE66"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Q10</w:t>
            </w:r>
          </w:p>
        </w:tc>
        <w:tc>
          <w:tcPr>
            <w:tcW w:w="2520" w:type="dxa"/>
            <w:tcBorders>
              <w:top w:val="nil"/>
              <w:left w:val="nil"/>
              <w:bottom w:val="single" w:sz="4" w:space="0" w:color="auto"/>
              <w:right w:val="single" w:sz="4" w:space="0" w:color="auto"/>
            </w:tcBorders>
            <w:noWrap/>
            <w:vAlign w:val="center"/>
            <w:hideMark/>
          </w:tcPr>
          <w:p w14:paraId="76CA48DB"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Critical safety</w:t>
            </w:r>
          </w:p>
        </w:tc>
        <w:tc>
          <w:tcPr>
            <w:tcW w:w="1400" w:type="dxa"/>
            <w:tcBorders>
              <w:top w:val="nil"/>
              <w:left w:val="nil"/>
              <w:bottom w:val="single" w:sz="4" w:space="0" w:color="auto"/>
              <w:right w:val="single" w:sz="4" w:space="0" w:color="auto"/>
            </w:tcBorders>
            <w:noWrap/>
            <w:vAlign w:val="center"/>
            <w:hideMark/>
          </w:tcPr>
          <w:p w14:paraId="4959F68A"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Analyse</w:t>
            </w:r>
          </w:p>
        </w:tc>
        <w:tc>
          <w:tcPr>
            <w:tcW w:w="1080" w:type="dxa"/>
            <w:tcBorders>
              <w:top w:val="nil"/>
              <w:left w:val="nil"/>
              <w:bottom w:val="single" w:sz="4" w:space="0" w:color="auto"/>
              <w:right w:val="single" w:sz="4" w:space="0" w:color="auto"/>
            </w:tcBorders>
            <w:noWrap/>
            <w:vAlign w:val="center"/>
            <w:hideMark/>
          </w:tcPr>
          <w:p w14:paraId="1B53E513"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Very high</w:t>
            </w:r>
          </w:p>
        </w:tc>
      </w:tr>
      <w:tr w:rsidR="00E107DE" w:rsidRPr="0080787B" w14:paraId="0C8BE3B3"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01F6FBB2"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11</w:t>
            </w:r>
          </w:p>
        </w:tc>
        <w:tc>
          <w:tcPr>
            <w:tcW w:w="3720" w:type="dxa"/>
            <w:tcBorders>
              <w:top w:val="nil"/>
              <w:left w:val="nil"/>
              <w:bottom w:val="single" w:sz="4" w:space="0" w:color="auto"/>
              <w:right w:val="single" w:sz="4" w:space="0" w:color="auto"/>
            </w:tcBorders>
            <w:noWrap/>
            <w:vAlign w:val="center"/>
            <w:hideMark/>
          </w:tcPr>
          <w:p w14:paraId="7B227F1A"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Recognise clinical deterioration</w:t>
            </w:r>
          </w:p>
        </w:tc>
        <w:tc>
          <w:tcPr>
            <w:tcW w:w="760" w:type="dxa"/>
            <w:tcBorders>
              <w:top w:val="nil"/>
              <w:left w:val="nil"/>
              <w:bottom w:val="single" w:sz="4" w:space="0" w:color="auto"/>
              <w:right w:val="single" w:sz="4" w:space="0" w:color="auto"/>
            </w:tcBorders>
            <w:noWrap/>
            <w:vAlign w:val="center"/>
            <w:hideMark/>
          </w:tcPr>
          <w:p w14:paraId="7573056D"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Q11</w:t>
            </w:r>
          </w:p>
        </w:tc>
        <w:tc>
          <w:tcPr>
            <w:tcW w:w="2520" w:type="dxa"/>
            <w:tcBorders>
              <w:top w:val="nil"/>
              <w:left w:val="nil"/>
              <w:bottom w:val="single" w:sz="4" w:space="0" w:color="auto"/>
              <w:right w:val="single" w:sz="4" w:space="0" w:color="auto"/>
            </w:tcBorders>
            <w:noWrap/>
            <w:vAlign w:val="center"/>
            <w:hideMark/>
          </w:tcPr>
          <w:p w14:paraId="58A4169D"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Clinical judgement</w:t>
            </w:r>
          </w:p>
        </w:tc>
        <w:tc>
          <w:tcPr>
            <w:tcW w:w="1400" w:type="dxa"/>
            <w:tcBorders>
              <w:top w:val="nil"/>
              <w:left w:val="nil"/>
              <w:bottom w:val="single" w:sz="4" w:space="0" w:color="auto"/>
              <w:right w:val="single" w:sz="4" w:space="0" w:color="auto"/>
            </w:tcBorders>
            <w:noWrap/>
            <w:vAlign w:val="center"/>
            <w:hideMark/>
          </w:tcPr>
          <w:p w14:paraId="2A047428"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Apply</w:t>
            </w:r>
          </w:p>
        </w:tc>
        <w:tc>
          <w:tcPr>
            <w:tcW w:w="1080" w:type="dxa"/>
            <w:tcBorders>
              <w:top w:val="nil"/>
              <w:left w:val="nil"/>
              <w:bottom w:val="single" w:sz="4" w:space="0" w:color="auto"/>
              <w:right w:val="single" w:sz="4" w:space="0" w:color="auto"/>
            </w:tcBorders>
            <w:noWrap/>
            <w:vAlign w:val="center"/>
            <w:hideMark/>
          </w:tcPr>
          <w:p w14:paraId="07E8E452"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Very high</w:t>
            </w:r>
          </w:p>
        </w:tc>
      </w:tr>
      <w:tr w:rsidR="00E107DE" w:rsidRPr="0080787B" w14:paraId="34AD5670"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6DAB0F8F"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12</w:t>
            </w:r>
          </w:p>
        </w:tc>
        <w:tc>
          <w:tcPr>
            <w:tcW w:w="3720" w:type="dxa"/>
            <w:tcBorders>
              <w:top w:val="nil"/>
              <w:left w:val="nil"/>
              <w:bottom w:val="single" w:sz="4" w:space="0" w:color="auto"/>
              <w:right w:val="single" w:sz="4" w:space="0" w:color="auto"/>
            </w:tcBorders>
            <w:noWrap/>
            <w:vAlign w:val="center"/>
            <w:hideMark/>
          </w:tcPr>
          <w:p w14:paraId="5680D05E"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Understand the possible course after treatment</w:t>
            </w:r>
          </w:p>
        </w:tc>
        <w:tc>
          <w:tcPr>
            <w:tcW w:w="760" w:type="dxa"/>
            <w:tcBorders>
              <w:top w:val="nil"/>
              <w:left w:val="nil"/>
              <w:bottom w:val="single" w:sz="4" w:space="0" w:color="auto"/>
              <w:right w:val="single" w:sz="4" w:space="0" w:color="auto"/>
            </w:tcBorders>
            <w:noWrap/>
            <w:vAlign w:val="center"/>
            <w:hideMark/>
          </w:tcPr>
          <w:p w14:paraId="26C683E3"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Q12</w:t>
            </w:r>
          </w:p>
        </w:tc>
        <w:tc>
          <w:tcPr>
            <w:tcW w:w="2520" w:type="dxa"/>
            <w:tcBorders>
              <w:top w:val="nil"/>
              <w:left w:val="nil"/>
              <w:bottom w:val="single" w:sz="4" w:space="0" w:color="auto"/>
              <w:right w:val="single" w:sz="4" w:space="0" w:color="auto"/>
            </w:tcBorders>
            <w:noWrap/>
            <w:vAlign w:val="center"/>
            <w:hideMark/>
          </w:tcPr>
          <w:p w14:paraId="28BE57DC"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Clinical reasoning</w:t>
            </w:r>
          </w:p>
        </w:tc>
        <w:tc>
          <w:tcPr>
            <w:tcW w:w="1400" w:type="dxa"/>
            <w:tcBorders>
              <w:top w:val="nil"/>
              <w:left w:val="nil"/>
              <w:bottom w:val="single" w:sz="4" w:space="0" w:color="auto"/>
              <w:right w:val="single" w:sz="4" w:space="0" w:color="auto"/>
            </w:tcBorders>
            <w:noWrap/>
            <w:vAlign w:val="center"/>
            <w:hideMark/>
          </w:tcPr>
          <w:p w14:paraId="293D55D6"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Analyse</w:t>
            </w:r>
          </w:p>
        </w:tc>
        <w:tc>
          <w:tcPr>
            <w:tcW w:w="1080" w:type="dxa"/>
            <w:tcBorders>
              <w:top w:val="nil"/>
              <w:left w:val="nil"/>
              <w:bottom w:val="single" w:sz="4" w:space="0" w:color="auto"/>
              <w:right w:val="single" w:sz="4" w:space="0" w:color="auto"/>
            </w:tcBorders>
            <w:noWrap/>
            <w:vAlign w:val="center"/>
            <w:hideMark/>
          </w:tcPr>
          <w:p w14:paraId="3112AE16"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High</w:t>
            </w:r>
          </w:p>
        </w:tc>
      </w:tr>
      <w:tr w:rsidR="00E107DE" w:rsidRPr="0080787B" w14:paraId="1D37A5CA"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78D9D55C"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13</w:t>
            </w:r>
          </w:p>
        </w:tc>
        <w:tc>
          <w:tcPr>
            <w:tcW w:w="3720" w:type="dxa"/>
            <w:tcBorders>
              <w:top w:val="nil"/>
              <w:left w:val="nil"/>
              <w:bottom w:val="single" w:sz="4" w:space="0" w:color="auto"/>
              <w:right w:val="single" w:sz="4" w:space="0" w:color="auto"/>
            </w:tcBorders>
            <w:noWrap/>
            <w:vAlign w:val="center"/>
            <w:hideMark/>
          </w:tcPr>
          <w:p w14:paraId="57DB1FFC"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Relate pathophysiology to ECG changes</w:t>
            </w:r>
          </w:p>
        </w:tc>
        <w:tc>
          <w:tcPr>
            <w:tcW w:w="760" w:type="dxa"/>
            <w:tcBorders>
              <w:top w:val="nil"/>
              <w:left w:val="nil"/>
              <w:bottom w:val="single" w:sz="4" w:space="0" w:color="auto"/>
              <w:right w:val="single" w:sz="4" w:space="0" w:color="auto"/>
            </w:tcBorders>
            <w:noWrap/>
            <w:vAlign w:val="center"/>
            <w:hideMark/>
          </w:tcPr>
          <w:p w14:paraId="0C66E03D"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Q13</w:t>
            </w:r>
          </w:p>
        </w:tc>
        <w:tc>
          <w:tcPr>
            <w:tcW w:w="2520" w:type="dxa"/>
            <w:tcBorders>
              <w:top w:val="nil"/>
              <w:left w:val="nil"/>
              <w:bottom w:val="single" w:sz="4" w:space="0" w:color="auto"/>
              <w:right w:val="single" w:sz="4" w:space="0" w:color="auto"/>
            </w:tcBorders>
            <w:noWrap/>
            <w:vAlign w:val="center"/>
            <w:hideMark/>
          </w:tcPr>
          <w:p w14:paraId="61B547E5"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Clinical judgement</w:t>
            </w:r>
          </w:p>
        </w:tc>
        <w:tc>
          <w:tcPr>
            <w:tcW w:w="1400" w:type="dxa"/>
            <w:tcBorders>
              <w:top w:val="nil"/>
              <w:left w:val="nil"/>
              <w:bottom w:val="single" w:sz="4" w:space="0" w:color="auto"/>
              <w:right w:val="single" w:sz="4" w:space="0" w:color="auto"/>
            </w:tcBorders>
            <w:noWrap/>
            <w:vAlign w:val="center"/>
            <w:hideMark/>
          </w:tcPr>
          <w:p w14:paraId="0293FDD4"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Analyse</w:t>
            </w:r>
          </w:p>
        </w:tc>
        <w:tc>
          <w:tcPr>
            <w:tcW w:w="1080" w:type="dxa"/>
            <w:tcBorders>
              <w:top w:val="nil"/>
              <w:left w:val="nil"/>
              <w:bottom w:val="single" w:sz="4" w:space="0" w:color="auto"/>
              <w:right w:val="single" w:sz="4" w:space="0" w:color="auto"/>
            </w:tcBorders>
            <w:noWrap/>
            <w:vAlign w:val="center"/>
            <w:hideMark/>
          </w:tcPr>
          <w:p w14:paraId="027D5522"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High</w:t>
            </w:r>
          </w:p>
        </w:tc>
      </w:tr>
      <w:tr w:rsidR="00E107DE" w:rsidRPr="0080787B" w14:paraId="33FF8F18"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7ADFF5D7"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14</w:t>
            </w:r>
          </w:p>
        </w:tc>
        <w:tc>
          <w:tcPr>
            <w:tcW w:w="3720" w:type="dxa"/>
            <w:tcBorders>
              <w:top w:val="nil"/>
              <w:left w:val="nil"/>
              <w:bottom w:val="single" w:sz="4" w:space="0" w:color="auto"/>
              <w:right w:val="single" w:sz="4" w:space="0" w:color="auto"/>
            </w:tcBorders>
            <w:noWrap/>
            <w:vAlign w:val="center"/>
            <w:hideMark/>
          </w:tcPr>
          <w:p w14:paraId="7CE72BE4"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Understand redistribution and recurrence</w:t>
            </w:r>
          </w:p>
        </w:tc>
        <w:tc>
          <w:tcPr>
            <w:tcW w:w="760" w:type="dxa"/>
            <w:tcBorders>
              <w:top w:val="nil"/>
              <w:left w:val="nil"/>
              <w:bottom w:val="single" w:sz="4" w:space="0" w:color="auto"/>
              <w:right w:val="single" w:sz="4" w:space="0" w:color="auto"/>
            </w:tcBorders>
            <w:noWrap/>
            <w:vAlign w:val="center"/>
            <w:hideMark/>
          </w:tcPr>
          <w:p w14:paraId="4B8BD485"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Q14</w:t>
            </w:r>
          </w:p>
        </w:tc>
        <w:tc>
          <w:tcPr>
            <w:tcW w:w="2520" w:type="dxa"/>
            <w:tcBorders>
              <w:top w:val="nil"/>
              <w:left w:val="nil"/>
              <w:bottom w:val="single" w:sz="4" w:space="0" w:color="auto"/>
              <w:right w:val="single" w:sz="4" w:space="0" w:color="auto"/>
            </w:tcBorders>
            <w:noWrap/>
            <w:vAlign w:val="center"/>
            <w:hideMark/>
          </w:tcPr>
          <w:p w14:paraId="4E64D48C"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Advanced clinical reasoning</w:t>
            </w:r>
          </w:p>
        </w:tc>
        <w:tc>
          <w:tcPr>
            <w:tcW w:w="1400" w:type="dxa"/>
            <w:tcBorders>
              <w:top w:val="nil"/>
              <w:left w:val="nil"/>
              <w:bottom w:val="single" w:sz="4" w:space="0" w:color="auto"/>
              <w:right w:val="single" w:sz="4" w:space="0" w:color="auto"/>
            </w:tcBorders>
            <w:noWrap/>
            <w:vAlign w:val="center"/>
            <w:hideMark/>
          </w:tcPr>
          <w:p w14:paraId="0D3ADDB9"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Analyse</w:t>
            </w:r>
          </w:p>
        </w:tc>
        <w:tc>
          <w:tcPr>
            <w:tcW w:w="1080" w:type="dxa"/>
            <w:tcBorders>
              <w:top w:val="nil"/>
              <w:left w:val="nil"/>
              <w:bottom w:val="single" w:sz="4" w:space="0" w:color="auto"/>
              <w:right w:val="single" w:sz="4" w:space="0" w:color="auto"/>
            </w:tcBorders>
            <w:noWrap/>
            <w:vAlign w:val="center"/>
            <w:hideMark/>
          </w:tcPr>
          <w:p w14:paraId="2658B409"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High</w:t>
            </w:r>
          </w:p>
        </w:tc>
      </w:tr>
      <w:tr w:rsidR="00E107DE" w:rsidRPr="0080787B" w14:paraId="353D9EAB" w14:textId="77777777" w:rsidTr="00E107DE">
        <w:trPr>
          <w:trHeight w:val="290"/>
        </w:trPr>
        <w:tc>
          <w:tcPr>
            <w:tcW w:w="320" w:type="dxa"/>
            <w:tcBorders>
              <w:top w:val="nil"/>
              <w:left w:val="single" w:sz="4" w:space="0" w:color="auto"/>
              <w:bottom w:val="single" w:sz="4" w:space="0" w:color="auto"/>
              <w:right w:val="single" w:sz="4" w:space="0" w:color="auto"/>
            </w:tcBorders>
            <w:noWrap/>
            <w:vAlign w:val="center"/>
            <w:hideMark/>
          </w:tcPr>
          <w:p w14:paraId="6E214CAE" w14:textId="77777777" w:rsidR="00E107DE" w:rsidRPr="0080787B" w:rsidRDefault="00E107DE" w:rsidP="00E107DE">
            <w:pPr>
              <w:spacing w:after="0" w:line="240" w:lineRule="auto"/>
              <w:jc w:val="right"/>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15</w:t>
            </w:r>
          </w:p>
        </w:tc>
        <w:tc>
          <w:tcPr>
            <w:tcW w:w="3720" w:type="dxa"/>
            <w:tcBorders>
              <w:top w:val="nil"/>
              <w:left w:val="nil"/>
              <w:bottom w:val="single" w:sz="4" w:space="0" w:color="auto"/>
              <w:right w:val="single" w:sz="4" w:space="0" w:color="auto"/>
            </w:tcBorders>
            <w:noWrap/>
            <w:vAlign w:val="center"/>
            <w:hideMark/>
          </w:tcPr>
          <w:p w14:paraId="0E879B90"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Understand the benefit of interprofessional training</w:t>
            </w:r>
          </w:p>
        </w:tc>
        <w:tc>
          <w:tcPr>
            <w:tcW w:w="760" w:type="dxa"/>
            <w:tcBorders>
              <w:top w:val="nil"/>
              <w:left w:val="nil"/>
              <w:bottom w:val="single" w:sz="4" w:space="0" w:color="auto"/>
              <w:right w:val="single" w:sz="4" w:space="0" w:color="auto"/>
            </w:tcBorders>
            <w:noWrap/>
            <w:vAlign w:val="center"/>
            <w:hideMark/>
          </w:tcPr>
          <w:p w14:paraId="0367899B"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eastAsia="pt-PT"/>
                <w14:ligatures w14:val="none"/>
              </w:rPr>
              <w:t>Q15</w:t>
            </w:r>
          </w:p>
        </w:tc>
        <w:tc>
          <w:tcPr>
            <w:tcW w:w="2520" w:type="dxa"/>
            <w:tcBorders>
              <w:top w:val="nil"/>
              <w:left w:val="nil"/>
              <w:bottom w:val="single" w:sz="4" w:space="0" w:color="auto"/>
              <w:right w:val="single" w:sz="4" w:space="0" w:color="auto"/>
            </w:tcBorders>
            <w:noWrap/>
            <w:vAlign w:val="center"/>
            <w:hideMark/>
          </w:tcPr>
          <w:p w14:paraId="3616ABD1"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Interprofessional education</w:t>
            </w:r>
          </w:p>
        </w:tc>
        <w:tc>
          <w:tcPr>
            <w:tcW w:w="1400" w:type="dxa"/>
            <w:tcBorders>
              <w:top w:val="nil"/>
              <w:left w:val="nil"/>
              <w:bottom w:val="single" w:sz="4" w:space="0" w:color="auto"/>
              <w:right w:val="single" w:sz="4" w:space="0" w:color="auto"/>
            </w:tcBorders>
            <w:noWrap/>
            <w:vAlign w:val="center"/>
            <w:hideMark/>
          </w:tcPr>
          <w:p w14:paraId="1ECA46B9"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Understand</w:t>
            </w:r>
          </w:p>
        </w:tc>
        <w:tc>
          <w:tcPr>
            <w:tcW w:w="1080" w:type="dxa"/>
            <w:tcBorders>
              <w:top w:val="nil"/>
              <w:left w:val="nil"/>
              <w:bottom w:val="single" w:sz="4" w:space="0" w:color="auto"/>
              <w:right w:val="single" w:sz="4" w:space="0" w:color="auto"/>
            </w:tcBorders>
            <w:noWrap/>
            <w:vAlign w:val="center"/>
            <w:hideMark/>
          </w:tcPr>
          <w:p w14:paraId="5107D9DC"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r w:rsidRPr="0080787B">
              <w:rPr>
                <w:rFonts w:ascii="Arial" w:eastAsia="Times New Roman" w:hAnsi="Arial" w:cs="Arial"/>
                <w:color w:val="000000"/>
                <w:kern w:val="0"/>
                <w:lang w:val="en-GB"/>
                <w14:ligatures w14:val="none"/>
              </w:rPr>
              <w:t>Core</w:t>
            </w:r>
          </w:p>
        </w:tc>
      </w:tr>
    </w:tbl>
    <w:p w14:paraId="3BF885AA"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p>
    <w:p w14:paraId="6EF26F2F" w14:textId="77777777" w:rsidR="00E107DE" w:rsidRPr="0080787B" w:rsidRDefault="00E107DE" w:rsidP="00E107DE">
      <w:pPr>
        <w:spacing w:after="0" w:line="240" w:lineRule="auto"/>
        <w:rPr>
          <w:rFonts w:ascii="Arial" w:eastAsia="Times New Roman" w:hAnsi="Arial" w:cs="Arial"/>
          <w:color w:val="000000"/>
          <w:kern w:val="0"/>
          <w:lang w:eastAsia="pt-PT"/>
          <w14:ligatures w14:val="none"/>
        </w:rPr>
      </w:pPr>
    </w:p>
    <w:p w14:paraId="09443852" w14:textId="77777777" w:rsidR="00AC5642" w:rsidRPr="0080787B" w:rsidRDefault="00AC5642" w:rsidP="0039771A">
      <w:pPr>
        <w:spacing w:after="0" w:line="240" w:lineRule="auto"/>
        <w:rPr>
          <w:rFonts w:ascii="Arial" w:hAnsi="Arial" w:cs="Arial"/>
        </w:rPr>
      </w:pPr>
    </w:p>
    <w:sectPr w:rsidR="00AC5642" w:rsidRPr="0080787B" w:rsidSect="002A2CED">
      <w:pgSz w:w="11906" w:h="16838"/>
      <w:pgMar w:top="1179" w:right="566" w:bottom="1096"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B00D4"/>
    <w:multiLevelType w:val="multilevel"/>
    <w:tmpl w:val="D9DA1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0674B"/>
    <w:multiLevelType w:val="multilevel"/>
    <w:tmpl w:val="E288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C3F6B"/>
    <w:multiLevelType w:val="multilevel"/>
    <w:tmpl w:val="3F0032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332483"/>
    <w:multiLevelType w:val="multilevel"/>
    <w:tmpl w:val="BF8612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074DA1"/>
    <w:multiLevelType w:val="multilevel"/>
    <w:tmpl w:val="B48A8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0575EF"/>
    <w:multiLevelType w:val="multilevel"/>
    <w:tmpl w:val="471A40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B63BD3"/>
    <w:multiLevelType w:val="multilevel"/>
    <w:tmpl w:val="B07E47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1B5A89"/>
    <w:multiLevelType w:val="multilevel"/>
    <w:tmpl w:val="21844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723374"/>
    <w:multiLevelType w:val="multilevel"/>
    <w:tmpl w:val="5C2ED0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C54FFE"/>
    <w:multiLevelType w:val="multilevel"/>
    <w:tmpl w:val="0DFA941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601C60"/>
    <w:multiLevelType w:val="multilevel"/>
    <w:tmpl w:val="6AB29F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5B17FB"/>
    <w:multiLevelType w:val="multilevel"/>
    <w:tmpl w:val="7AD25B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1459843">
    <w:abstractNumId w:val="1"/>
  </w:num>
  <w:num w:numId="2" w16cid:durableId="1262957411">
    <w:abstractNumId w:val="7"/>
  </w:num>
  <w:num w:numId="3" w16cid:durableId="601380553">
    <w:abstractNumId w:val="4"/>
  </w:num>
  <w:num w:numId="4" w16cid:durableId="614601516">
    <w:abstractNumId w:val="8"/>
  </w:num>
  <w:num w:numId="5" w16cid:durableId="407655447">
    <w:abstractNumId w:val="3"/>
  </w:num>
  <w:num w:numId="6" w16cid:durableId="890534982">
    <w:abstractNumId w:val="10"/>
  </w:num>
  <w:num w:numId="7" w16cid:durableId="452745392">
    <w:abstractNumId w:val="11"/>
  </w:num>
  <w:num w:numId="8" w16cid:durableId="98182516">
    <w:abstractNumId w:val="6"/>
  </w:num>
  <w:num w:numId="9" w16cid:durableId="408498545">
    <w:abstractNumId w:val="2"/>
  </w:num>
  <w:num w:numId="10" w16cid:durableId="642126239">
    <w:abstractNumId w:val="5"/>
  </w:num>
  <w:num w:numId="11" w16cid:durableId="1585534410">
    <w:abstractNumId w:val="9"/>
  </w:num>
  <w:num w:numId="12" w16cid:durableId="12351217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19"/>
    <w:rsid w:val="000112AA"/>
    <w:rsid w:val="000562FF"/>
    <w:rsid w:val="0007300C"/>
    <w:rsid w:val="00161372"/>
    <w:rsid w:val="001B3B85"/>
    <w:rsid w:val="001E4F75"/>
    <w:rsid w:val="001F2A78"/>
    <w:rsid w:val="00296F68"/>
    <w:rsid w:val="002A2CED"/>
    <w:rsid w:val="002C2910"/>
    <w:rsid w:val="002D3DD4"/>
    <w:rsid w:val="00340431"/>
    <w:rsid w:val="0039771A"/>
    <w:rsid w:val="003B0B8E"/>
    <w:rsid w:val="003B23F0"/>
    <w:rsid w:val="003D4D6B"/>
    <w:rsid w:val="004040CD"/>
    <w:rsid w:val="00413293"/>
    <w:rsid w:val="00451ED5"/>
    <w:rsid w:val="0047578E"/>
    <w:rsid w:val="00485BBE"/>
    <w:rsid w:val="004B0896"/>
    <w:rsid w:val="004B5489"/>
    <w:rsid w:val="004B7EB5"/>
    <w:rsid w:val="00525531"/>
    <w:rsid w:val="00545D60"/>
    <w:rsid w:val="00552935"/>
    <w:rsid w:val="005A6F0E"/>
    <w:rsid w:val="006830F2"/>
    <w:rsid w:val="006D0826"/>
    <w:rsid w:val="006E382B"/>
    <w:rsid w:val="007031A0"/>
    <w:rsid w:val="00730E2D"/>
    <w:rsid w:val="00741CD3"/>
    <w:rsid w:val="007B05BB"/>
    <w:rsid w:val="007C214E"/>
    <w:rsid w:val="007C7946"/>
    <w:rsid w:val="007F0155"/>
    <w:rsid w:val="00806391"/>
    <w:rsid w:val="0080787B"/>
    <w:rsid w:val="008672F9"/>
    <w:rsid w:val="008A4773"/>
    <w:rsid w:val="008B5F92"/>
    <w:rsid w:val="008D39F5"/>
    <w:rsid w:val="008E7C59"/>
    <w:rsid w:val="00906B40"/>
    <w:rsid w:val="009644C7"/>
    <w:rsid w:val="00970281"/>
    <w:rsid w:val="009B71B9"/>
    <w:rsid w:val="009C7617"/>
    <w:rsid w:val="00A36254"/>
    <w:rsid w:val="00A76CCB"/>
    <w:rsid w:val="00A82AFC"/>
    <w:rsid w:val="00AC5642"/>
    <w:rsid w:val="00AD10DF"/>
    <w:rsid w:val="00B14236"/>
    <w:rsid w:val="00B16843"/>
    <w:rsid w:val="00B20BA2"/>
    <w:rsid w:val="00B22192"/>
    <w:rsid w:val="00B72764"/>
    <w:rsid w:val="00C042CB"/>
    <w:rsid w:val="00C06185"/>
    <w:rsid w:val="00C17E0C"/>
    <w:rsid w:val="00C2276E"/>
    <w:rsid w:val="00CD6A48"/>
    <w:rsid w:val="00D00ADF"/>
    <w:rsid w:val="00D51AFD"/>
    <w:rsid w:val="00D53A51"/>
    <w:rsid w:val="00DA75E4"/>
    <w:rsid w:val="00DB45D5"/>
    <w:rsid w:val="00DC365A"/>
    <w:rsid w:val="00DD3919"/>
    <w:rsid w:val="00DE08C3"/>
    <w:rsid w:val="00E07559"/>
    <w:rsid w:val="00E107DE"/>
    <w:rsid w:val="00E10F94"/>
    <w:rsid w:val="00E55D71"/>
    <w:rsid w:val="00E767B4"/>
    <w:rsid w:val="00E81823"/>
    <w:rsid w:val="00EE2982"/>
    <w:rsid w:val="00F00FB9"/>
    <w:rsid w:val="00F251B4"/>
    <w:rsid w:val="00F518F9"/>
    <w:rsid w:val="00F73983"/>
    <w:rsid w:val="00F82DCE"/>
    <w:rsid w:val="00F919FA"/>
    <w:rsid w:val="00FA4822"/>
    <w:rsid w:val="00FB7354"/>
    <w:rsid w:val="00FD77A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7AFC5"/>
  <w15:chartTrackingRefBased/>
  <w15:docId w15:val="{5A03765F-B7BB-BB43-B54B-5BDC1D62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DD3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DD3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DD39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DD39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DD39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DD39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DD39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DD39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DD3919"/>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DD3919"/>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rsid w:val="00DD3919"/>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rsid w:val="00DD3919"/>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DD3919"/>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DD3919"/>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DD3919"/>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DD3919"/>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DD3919"/>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DD3919"/>
    <w:rPr>
      <w:rFonts w:eastAsiaTheme="majorEastAsia" w:cstheme="majorBidi"/>
      <w:color w:val="272727" w:themeColor="text1" w:themeTint="D8"/>
    </w:rPr>
  </w:style>
  <w:style w:type="paragraph" w:styleId="Ttulo">
    <w:name w:val="Title"/>
    <w:basedOn w:val="Normal"/>
    <w:next w:val="Normal"/>
    <w:link w:val="TtuloCarter"/>
    <w:uiPriority w:val="10"/>
    <w:qFormat/>
    <w:rsid w:val="00DD3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DD39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DD3919"/>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DD3919"/>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DD3919"/>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DD3919"/>
    <w:rPr>
      <w:i/>
      <w:iCs/>
      <w:color w:val="404040" w:themeColor="text1" w:themeTint="BF"/>
    </w:rPr>
  </w:style>
  <w:style w:type="paragraph" w:styleId="PargrafodaLista">
    <w:name w:val="List Paragraph"/>
    <w:basedOn w:val="Normal"/>
    <w:uiPriority w:val="34"/>
    <w:qFormat/>
    <w:rsid w:val="00DD3919"/>
    <w:pPr>
      <w:ind w:left="720"/>
      <w:contextualSpacing/>
    </w:pPr>
  </w:style>
  <w:style w:type="character" w:styleId="nfaseIntensa">
    <w:name w:val="Intense Emphasis"/>
    <w:basedOn w:val="Tipodeletrapredefinidodopargrafo"/>
    <w:uiPriority w:val="21"/>
    <w:qFormat/>
    <w:rsid w:val="00DD3919"/>
    <w:rPr>
      <w:i/>
      <w:iCs/>
      <w:color w:val="0F4761" w:themeColor="accent1" w:themeShade="BF"/>
    </w:rPr>
  </w:style>
  <w:style w:type="paragraph" w:styleId="CitaoIntensa">
    <w:name w:val="Intense Quote"/>
    <w:basedOn w:val="Normal"/>
    <w:next w:val="Normal"/>
    <w:link w:val="CitaoIntensaCarter"/>
    <w:uiPriority w:val="30"/>
    <w:qFormat/>
    <w:rsid w:val="00DD3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DD3919"/>
    <w:rPr>
      <w:i/>
      <w:iCs/>
      <w:color w:val="0F4761" w:themeColor="accent1" w:themeShade="BF"/>
    </w:rPr>
  </w:style>
  <w:style w:type="character" w:styleId="RefernciaIntensa">
    <w:name w:val="Intense Reference"/>
    <w:basedOn w:val="Tipodeletrapredefinidodopargrafo"/>
    <w:uiPriority w:val="32"/>
    <w:qFormat/>
    <w:rsid w:val="00DD3919"/>
    <w:rPr>
      <w:b/>
      <w:bCs/>
      <w:smallCaps/>
      <w:color w:val="0F4761" w:themeColor="accent1" w:themeShade="BF"/>
      <w:spacing w:val="5"/>
    </w:rPr>
  </w:style>
  <w:style w:type="paragraph" w:styleId="NormalWeb">
    <w:name w:val="Normal (Web)"/>
    <w:basedOn w:val="Normal"/>
    <w:uiPriority w:val="99"/>
    <w:unhideWhenUsed/>
    <w:rsid w:val="00DD3919"/>
    <w:pPr>
      <w:spacing w:before="100" w:beforeAutospacing="1" w:after="100" w:afterAutospacing="1" w:line="240" w:lineRule="auto"/>
    </w:pPr>
    <w:rPr>
      <w:rFonts w:ascii="Times New Roman" w:eastAsia="Times New Roman" w:hAnsi="Times New Roman" w:cs="Times New Roman"/>
      <w:kern w:val="0"/>
      <w:lang w:eastAsia="pt-PT"/>
      <w14:ligatures w14:val="none"/>
    </w:rPr>
  </w:style>
  <w:style w:type="character" w:styleId="Forte">
    <w:name w:val="Strong"/>
    <w:basedOn w:val="Tipodeletrapredefinidodopargrafo"/>
    <w:uiPriority w:val="22"/>
    <w:qFormat/>
    <w:rsid w:val="00DD3919"/>
    <w:rPr>
      <w:b/>
      <w:bCs/>
    </w:rPr>
  </w:style>
  <w:style w:type="character" w:customStyle="1" w:styleId="apple-converted-space">
    <w:name w:val="apple-converted-space"/>
    <w:basedOn w:val="Tipodeletrapredefinidodopargrafo"/>
    <w:rsid w:val="00DD3919"/>
  </w:style>
  <w:style w:type="paragraph" w:styleId="Reviso">
    <w:name w:val="Revision"/>
    <w:hidden/>
    <w:uiPriority w:val="99"/>
    <w:semiHidden/>
    <w:rsid w:val="003404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1056</Words>
  <Characters>5705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Céu Campos</dc:creator>
  <cp:keywords/>
  <dc:description/>
  <cp:lastModifiedBy>Maria Céu Campos</cp:lastModifiedBy>
  <cp:revision>2</cp:revision>
  <dcterms:created xsi:type="dcterms:W3CDTF">2026-09-21T12:06:00Z</dcterms:created>
  <dcterms:modified xsi:type="dcterms:W3CDTF">2026-09-21T12:06:00Z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0328b2-cbbd-405e-b01b-32c4759a0ed0_Enabled">
    <vt:lpwstr>true</vt:lpwstr>
  </property>
  <property fmtid="{D5CDD505-2E9C-101B-9397-08002B2CF9AE}" pid="3" name="MSIP_Label_e60328b2-cbbd-405e-b01b-32c4759a0ed0_SetDate">
    <vt:lpwstr>2026-02-09T12:02:58Z</vt:lpwstr>
  </property>
  <property fmtid="{D5CDD505-2E9C-101B-9397-08002B2CF9AE}" pid="4" name="MSIP_Label_e60328b2-cbbd-405e-b01b-32c4759a0ed0_Method">
    <vt:lpwstr>Standard</vt:lpwstr>
  </property>
  <property fmtid="{D5CDD505-2E9C-101B-9397-08002B2CF9AE}" pid="5" name="MSIP_Label_e60328b2-cbbd-405e-b01b-32c4759a0ed0_Name">
    <vt:lpwstr>Public Label</vt:lpwstr>
  </property>
  <property fmtid="{D5CDD505-2E9C-101B-9397-08002B2CF9AE}" pid="6" name="MSIP_Label_e60328b2-cbbd-405e-b01b-32c4759a0ed0_SiteId">
    <vt:lpwstr>22c84608-f01d-46c5-8024-63cc962e5f51</vt:lpwstr>
  </property>
  <property fmtid="{D5CDD505-2E9C-101B-9397-08002B2CF9AE}" pid="7" name="MSIP_Label_e60328b2-cbbd-405e-b01b-32c4759a0ed0_ActionId">
    <vt:lpwstr>f0e6f683-e0bc-41df-8dda-5524cbb387b2</vt:lpwstr>
  </property>
  <property fmtid="{D5CDD505-2E9C-101B-9397-08002B2CF9AE}" pid="8" name="MSIP_Label_e60328b2-cbbd-405e-b01b-32c4759a0ed0_ContentBits">
    <vt:lpwstr>0</vt:lpwstr>
  </property>
  <property fmtid="{D5CDD505-2E9C-101B-9397-08002B2CF9AE}" pid="9" name="MSIP_Label_e60328b2-cbbd-405e-b01b-32c4759a0ed0_Tag">
    <vt:lpwstr>50, 3, 0, 1</vt:lpwstr>
  </property>
</Properties>
</file>