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B90857" w14:textId="41520476" w:rsidR="00AE081B" w:rsidRDefault="00AE081B" w:rsidP="00AE081B">
      <w:pPr>
        <w:spacing w:after="60"/>
        <w:rPr>
          <w:rFonts w:ascii="Arial" w:hAnsi="Arial" w:cs="Arial"/>
          <w:b/>
          <w:bCs/>
          <w:color w:val="000000" w:themeColor="text1"/>
        </w:rPr>
      </w:pPr>
      <w:r w:rsidRPr="00AE081B">
        <w:rPr>
          <w:rFonts w:ascii="Arial" w:hAnsi="Arial" w:cs="Arial"/>
          <w:b/>
          <w:bCs/>
          <w:color w:val="000000" w:themeColor="text1"/>
        </w:rPr>
        <w:t>Additional File 2 - LAST simulation session plan</w:t>
      </w:r>
    </w:p>
    <w:p w14:paraId="52BF642A" w14:textId="77777777" w:rsidR="00AE081B" w:rsidRDefault="00AE081B" w:rsidP="00AE081B">
      <w:pPr>
        <w:spacing w:after="60"/>
        <w:rPr>
          <w:rFonts w:ascii="Arial" w:hAnsi="Arial" w:cs="Arial"/>
          <w:b/>
          <w:bCs/>
          <w:color w:val="000000" w:themeColor="text1"/>
        </w:rPr>
      </w:pPr>
    </w:p>
    <w:p w14:paraId="1B5FD9E8" w14:textId="42E148F7" w:rsidR="00090374" w:rsidRPr="00335E16" w:rsidRDefault="00000000">
      <w:pPr>
        <w:spacing w:after="60"/>
        <w:jc w:val="center"/>
        <w:rPr>
          <w:rFonts w:ascii="Arial" w:hAnsi="Arial" w:cs="Arial"/>
          <w:b/>
          <w:bCs/>
          <w:color w:val="000000" w:themeColor="text1"/>
        </w:rPr>
      </w:pPr>
      <w:r>
        <w:rPr>
          <w:rFonts w:ascii="Arial" w:hAnsi="Arial" w:cs="Arial"/>
          <w:b/>
          <w:bCs/>
          <w:color w:val="000000" w:themeColor="text1"/>
        </w:rPr>
        <w:t>Simulation Session Plan</w:t>
      </w:r>
    </w:p>
    <w:p w14:paraId="47374F28" w14:textId="77777777" w:rsidR="00090374" w:rsidRPr="00335E16" w:rsidRDefault="00000000">
      <w:pPr>
        <w:spacing w:after="40"/>
        <w:jc w:val="center"/>
        <w:rPr>
          <w:rFonts w:ascii="Arial" w:hAnsi="Arial" w:cs="Arial"/>
          <w:b/>
          <w:bCs/>
          <w:color w:val="000000" w:themeColor="text1"/>
        </w:rPr>
      </w:pPr>
      <w:r>
        <w:rPr>
          <w:rFonts w:ascii="Arial" w:hAnsi="Arial" w:cs="Arial"/>
          <w:b/>
          <w:bCs/>
          <w:color w:val="000000" w:themeColor="text1"/>
        </w:rPr>
        <w:t>Interprofessional team training in the management of local anaesthetic systemic toxicity (LAST)</w:t>
      </w:r>
    </w:p>
    <w:p w14:paraId="6B7647B1" w14:textId="77777777"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1. Session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090374" w:rsidRPr="00335E16" w14:paraId="6290D99C" w14:textId="77777777">
        <w:tc>
          <w:tcPr>
            <w:tcW w:w="2500" w:type="dxa"/>
            <w:tcMar>
              <w:top w:w="60" w:type="dxa"/>
              <w:left w:w="90" w:type="dxa"/>
              <w:bottom w:w="60" w:type="dxa"/>
              <w:right w:w="90" w:type="dxa"/>
            </w:tcMar>
          </w:tcPr>
          <w:p w14:paraId="33A951E1"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Course title</w:t>
            </w:r>
          </w:p>
        </w:tc>
        <w:tc>
          <w:tcPr>
            <w:tcW w:w="6526" w:type="dxa"/>
            <w:tcMar>
              <w:top w:w="60" w:type="dxa"/>
              <w:left w:w="90" w:type="dxa"/>
              <w:bottom w:w="60" w:type="dxa"/>
              <w:right w:w="90" w:type="dxa"/>
            </w:tcMar>
          </w:tcPr>
          <w:p w14:paraId="01B6F2E5"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Managing local anaesthetic systemic toxicity (LAST): interprofessional team training through clinical simulation</w:t>
            </w:r>
          </w:p>
        </w:tc>
      </w:tr>
      <w:tr w:rsidR="00090374" w:rsidRPr="00335E16" w14:paraId="1D16EC43" w14:textId="77777777">
        <w:tc>
          <w:tcPr>
            <w:tcW w:w="2500" w:type="dxa"/>
            <w:tcMar>
              <w:top w:w="60" w:type="dxa"/>
              <w:left w:w="90" w:type="dxa"/>
              <w:bottom w:w="60" w:type="dxa"/>
              <w:right w:w="90" w:type="dxa"/>
            </w:tcMar>
          </w:tcPr>
          <w:p w14:paraId="69F92C22"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Context</w:t>
            </w:r>
          </w:p>
        </w:tc>
        <w:tc>
          <w:tcPr>
            <w:tcW w:w="6526" w:type="dxa"/>
            <w:tcMar>
              <w:top w:w="60" w:type="dxa"/>
              <w:left w:w="90" w:type="dxa"/>
              <w:bottom w:w="60" w:type="dxa"/>
              <w:right w:w="90" w:type="dxa"/>
            </w:tcMar>
          </w:tcPr>
          <w:p w14:paraId="160D20F6" w14:textId="77777777" w:rsidR="00335E16" w:rsidRPr="00335E16" w:rsidRDefault="00000000">
            <w:pPr>
              <w:spacing w:before="40" w:after="40" w:line="260" w:lineRule="auto"/>
              <w:rPr>
                <w:rFonts w:ascii="Arial" w:hAnsi="Arial" w:cs="Arial"/>
                <w:color w:val="000000" w:themeColor="text1"/>
              </w:rPr>
            </w:pPr>
            <w:r>
              <w:rPr>
                <w:rFonts w:ascii="Arial" w:hAnsi="Arial" w:cs="Arial"/>
                <w:color w:val="000000" w:themeColor="text1"/>
              </w:rPr>
              <w:t xml:space="preserve">Training session delivered as part of the study "Evaluating the Impact of In-Situ Simulation on Interprofessional Clinical Team Training: A Randomised Trial" </w:t>
            </w:r>
          </w:p>
          <w:p w14:paraId="171F0BDD" w14:textId="4927C714"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(ClinicalTrials.gov, NCT07346937)</w:t>
            </w:r>
          </w:p>
        </w:tc>
      </w:tr>
      <w:tr w:rsidR="00090374" w:rsidRPr="00335E16" w14:paraId="29D7A1D3" w14:textId="77777777">
        <w:tc>
          <w:tcPr>
            <w:tcW w:w="2500" w:type="dxa"/>
            <w:tcMar>
              <w:top w:w="60" w:type="dxa"/>
              <w:left w:w="90" w:type="dxa"/>
              <w:bottom w:w="60" w:type="dxa"/>
              <w:right w:w="90" w:type="dxa"/>
            </w:tcMar>
          </w:tcPr>
          <w:p w14:paraId="13728B0D"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Target audience</w:t>
            </w:r>
          </w:p>
        </w:tc>
        <w:tc>
          <w:tcPr>
            <w:tcW w:w="6526" w:type="dxa"/>
            <w:tcMar>
              <w:top w:w="60" w:type="dxa"/>
              <w:left w:w="90" w:type="dxa"/>
              <w:bottom w:w="60" w:type="dxa"/>
              <w:right w:w="90" w:type="dxa"/>
            </w:tcMar>
          </w:tcPr>
          <w:p w14:paraId="2C4D3ADB" w14:textId="25166162"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Members of perioperative teams: anaesthetists, perioperative nurses and healthcare assistants (HCAs)</w:t>
            </w:r>
          </w:p>
        </w:tc>
      </w:tr>
      <w:tr w:rsidR="00090374" w:rsidRPr="00335E16" w14:paraId="58BA53F9" w14:textId="77777777">
        <w:tc>
          <w:tcPr>
            <w:tcW w:w="2500" w:type="dxa"/>
            <w:tcMar>
              <w:top w:w="60" w:type="dxa"/>
              <w:left w:w="90" w:type="dxa"/>
              <w:bottom w:w="60" w:type="dxa"/>
              <w:right w:w="90" w:type="dxa"/>
            </w:tcMar>
          </w:tcPr>
          <w:p w14:paraId="5067F351"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Team composition</w:t>
            </w:r>
          </w:p>
        </w:tc>
        <w:tc>
          <w:tcPr>
            <w:tcW w:w="6526" w:type="dxa"/>
            <w:tcMar>
              <w:top w:w="60" w:type="dxa"/>
              <w:left w:w="90" w:type="dxa"/>
              <w:bottom w:w="60" w:type="dxa"/>
              <w:right w:w="90" w:type="dxa"/>
            </w:tcMar>
          </w:tcPr>
          <w:p w14:paraId="3EEE5832" w14:textId="66A2AA6A"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Seven participants per session: two anaesthetists (one lead, one supporting), four nurses and one HCA</w:t>
            </w:r>
          </w:p>
        </w:tc>
      </w:tr>
      <w:tr w:rsidR="00090374" w:rsidRPr="00335E16" w14:paraId="4BF12E5E" w14:textId="77777777">
        <w:tc>
          <w:tcPr>
            <w:tcW w:w="2500" w:type="dxa"/>
            <w:tcMar>
              <w:top w:w="60" w:type="dxa"/>
              <w:left w:w="90" w:type="dxa"/>
              <w:bottom w:w="60" w:type="dxa"/>
              <w:right w:w="90" w:type="dxa"/>
            </w:tcMar>
          </w:tcPr>
          <w:p w14:paraId="7F34612D"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Duration</w:t>
            </w:r>
          </w:p>
        </w:tc>
        <w:tc>
          <w:tcPr>
            <w:tcW w:w="6526" w:type="dxa"/>
            <w:tcMar>
              <w:top w:w="60" w:type="dxa"/>
              <w:left w:w="90" w:type="dxa"/>
              <w:bottom w:w="60" w:type="dxa"/>
              <w:right w:w="90" w:type="dxa"/>
            </w:tcMar>
          </w:tcPr>
          <w:p w14:paraId="178106DE"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180 minutes (three hours), in seven phases of fixed length</w:t>
            </w:r>
          </w:p>
        </w:tc>
      </w:tr>
      <w:tr w:rsidR="00090374" w:rsidRPr="00335E16" w14:paraId="0ED6709C" w14:textId="77777777">
        <w:tc>
          <w:tcPr>
            <w:tcW w:w="2500" w:type="dxa"/>
            <w:tcMar>
              <w:top w:w="60" w:type="dxa"/>
              <w:left w:w="90" w:type="dxa"/>
              <w:bottom w:w="60" w:type="dxa"/>
              <w:right w:w="90" w:type="dxa"/>
            </w:tcMar>
          </w:tcPr>
          <w:p w14:paraId="7E8C9D11"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Venues</w:t>
            </w:r>
          </w:p>
        </w:tc>
        <w:tc>
          <w:tcPr>
            <w:tcW w:w="6526" w:type="dxa"/>
            <w:tcMar>
              <w:top w:w="60" w:type="dxa"/>
              <w:left w:w="90" w:type="dxa"/>
              <w:bottom w:w="60" w:type="dxa"/>
              <w:right w:w="90" w:type="dxa"/>
            </w:tcMar>
          </w:tcPr>
          <w:p w14:paraId="73729BF8"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 xml:space="preserve">The Operating Theatre Suite at ULS Matosinhos (BO-ULSM) and the Post-Anaesthesia Care Unit at ULS São João (UPA-ULSSJ), for </w:t>
            </w:r>
            <w:r>
              <w:rPr>
                <w:rFonts w:ascii="Arial" w:hAnsi="Arial" w:cs="Arial"/>
                <w:i/>
                <w:iCs/>
                <w:color w:val="000000" w:themeColor="text1"/>
              </w:rPr>
              <w:t>in situ</w:t>
            </w:r>
            <w:r>
              <w:rPr>
                <w:rFonts w:ascii="Arial" w:hAnsi="Arial" w:cs="Arial"/>
                <w:color w:val="000000" w:themeColor="text1"/>
              </w:rPr>
              <w:t xml:space="preserve"> simulation; the Simulation Centre of the Faculty of Medicine, University of Porto (SIMFMUP), for centre-based simulation</w:t>
            </w:r>
          </w:p>
        </w:tc>
      </w:tr>
      <w:tr w:rsidR="00090374" w:rsidRPr="00335E16" w14:paraId="28770C75" w14:textId="77777777">
        <w:tc>
          <w:tcPr>
            <w:tcW w:w="2500" w:type="dxa"/>
            <w:tcMar>
              <w:top w:w="60" w:type="dxa"/>
              <w:left w:w="90" w:type="dxa"/>
              <w:bottom w:w="60" w:type="dxa"/>
              <w:right w:w="90" w:type="dxa"/>
            </w:tcMar>
          </w:tcPr>
          <w:p w14:paraId="53AAB95B" w14:textId="26906612"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Faculty</w:t>
            </w:r>
          </w:p>
        </w:tc>
        <w:tc>
          <w:tcPr>
            <w:tcW w:w="6526" w:type="dxa"/>
            <w:tcMar>
              <w:top w:w="60" w:type="dxa"/>
              <w:left w:w="90" w:type="dxa"/>
              <w:bottom w:w="60" w:type="dxa"/>
              <w:right w:w="90" w:type="dxa"/>
            </w:tcMar>
          </w:tcPr>
          <w:p w14:paraId="5795CA19" w14:textId="09709F18"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A nurse simulation instructor (principal investigator), an anaesthetist simulation instructor and a simulation technician. The same faculty ran every session in both arms of the study</w:t>
            </w:r>
          </w:p>
        </w:tc>
      </w:tr>
      <w:tr w:rsidR="00090374" w:rsidRPr="00335E16" w14:paraId="78CDD1BB" w14:textId="77777777">
        <w:tc>
          <w:tcPr>
            <w:tcW w:w="2500" w:type="dxa"/>
            <w:tcMar>
              <w:top w:w="60" w:type="dxa"/>
              <w:left w:w="90" w:type="dxa"/>
              <w:bottom w:w="60" w:type="dxa"/>
              <w:right w:w="90" w:type="dxa"/>
            </w:tcMar>
          </w:tcPr>
          <w:p w14:paraId="7A25A324"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Format</w:t>
            </w:r>
          </w:p>
        </w:tc>
        <w:tc>
          <w:tcPr>
            <w:tcW w:w="6526" w:type="dxa"/>
            <w:tcMar>
              <w:top w:w="60" w:type="dxa"/>
              <w:left w:w="90" w:type="dxa"/>
              <w:bottom w:w="60" w:type="dxa"/>
              <w:right w:w="90" w:type="dxa"/>
            </w:tcMar>
          </w:tcPr>
          <w:p w14:paraId="10F09697"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Face-to-face simulation-based practice in closed groups; participation is voluntary</w:t>
            </w:r>
          </w:p>
        </w:tc>
      </w:tr>
      <w:tr w:rsidR="00090374" w:rsidRPr="00335E16" w14:paraId="3C313DA4" w14:textId="77777777">
        <w:tc>
          <w:tcPr>
            <w:tcW w:w="2500" w:type="dxa"/>
            <w:tcMar>
              <w:top w:w="60" w:type="dxa"/>
              <w:left w:w="90" w:type="dxa"/>
              <w:bottom w:w="60" w:type="dxa"/>
              <w:right w:w="90" w:type="dxa"/>
            </w:tcMar>
          </w:tcPr>
          <w:p w14:paraId="0AF3D997"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Accreditation</w:t>
            </w:r>
          </w:p>
        </w:tc>
        <w:tc>
          <w:tcPr>
            <w:tcW w:w="6526" w:type="dxa"/>
            <w:tcMar>
              <w:top w:w="60" w:type="dxa"/>
              <w:left w:w="90" w:type="dxa"/>
              <w:bottom w:w="60" w:type="dxa"/>
              <w:right w:w="90" w:type="dxa"/>
            </w:tcMar>
          </w:tcPr>
          <w:p w14:paraId="47EF237D"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Accredited training hours, validated by the ULSM Knowledge Management Department</w:t>
            </w:r>
          </w:p>
        </w:tc>
      </w:tr>
      <w:tr w:rsidR="00090374" w:rsidRPr="00335E16" w14:paraId="5C54A14F" w14:textId="77777777">
        <w:tc>
          <w:tcPr>
            <w:tcW w:w="2500" w:type="dxa"/>
            <w:tcMar>
              <w:top w:w="60" w:type="dxa"/>
              <w:left w:w="90" w:type="dxa"/>
              <w:bottom w:w="60" w:type="dxa"/>
              <w:right w:w="90" w:type="dxa"/>
            </w:tcMar>
          </w:tcPr>
          <w:p w14:paraId="48167E24"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Reference documents</w:t>
            </w:r>
          </w:p>
        </w:tc>
        <w:tc>
          <w:tcPr>
            <w:tcW w:w="6526" w:type="dxa"/>
            <w:tcMar>
              <w:top w:w="60" w:type="dxa"/>
              <w:left w:w="90" w:type="dxa"/>
              <w:bottom w:w="60" w:type="dxa"/>
              <w:right w:w="90" w:type="dxa"/>
            </w:tcMar>
          </w:tcPr>
          <w:p w14:paraId="21F20272" w14:textId="68367C24"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 xml:space="preserve">LAST scenario, observation tool (standardised PEARLS debriefing script, LAST Researcher Guidelines, ULSM Procedure No. 3402), ULSSJ standard operating procedure PON 508-0 and the 2020 ASRA guidance </w:t>
            </w:r>
          </w:p>
        </w:tc>
      </w:tr>
    </w:tbl>
    <w:p w14:paraId="35BD41FF" w14:textId="77777777" w:rsidR="00090374" w:rsidRDefault="00090374">
      <w:pPr>
        <w:spacing w:after="100"/>
        <w:rPr>
          <w:rFonts w:ascii="Arial" w:hAnsi="Arial" w:cs="Arial"/>
          <w:color w:val="000000" w:themeColor="text1"/>
        </w:rPr>
      </w:pPr>
    </w:p>
    <w:p w14:paraId="741A1DC4" w14:textId="77777777" w:rsidR="00335E16" w:rsidRDefault="00335E16">
      <w:pPr>
        <w:spacing w:after="100"/>
        <w:rPr>
          <w:rFonts w:ascii="Arial" w:hAnsi="Arial" w:cs="Arial"/>
          <w:color w:val="000000" w:themeColor="text1"/>
        </w:rPr>
      </w:pPr>
    </w:p>
    <w:p w14:paraId="566AD09E" w14:textId="77777777" w:rsidR="00335E16" w:rsidRDefault="00335E16">
      <w:pPr>
        <w:spacing w:after="100"/>
        <w:rPr>
          <w:rFonts w:ascii="Arial" w:hAnsi="Arial" w:cs="Arial"/>
          <w:color w:val="000000" w:themeColor="text1"/>
        </w:rPr>
      </w:pPr>
    </w:p>
    <w:p w14:paraId="489033CE" w14:textId="77777777" w:rsidR="00335E16" w:rsidRDefault="00335E16">
      <w:pPr>
        <w:spacing w:after="100"/>
        <w:rPr>
          <w:rFonts w:ascii="Arial" w:hAnsi="Arial" w:cs="Arial"/>
          <w:color w:val="000000" w:themeColor="text1"/>
        </w:rPr>
      </w:pPr>
    </w:p>
    <w:p w14:paraId="394EC8E7" w14:textId="77777777" w:rsidR="004F79AD" w:rsidRDefault="004F79AD">
      <w:pPr>
        <w:spacing w:after="100"/>
        <w:rPr>
          <w:rFonts w:ascii="Arial" w:hAnsi="Arial" w:cs="Arial"/>
          <w:color w:val="000000" w:themeColor="text1"/>
        </w:rPr>
      </w:pPr>
    </w:p>
    <w:p w14:paraId="6572FFB8" w14:textId="77777777" w:rsidR="004F79AD" w:rsidRPr="00335E16" w:rsidRDefault="004F79AD">
      <w:pPr>
        <w:spacing w:after="100"/>
        <w:rPr>
          <w:rFonts w:ascii="Arial" w:hAnsi="Arial" w:cs="Arial"/>
          <w:color w:val="000000" w:themeColor="text1"/>
        </w:rPr>
      </w:pPr>
    </w:p>
    <w:p w14:paraId="38999580" w14:textId="77777777"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lastRenderedPageBreak/>
        <w:t>2. Background and rationale</w:t>
      </w:r>
    </w:p>
    <w:p w14:paraId="77091C60"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 xml:space="preserve">Local anaesthetic systemic toxicity is rare, can come on suddenly and may be fatal. Its rarity is the problem. A perioperative team can go years without seeing a case, and when one </w:t>
      </w:r>
      <w:proofErr w:type="gramStart"/>
      <w:r>
        <w:rPr>
          <w:rFonts w:ascii="Arial" w:hAnsi="Arial" w:cs="Arial"/>
          <w:color w:val="000000" w:themeColor="text1"/>
        </w:rPr>
        <w:t>happens</w:t>
      </w:r>
      <w:proofErr w:type="gramEnd"/>
      <w:r>
        <w:rPr>
          <w:rFonts w:ascii="Arial" w:hAnsi="Arial" w:cs="Arial"/>
          <w:color w:val="000000" w:themeColor="text1"/>
        </w:rPr>
        <w:t xml:space="preserve"> they have only a few minutes to recognise it and apply a protocol built around drugs they seldom use. In this situation, simulation is the only safe way to rehearse the response.</w:t>
      </w:r>
    </w:p>
    <w:p w14:paraId="339276A7"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 xml:space="preserve">The session addresses the technical and non-technical sides of the response together. Managing LAST requires knowledge of the algorithm and quick access to lipid emulsion, but it depends just as much on how the team communicates, allocates roles and brings in people who arrive later. The scenario was built from the local procedures of the participating departments and the 2020 ASRA </w:t>
      </w:r>
      <w:proofErr w:type="gramStart"/>
      <w:r>
        <w:rPr>
          <w:rFonts w:ascii="Arial" w:hAnsi="Arial" w:cs="Arial"/>
          <w:color w:val="000000" w:themeColor="text1"/>
        </w:rPr>
        <w:t>guidance, and</w:t>
      </w:r>
      <w:proofErr w:type="gramEnd"/>
      <w:r>
        <w:rPr>
          <w:rFonts w:ascii="Arial" w:hAnsi="Arial" w:cs="Arial"/>
          <w:color w:val="000000" w:themeColor="text1"/>
        </w:rPr>
        <w:t xml:space="preserve"> was designed in line with the INACSL simulation design standards.</w:t>
      </w:r>
    </w:p>
    <w:p w14:paraId="14DEAE2D" w14:textId="77777777"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3. Learning objectives</w:t>
      </w:r>
    </w:p>
    <w:p w14:paraId="3DCCAF18" w14:textId="77777777" w:rsidR="00090374" w:rsidRPr="004F79AD" w:rsidRDefault="00000000">
      <w:pPr>
        <w:pStyle w:val="Ttulo2"/>
        <w:spacing w:before="260" w:after="140"/>
        <w:rPr>
          <w:rFonts w:ascii="Arial" w:hAnsi="Arial" w:cs="Arial"/>
          <w:b/>
          <w:bCs/>
          <w:color w:val="000000" w:themeColor="text1"/>
          <w:sz w:val="22"/>
          <w:szCs w:val="22"/>
        </w:rPr>
      </w:pPr>
      <w:r>
        <w:rPr>
          <w:rFonts w:ascii="Arial" w:hAnsi="Arial" w:cs="Arial"/>
          <w:b/>
          <w:bCs/>
          <w:color w:val="000000" w:themeColor="text1"/>
          <w:sz w:val="22"/>
          <w:szCs w:val="22"/>
        </w:rPr>
        <w:t>3.1. Overall objective</w:t>
      </w:r>
    </w:p>
    <w:p w14:paraId="7065EEC7"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By the end of the session, the team should be able to recognise local anaesthetic systemic toxicity early, apply the hospital response protocol and keep working as a coordinated interprofessional team until the patient is stable.</w:t>
      </w:r>
    </w:p>
    <w:p w14:paraId="118637F0" w14:textId="77777777" w:rsidR="00090374" w:rsidRPr="00335E16" w:rsidRDefault="00000000">
      <w:pPr>
        <w:pStyle w:val="Ttulo2"/>
        <w:spacing w:before="260" w:after="140"/>
        <w:rPr>
          <w:rFonts w:ascii="Arial" w:hAnsi="Arial" w:cs="Arial"/>
          <w:b/>
          <w:bCs/>
          <w:color w:val="000000" w:themeColor="text1"/>
          <w:sz w:val="22"/>
          <w:szCs w:val="22"/>
        </w:rPr>
      </w:pPr>
      <w:r>
        <w:rPr>
          <w:rFonts w:ascii="Arial" w:hAnsi="Arial" w:cs="Arial"/>
          <w:b/>
          <w:bCs/>
          <w:color w:val="000000" w:themeColor="text1"/>
          <w:sz w:val="22"/>
          <w:szCs w:val="22"/>
        </w:rPr>
        <w:t>3.2. Technical objectives</w:t>
      </w:r>
    </w:p>
    <w:p w14:paraId="651CBE63"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Identify the early neurological and cardiovascular features of LAST and distinguish them from other causes of perioperative deterioration.</w:t>
      </w:r>
    </w:p>
    <w:p w14:paraId="1AC0D1C1"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Stop the local anaesthetic immediately and call for help in a structured way through the department’s internal system.</w:t>
      </w:r>
    </w:p>
    <w:p w14:paraId="723BA144"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Locate, prepare and give 20% lipid emulsion at the dose and in the sequence set out in the hospital procedure and the 2020 ASRA guidance.</w:t>
      </w:r>
    </w:p>
    <w:p w14:paraId="74A6AAD5"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Recognise which drugs are contraindicated in this setting (lidocaine, vasopressin and high doses of adrenaline) and explain why.</w:t>
      </w:r>
    </w:p>
    <w:p w14:paraId="38F49442"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Maintain a patent airway, secure it with an advanced airway and assist with indicated invasive procedures, including arterial line insertion.</w:t>
      </w:r>
    </w:p>
    <w:p w14:paraId="19E86A97"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Start advanced life support if the patient progresses to cardiac arrest in ventricular fibrillation, while continuing lipid emulsion.</w:t>
      </w:r>
    </w:p>
    <w:p w14:paraId="044DE8B1" w14:textId="77777777" w:rsidR="00090374" w:rsidRPr="00335E16" w:rsidRDefault="00000000">
      <w:pPr>
        <w:pStyle w:val="Ttulo2"/>
        <w:spacing w:before="260" w:after="140"/>
        <w:rPr>
          <w:rFonts w:ascii="Arial" w:hAnsi="Arial" w:cs="Arial"/>
          <w:b/>
          <w:bCs/>
          <w:color w:val="000000" w:themeColor="text1"/>
          <w:sz w:val="22"/>
          <w:szCs w:val="22"/>
        </w:rPr>
      </w:pPr>
      <w:r>
        <w:rPr>
          <w:rFonts w:ascii="Arial" w:hAnsi="Arial" w:cs="Arial"/>
          <w:b/>
          <w:bCs/>
          <w:color w:val="000000" w:themeColor="text1"/>
          <w:sz w:val="22"/>
          <w:szCs w:val="22"/>
        </w:rPr>
        <w:t>3.3. Non-technical objectives</w:t>
      </w:r>
    </w:p>
    <w:p w14:paraId="3BE48CDE"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Take on the leadership role and make it explicit, allocate roles clearly and confirm that assigned tasks have been completed.</w:t>
      </w:r>
    </w:p>
    <w:p w14:paraId="49FCEDD3"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Use closed-loop communication, acknowledging out loud each instruction received and each task completed.</w:t>
      </w:r>
    </w:p>
    <w:p w14:paraId="073C94F1"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Share the team’s mental model of the situation out loud and update it as the clinical picture changes.</w:t>
      </w:r>
    </w:p>
    <w:p w14:paraId="3A2A9A7F"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Speak up when in doubt or when an error is noticed, whatever their professional group.</w:t>
      </w:r>
    </w:p>
    <w:p w14:paraId="0F75D5C7"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lastRenderedPageBreak/>
        <w:t>Involve the HCA in the crisis response, in fetching emergency equipment and in directly supporting the team.</w:t>
      </w:r>
    </w:p>
    <w:p w14:paraId="31435D1D" w14:textId="2886D822" w:rsidR="00335E16" w:rsidRDefault="00000000" w:rsidP="00335E16">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Manage the team’s workload and stress, including calling for, receiving and integrating the help team.</w:t>
      </w:r>
    </w:p>
    <w:p w14:paraId="1F58C872" w14:textId="77777777" w:rsidR="00335E16" w:rsidRPr="00335E16" w:rsidRDefault="00335E16" w:rsidP="00335E16">
      <w:pPr>
        <w:pStyle w:val="PargrafodaLista"/>
        <w:spacing w:after="80" w:line="300" w:lineRule="auto"/>
        <w:ind w:left="420"/>
        <w:jc w:val="both"/>
        <w:rPr>
          <w:rFonts w:ascii="Arial" w:hAnsi="Arial" w:cs="Arial"/>
          <w:color w:val="000000" w:themeColor="text1"/>
        </w:rPr>
      </w:pPr>
    </w:p>
    <w:p w14:paraId="56F77B8A" w14:textId="5E7BD512"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4. Educational approach</w:t>
      </w:r>
    </w:p>
    <w:p w14:paraId="6F4B3459"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The session follows the experiential learning cycle as applied to clinical simulation: preparation, practice and guided reflection. There is a single standardised scenario lasting a fixed 20 minutes, run on a medium-fidelity manikin. No real patients are involved.</w:t>
      </w:r>
    </w:p>
    <w:p w14:paraId="332424A8"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The briefing is split into two parts, one on the environment and one on the scenario, and includes setting up the fiction contract. Reflection takes place in an interprofessional co-debriefing led by two facilitators from different professions, using the PEARLS model (</w:t>
      </w:r>
      <w:r>
        <w:rPr>
          <w:rFonts w:ascii="Arial" w:hAnsi="Arial" w:cs="Arial"/>
          <w:i/>
          <w:iCs/>
          <w:color w:val="000000" w:themeColor="text1"/>
        </w:rPr>
        <w:t>Promoting Excellence and Reflective Learning in Simulation</w:t>
      </w:r>
      <w:r>
        <w:rPr>
          <w:rFonts w:ascii="Arial" w:hAnsi="Arial" w:cs="Arial"/>
          <w:color w:val="000000" w:themeColor="text1"/>
        </w:rPr>
        <w:t>) and a script standardised in advance. PEARLS was chosen because it is a blended framework: learner self-assessment, focused facilitation and directive feedback sit within one structure, which helps facilitators and sites debrief in the same way.</w:t>
      </w:r>
    </w:p>
    <w:p w14:paraId="0C9F1148"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The activity is formative, not summative. Individual performance is not graded or reported to line managers, and facilitators’ notes are used only to inform the debriefing and the study’s anonymised data collection.</w:t>
      </w:r>
    </w:p>
    <w:p w14:paraId="4D66BF3D" w14:textId="77777777"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5. Resources</w:t>
      </w:r>
    </w:p>
    <w:p w14:paraId="79C356F5" w14:textId="77777777" w:rsidR="00090374" w:rsidRPr="00335E16" w:rsidRDefault="00000000">
      <w:pPr>
        <w:pStyle w:val="Ttulo2"/>
        <w:spacing w:before="260" w:after="140"/>
        <w:rPr>
          <w:rFonts w:ascii="Arial" w:hAnsi="Arial" w:cs="Arial"/>
          <w:b/>
          <w:bCs/>
          <w:color w:val="000000" w:themeColor="text1"/>
          <w:sz w:val="22"/>
          <w:szCs w:val="22"/>
        </w:rPr>
      </w:pPr>
      <w:r>
        <w:rPr>
          <w:rFonts w:ascii="Arial" w:hAnsi="Arial" w:cs="Arial"/>
          <w:b/>
          <w:bCs/>
          <w:color w:val="000000" w:themeColor="text1"/>
          <w:sz w:val="22"/>
          <w:szCs w:val="22"/>
        </w:rPr>
        <w:t>5.1. Staff</w:t>
      </w:r>
    </w:p>
    <w:p w14:paraId="55EBE000" w14:textId="4F1AD508"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Two facilitators, a nurse and an anaesthetist, both simulation instructors, who lead the briefing and the co-debriefing.</w:t>
      </w:r>
    </w:p>
    <w:p w14:paraId="54FD4886"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One simulation technician, who runs the manikin and the programmed vital signs.</w:t>
      </w:r>
    </w:p>
    <w:p w14:paraId="13D4256F" w14:textId="77777777" w:rsidR="00090374" w:rsidRPr="00335E16" w:rsidRDefault="00000000">
      <w:pPr>
        <w:pStyle w:val="Ttulo2"/>
        <w:spacing w:before="260" w:after="140"/>
        <w:rPr>
          <w:rFonts w:ascii="Arial" w:hAnsi="Arial" w:cs="Arial"/>
          <w:b/>
          <w:bCs/>
          <w:color w:val="000000" w:themeColor="text1"/>
          <w:sz w:val="22"/>
          <w:szCs w:val="22"/>
        </w:rPr>
      </w:pPr>
      <w:r>
        <w:rPr>
          <w:rFonts w:ascii="Arial" w:hAnsi="Arial" w:cs="Arial"/>
          <w:b/>
          <w:bCs/>
          <w:color w:val="000000" w:themeColor="text1"/>
          <w:sz w:val="22"/>
          <w:szCs w:val="22"/>
        </w:rPr>
        <w:t>5.2. Equipment</w:t>
      </w:r>
    </w:p>
    <w:p w14:paraId="4CACC440"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 xml:space="preserve">Medium-fidelity </w:t>
      </w:r>
      <w:proofErr w:type="spellStart"/>
      <w:r>
        <w:rPr>
          <w:rFonts w:ascii="Arial" w:hAnsi="Arial" w:cs="Arial"/>
          <w:i/>
          <w:iCs/>
          <w:color w:val="000000" w:themeColor="text1"/>
        </w:rPr>
        <w:t>Resusci</w:t>
      </w:r>
      <w:proofErr w:type="spellEnd"/>
      <w:r>
        <w:rPr>
          <w:rFonts w:ascii="Arial" w:hAnsi="Arial" w:cs="Arial"/>
          <w:i/>
          <w:iCs/>
          <w:color w:val="000000" w:themeColor="text1"/>
        </w:rPr>
        <w:t xml:space="preserve"> Anne</w:t>
      </w:r>
      <w:r>
        <w:rPr>
          <w:rFonts w:ascii="Arial" w:hAnsi="Arial" w:cs="Arial"/>
          <w:color w:val="000000" w:themeColor="text1"/>
        </w:rPr>
        <w:t xml:space="preserve"> manikin, operated with </w:t>
      </w:r>
      <w:proofErr w:type="spellStart"/>
      <w:r>
        <w:rPr>
          <w:rFonts w:ascii="Arial" w:hAnsi="Arial" w:cs="Arial"/>
          <w:i/>
          <w:iCs/>
          <w:color w:val="000000" w:themeColor="text1"/>
        </w:rPr>
        <w:t>SimPad</w:t>
      </w:r>
      <w:proofErr w:type="spellEnd"/>
      <w:r>
        <w:rPr>
          <w:rFonts w:ascii="Arial" w:hAnsi="Arial" w:cs="Arial"/>
          <w:i/>
          <w:iCs/>
          <w:color w:val="000000" w:themeColor="text1"/>
        </w:rPr>
        <w:t xml:space="preserve"> PLUS</w:t>
      </w:r>
      <w:r>
        <w:rPr>
          <w:rFonts w:ascii="Arial" w:hAnsi="Arial" w:cs="Arial"/>
          <w:color w:val="000000" w:themeColor="text1"/>
        </w:rPr>
        <w:t xml:space="preserve"> and the </w:t>
      </w:r>
      <w:proofErr w:type="spellStart"/>
      <w:r>
        <w:rPr>
          <w:rFonts w:ascii="Arial" w:hAnsi="Arial" w:cs="Arial"/>
          <w:i/>
          <w:iCs/>
          <w:color w:val="000000" w:themeColor="text1"/>
        </w:rPr>
        <w:t>SimSTART</w:t>
      </w:r>
      <w:proofErr w:type="spellEnd"/>
      <w:r>
        <w:rPr>
          <w:rFonts w:ascii="Arial" w:hAnsi="Arial" w:cs="Arial"/>
          <w:color w:val="000000" w:themeColor="text1"/>
        </w:rPr>
        <w:t xml:space="preserve"> patient monitor.</w:t>
      </w:r>
    </w:p>
    <w:p w14:paraId="1AF1BC8B"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Real, working clinical equipment: syringes, infusion pumps delivering real volumes, live oxygen, airway equipment and drugs.</w:t>
      </w:r>
    </w:p>
    <w:p w14:paraId="46DAEC8C"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20% lipid emulsion kit, defibrillator and resuscitation trolley, each kept where it normally is in that department.</w:t>
      </w:r>
    </w:p>
    <w:p w14:paraId="57B19EB5" w14:textId="77777777" w:rsidR="00090374" w:rsidRPr="00335E16" w:rsidRDefault="00000000">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Clinical handover cards, facilitators’ observation tools and the debriefing script.</w:t>
      </w:r>
    </w:p>
    <w:p w14:paraId="23706081" w14:textId="35337666" w:rsidR="00335E16" w:rsidRPr="00335E16" w:rsidRDefault="00000000" w:rsidP="00335E16">
      <w:pPr>
        <w:pStyle w:val="PargrafodaLista"/>
        <w:numPr>
          <w:ilvl w:val="0"/>
          <w:numId w:val="2"/>
        </w:numPr>
        <w:spacing w:after="80" w:line="300" w:lineRule="auto"/>
        <w:jc w:val="both"/>
        <w:rPr>
          <w:rFonts w:ascii="Arial" w:hAnsi="Arial" w:cs="Arial"/>
          <w:color w:val="000000" w:themeColor="text1"/>
        </w:rPr>
      </w:pPr>
      <w:r>
        <w:rPr>
          <w:rFonts w:ascii="Arial" w:hAnsi="Arial" w:cs="Arial"/>
          <w:color w:val="000000" w:themeColor="text1"/>
        </w:rPr>
        <w:t>Internet-enabled devices for completing the questionnaires, accessed through a link or QR code.</w:t>
      </w:r>
    </w:p>
    <w:p w14:paraId="42881505" w14:textId="77777777" w:rsidR="00335E16" w:rsidRPr="00335E16" w:rsidRDefault="00335E16" w:rsidP="00335E16">
      <w:pPr>
        <w:pStyle w:val="PargrafodaLista"/>
        <w:spacing w:after="80" w:line="300" w:lineRule="auto"/>
        <w:ind w:left="420"/>
        <w:jc w:val="both"/>
        <w:rPr>
          <w:rFonts w:ascii="Arial" w:hAnsi="Arial" w:cs="Arial"/>
          <w:color w:val="000000" w:themeColor="text1"/>
        </w:rPr>
      </w:pPr>
    </w:p>
    <w:p w14:paraId="180EEA55" w14:textId="799B431E" w:rsidR="001B76BE" w:rsidRPr="00335E16" w:rsidRDefault="00000000" w:rsidP="00335E16">
      <w:pPr>
        <w:spacing w:after="140" w:line="300" w:lineRule="auto"/>
        <w:jc w:val="both"/>
        <w:rPr>
          <w:rFonts w:ascii="Arial" w:hAnsi="Arial" w:cs="Arial"/>
          <w:color w:val="000000" w:themeColor="text1"/>
        </w:rPr>
      </w:pPr>
      <w:r>
        <w:rPr>
          <w:rFonts w:ascii="Arial" w:hAnsi="Arial" w:cs="Arial"/>
          <w:color w:val="000000" w:themeColor="text1"/>
        </w:rPr>
        <w:lastRenderedPageBreak/>
        <w:t xml:space="preserve">In the comparison arm, the SIMFMUP room is set up beforehand to reproduce the layout, equipment and physical organisation of the matching </w:t>
      </w:r>
      <w:r>
        <w:rPr>
          <w:rFonts w:ascii="Arial" w:hAnsi="Arial" w:cs="Arial"/>
          <w:i/>
          <w:iCs/>
          <w:color w:val="000000" w:themeColor="text1"/>
        </w:rPr>
        <w:t>in situ</w:t>
      </w:r>
      <w:r>
        <w:rPr>
          <w:rFonts w:ascii="Arial" w:hAnsi="Arial" w:cs="Arial"/>
          <w:color w:val="000000" w:themeColor="text1"/>
        </w:rPr>
        <w:t xml:space="preserve"> department. The clinical equipment is the same in both settings.</w:t>
      </w:r>
    </w:p>
    <w:p w14:paraId="55F87D03" w14:textId="5EFC81DD"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6. Session structure</w:t>
      </w:r>
    </w:p>
    <w:p w14:paraId="38E0C7D6"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The session runs in seven phases of fixed length, always in the same order. Standardising the timings is a requirement of the study design. If phase lengths varied, particularly for the briefing and the debriefing, those differences would be confounded with the effect of context and would weaken the causal inference the trial is designed to support.</w:t>
      </w:r>
    </w:p>
    <w:p w14:paraId="225F3E3A" w14:textId="77777777" w:rsidR="00090374" w:rsidRPr="00335E16" w:rsidRDefault="00000000" w:rsidP="00335E16">
      <w:pPr>
        <w:spacing w:before="120" w:after="100"/>
        <w:jc w:val="center"/>
        <w:rPr>
          <w:rFonts w:ascii="Arial" w:hAnsi="Arial" w:cs="Arial"/>
          <w:b/>
          <w:bCs/>
          <w:color w:val="000000" w:themeColor="text1"/>
        </w:rPr>
      </w:pPr>
      <w:r>
        <w:rPr>
          <w:rFonts w:ascii="Arial" w:hAnsi="Arial" w:cs="Arial"/>
          <w:b/>
          <w:bCs/>
          <w:color w:val="000000" w:themeColor="text1"/>
        </w:rPr>
        <w:t>Table 1. Session structure and timings.</w:t>
      </w:r>
    </w:p>
    <w:tbl>
      <w:tblPr>
        <w:tblStyle w:val="TabelacomGrelha"/>
        <w:tblW w:w="9026" w:type="dxa"/>
        <w:tblLook w:val="04A0" w:firstRow="1" w:lastRow="0" w:firstColumn="1" w:lastColumn="0" w:noHBand="0" w:noVBand="1"/>
      </w:tblPr>
      <w:tblGrid>
        <w:gridCol w:w="900"/>
        <w:gridCol w:w="2300"/>
        <w:gridCol w:w="5826"/>
      </w:tblGrid>
      <w:tr w:rsidR="00090374" w:rsidRPr="00335E16" w14:paraId="383BA0FB" w14:textId="77777777" w:rsidTr="00335E16">
        <w:tc>
          <w:tcPr>
            <w:tcW w:w="900" w:type="dxa"/>
          </w:tcPr>
          <w:p w14:paraId="3AE2F69C"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Time</w:t>
            </w:r>
          </w:p>
        </w:tc>
        <w:tc>
          <w:tcPr>
            <w:tcW w:w="2300" w:type="dxa"/>
          </w:tcPr>
          <w:p w14:paraId="301B99B6"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Phase</w:t>
            </w:r>
          </w:p>
        </w:tc>
        <w:tc>
          <w:tcPr>
            <w:tcW w:w="5826" w:type="dxa"/>
          </w:tcPr>
          <w:p w14:paraId="2DE4A932"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Content</w:t>
            </w:r>
          </w:p>
        </w:tc>
      </w:tr>
      <w:tr w:rsidR="00090374" w:rsidRPr="00335E16" w14:paraId="1BCA5F83" w14:textId="77777777" w:rsidTr="00335E16">
        <w:tc>
          <w:tcPr>
            <w:tcW w:w="900" w:type="dxa"/>
          </w:tcPr>
          <w:p w14:paraId="629B9167"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15 min</w:t>
            </w:r>
          </w:p>
        </w:tc>
        <w:tc>
          <w:tcPr>
            <w:tcW w:w="2300" w:type="dxa"/>
          </w:tcPr>
          <w:p w14:paraId="0525FC8E"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Faculty and technical team set-up</w:t>
            </w:r>
          </w:p>
        </w:tc>
        <w:tc>
          <w:tcPr>
            <w:tcW w:w="5826" w:type="dxa"/>
          </w:tcPr>
          <w:p w14:paraId="1D5688CA" w14:textId="2FC7573A"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Checking the scenario and the room, checking equipment and drugs, preparing the manikin, testing the programmed signs, agreeing facilitator roles and handing out observation tools. Participants are not present.</w:t>
            </w:r>
          </w:p>
        </w:tc>
      </w:tr>
      <w:tr w:rsidR="00090374" w:rsidRPr="00335E16" w14:paraId="6FB6C1AA" w14:textId="77777777" w:rsidTr="00335E16">
        <w:tc>
          <w:tcPr>
            <w:tcW w:w="900" w:type="dxa"/>
          </w:tcPr>
          <w:p w14:paraId="3DBEEBEC"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10 min</w:t>
            </w:r>
          </w:p>
        </w:tc>
        <w:tc>
          <w:tcPr>
            <w:tcW w:w="2300" w:type="dxa"/>
          </w:tcPr>
          <w:p w14:paraId="606D9393"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Arrival and welcome</w:t>
            </w:r>
          </w:p>
        </w:tc>
        <w:tc>
          <w:tcPr>
            <w:tcW w:w="5826" w:type="dxa"/>
          </w:tcPr>
          <w:p w14:paraId="66C35C3F" w14:textId="0D6A17FA"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Welcome, changing into theatre scrubs, scientific background to the project and presentation of the learning objectives.</w:t>
            </w:r>
          </w:p>
        </w:tc>
      </w:tr>
      <w:tr w:rsidR="00090374" w:rsidRPr="00335E16" w14:paraId="43FF266C" w14:textId="77777777" w:rsidTr="00335E16">
        <w:tc>
          <w:tcPr>
            <w:tcW w:w="900" w:type="dxa"/>
          </w:tcPr>
          <w:p w14:paraId="51307C5C"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30 min</w:t>
            </w:r>
          </w:p>
        </w:tc>
        <w:tc>
          <w:tcPr>
            <w:tcW w:w="2300" w:type="dxa"/>
          </w:tcPr>
          <w:p w14:paraId="4C1FBAF3" w14:textId="4B811CFC"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 xml:space="preserve">Pre-briefing </w:t>
            </w:r>
          </w:p>
        </w:tc>
        <w:tc>
          <w:tcPr>
            <w:tcW w:w="5826" w:type="dxa"/>
          </w:tcPr>
          <w:p w14:paraId="7853DAD5" w14:textId="3A26855F"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Introduction to clinical simulation, confirmation of eligibility criteria, Participant Information and Informed Consent, generation of the anonymisation code and completion of the pre-simulation questionnaires (RIPLS, ICCAS and knowledge questionnaire).</w:t>
            </w:r>
          </w:p>
        </w:tc>
      </w:tr>
      <w:tr w:rsidR="00090374" w:rsidRPr="00335E16" w14:paraId="4F11FE16" w14:textId="77777777" w:rsidTr="00335E16">
        <w:tc>
          <w:tcPr>
            <w:tcW w:w="900" w:type="dxa"/>
          </w:tcPr>
          <w:p w14:paraId="2E71DF9E"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30 min</w:t>
            </w:r>
          </w:p>
        </w:tc>
        <w:tc>
          <w:tcPr>
            <w:tcW w:w="2300" w:type="dxa"/>
          </w:tcPr>
          <w:p w14:paraId="619C76D4"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Environment and scenario briefing</w:t>
            </w:r>
          </w:p>
        </w:tc>
        <w:tc>
          <w:tcPr>
            <w:tcW w:w="5826" w:type="dxa"/>
          </w:tcPr>
          <w:p w14:paraId="4A879954" w14:textId="72D76626"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Familiarisation with the room, equipment and drugs, safety rules and what the manikin can do; clinical background to the case, issue of the handover cards and allocation of roles.</w:t>
            </w:r>
          </w:p>
        </w:tc>
      </w:tr>
      <w:tr w:rsidR="00090374" w:rsidRPr="00335E16" w14:paraId="4C20BE96" w14:textId="77777777" w:rsidTr="00335E16">
        <w:tc>
          <w:tcPr>
            <w:tcW w:w="900" w:type="dxa"/>
          </w:tcPr>
          <w:p w14:paraId="004D7247"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20 min</w:t>
            </w:r>
          </w:p>
        </w:tc>
        <w:tc>
          <w:tcPr>
            <w:tcW w:w="2300" w:type="dxa"/>
          </w:tcPr>
          <w:p w14:paraId="3625D0EE"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LAST simulation scenario</w:t>
            </w:r>
          </w:p>
        </w:tc>
        <w:tc>
          <w:tcPr>
            <w:tcW w:w="5826" w:type="dxa"/>
          </w:tcPr>
          <w:p w14:paraId="63CD0AB5" w14:textId="4C76BB70"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The team runs the scenario while the facilitators observe directly and record their observations in a structured way.</w:t>
            </w:r>
          </w:p>
        </w:tc>
      </w:tr>
      <w:tr w:rsidR="00090374" w:rsidRPr="00335E16" w14:paraId="7BF65F1C" w14:textId="77777777" w:rsidTr="00335E16">
        <w:tc>
          <w:tcPr>
            <w:tcW w:w="900" w:type="dxa"/>
          </w:tcPr>
          <w:p w14:paraId="1F3C4B7F"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40 min</w:t>
            </w:r>
          </w:p>
        </w:tc>
        <w:tc>
          <w:tcPr>
            <w:tcW w:w="2300" w:type="dxa"/>
          </w:tcPr>
          <w:p w14:paraId="67291A28"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Structured debriefing</w:t>
            </w:r>
          </w:p>
        </w:tc>
        <w:tc>
          <w:tcPr>
            <w:tcW w:w="5826" w:type="dxa"/>
          </w:tcPr>
          <w:p w14:paraId="2EDD5443" w14:textId="0201864B"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Guided reflection using the PEARLS model, as an interprofessional co-debriefing following the standardised script.</w:t>
            </w:r>
          </w:p>
        </w:tc>
      </w:tr>
      <w:tr w:rsidR="00090374" w:rsidRPr="00335E16" w14:paraId="316A7C7F" w14:textId="77777777" w:rsidTr="00335E16">
        <w:tc>
          <w:tcPr>
            <w:tcW w:w="900" w:type="dxa"/>
          </w:tcPr>
          <w:p w14:paraId="35ABAE08"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35 min</w:t>
            </w:r>
          </w:p>
        </w:tc>
        <w:tc>
          <w:tcPr>
            <w:tcW w:w="2300" w:type="dxa"/>
          </w:tcPr>
          <w:p w14:paraId="1640424C"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Post-simulation evaluation and close</w:t>
            </w:r>
          </w:p>
        </w:tc>
        <w:tc>
          <w:tcPr>
            <w:tcW w:w="5826" w:type="dxa"/>
          </w:tcPr>
          <w:p w14:paraId="3A3C2BD6" w14:textId="0F898D1E"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Completion of the demographic questionnaire, SET-M, post-simulation ICCAS, SDS, DASH (student version) and the final knowledge questionnaire; confidentiality agreement, thanks and time for questions.</w:t>
            </w:r>
          </w:p>
        </w:tc>
      </w:tr>
      <w:tr w:rsidR="00090374" w:rsidRPr="00335E16" w14:paraId="0D133BF9" w14:textId="77777777" w:rsidTr="00335E16">
        <w:tc>
          <w:tcPr>
            <w:tcW w:w="900" w:type="dxa"/>
          </w:tcPr>
          <w:p w14:paraId="5D36E01D" w14:textId="77777777" w:rsidR="00090374" w:rsidRPr="00335E16" w:rsidRDefault="00000000">
            <w:pPr>
              <w:spacing w:before="40" w:after="40" w:line="260" w:lineRule="auto"/>
              <w:jc w:val="center"/>
              <w:rPr>
                <w:rFonts w:ascii="Arial" w:hAnsi="Arial" w:cs="Arial"/>
                <w:color w:val="000000" w:themeColor="text1"/>
              </w:rPr>
            </w:pPr>
            <w:r>
              <w:rPr>
                <w:rFonts w:ascii="Arial" w:hAnsi="Arial" w:cs="Arial"/>
                <w:color w:val="000000" w:themeColor="text1"/>
              </w:rPr>
              <w:t>180 min</w:t>
            </w:r>
          </w:p>
        </w:tc>
        <w:tc>
          <w:tcPr>
            <w:tcW w:w="2300" w:type="dxa"/>
          </w:tcPr>
          <w:p w14:paraId="1D40996B"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Total</w:t>
            </w:r>
          </w:p>
        </w:tc>
        <w:tc>
          <w:tcPr>
            <w:tcW w:w="5826" w:type="dxa"/>
          </w:tcPr>
          <w:p w14:paraId="524A7264"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Three hours</w:t>
            </w:r>
          </w:p>
        </w:tc>
      </w:tr>
    </w:tbl>
    <w:p w14:paraId="35F08A89" w14:textId="77777777" w:rsidR="00090374" w:rsidRPr="00335E16" w:rsidRDefault="00090374">
      <w:pPr>
        <w:spacing w:after="100"/>
        <w:rPr>
          <w:rFonts w:ascii="Arial" w:hAnsi="Arial" w:cs="Arial"/>
          <w:color w:val="000000" w:themeColor="text1"/>
        </w:rPr>
      </w:pPr>
    </w:p>
    <w:p w14:paraId="67FF83C2" w14:textId="77777777"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7. Description of each phase</w:t>
      </w:r>
    </w:p>
    <w:p w14:paraId="506E8916" w14:textId="77777777" w:rsidR="00090374" w:rsidRPr="00335E16" w:rsidRDefault="00000000">
      <w:pPr>
        <w:spacing w:after="140" w:line="300" w:lineRule="auto"/>
        <w:jc w:val="both"/>
        <w:rPr>
          <w:rFonts w:ascii="Arial" w:hAnsi="Arial" w:cs="Arial"/>
          <w:color w:val="000000" w:themeColor="text1"/>
        </w:rPr>
      </w:pPr>
      <w:r>
        <w:rPr>
          <w:rFonts w:ascii="Arial" w:hAnsi="Arial" w:cs="Arial"/>
          <w:b/>
          <w:bCs/>
          <w:color w:val="000000" w:themeColor="text1"/>
        </w:rPr>
        <w:t>Faculty and technical team set-up (15 minutes).</w:t>
      </w:r>
      <w:r>
        <w:rPr>
          <w:rFonts w:ascii="Arial" w:hAnsi="Arial" w:cs="Arial"/>
          <w:color w:val="000000" w:themeColor="text1"/>
        </w:rPr>
        <w:t xml:space="preserve"> Before participants arrive, the team checks the scenario and the layout of the room, checks equipment and drugs, prepares the manikin, </w:t>
      </w:r>
      <w:r>
        <w:rPr>
          <w:rFonts w:ascii="Arial" w:hAnsi="Arial" w:cs="Arial"/>
          <w:color w:val="000000" w:themeColor="text1"/>
        </w:rPr>
        <w:lastRenderedPageBreak/>
        <w:t>tests the programmed vital signs, agrees each facilitator’s role and hands out the observation tools (Appendix 8). Participants are not present at any point in this phase.</w:t>
      </w:r>
    </w:p>
    <w:p w14:paraId="3B8DE224" w14:textId="77777777" w:rsidR="00090374" w:rsidRPr="00335E16" w:rsidRDefault="00000000">
      <w:pPr>
        <w:spacing w:after="140" w:line="300" w:lineRule="auto"/>
        <w:jc w:val="both"/>
        <w:rPr>
          <w:rFonts w:ascii="Arial" w:hAnsi="Arial" w:cs="Arial"/>
          <w:color w:val="000000" w:themeColor="text1"/>
        </w:rPr>
      </w:pPr>
      <w:r>
        <w:rPr>
          <w:rFonts w:ascii="Arial" w:hAnsi="Arial" w:cs="Arial"/>
          <w:b/>
          <w:bCs/>
          <w:color w:val="000000" w:themeColor="text1"/>
        </w:rPr>
        <w:t>Arrival and welcome (10 minutes).</w:t>
      </w:r>
      <w:r>
        <w:rPr>
          <w:rFonts w:ascii="Arial" w:hAnsi="Arial" w:cs="Arial"/>
          <w:color w:val="000000" w:themeColor="text1"/>
        </w:rPr>
        <w:t xml:space="preserve"> Participants are welcomed and change into theatre scrubs. At BO-ULSM and UPA-ULSSJ they use their own department’s changing rooms. At SIMFMUP they are met at the entrance to the Faculty of Medicine and taken to a room where they can leave their belongings safely and put on disposable scrubs, a theatre cap, a surgical mask and overshoes. This is followed by the scientific background to the project and the learning objectives.</w:t>
      </w:r>
    </w:p>
    <w:p w14:paraId="4D294E0D" w14:textId="5BE248F5" w:rsidR="00090374" w:rsidRPr="00335E16" w:rsidRDefault="00000000">
      <w:pPr>
        <w:spacing w:after="140" w:line="300" w:lineRule="auto"/>
        <w:jc w:val="both"/>
        <w:rPr>
          <w:rFonts w:ascii="Arial" w:hAnsi="Arial" w:cs="Arial"/>
          <w:color w:val="000000" w:themeColor="text1"/>
        </w:rPr>
      </w:pPr>
      <w:r>
        <w:rPr>
          <w:rFonts w:ascii="Arial" w:hAnsi="Arial" w:cs="Arial"/>
          <w:b/>
          <w:bCs/>
          <w:color w:val="000000" w:themeColor="text1"/>
        </w:rPr>
        <w:t>Pre-briefing and pre-simulation questionnaires (30 minutes).</w:t>
      </w:r>
      <w:r>
        <w:rPr>
          <w:rFonts w:ascii="Arial" w:hAnsi="Arial" w:cs="Arial"/>
          <w:color w:val="000000" w:themeColor="text1"/>
        </w:rPr>
        <w:t xml:space="preserve"> The facilitators introduce clinical simulation as an educational method and confirm the eligibility criteria. Participants receive the Participant Information sheet and give free, informed consent, and each is given a copy. Each participant then generates their own alphanumeric anonymisation code, known only to them, together with the session code. The facilitators explain the educational aim, the non-assessed nature of the activity, the confidentiality rules, each person’s role and the structure of the session. This part is deliberately used to establish a safe container. The phase ends with the pre-simulation questionnaires: RIPLS, ICCAS and the knowledge questionnaire.</w:t>
      </w:r>
    </w:p>
    <w:p w14:paraId="44A433CC" w14:textId="77777777" w:rsidR="00090374" w:rsidRPr="00335E16" w:rsidRDefault="00000000">
      <w:pPr>
        <w:spacing w:after="140" w:line="300" w:lineRule="auto"/>
        <w:jc w:val="both"/>
        <w:rPr>
          <w:rFonts w:ascii="Arial" w:hAnsi="Arial" w:cs="Arial"/>
          <w:color w:val="000000" w:themeColor="text1"/>
        </w:rPr>
      </w:pPr>
      <w:r>
        <w:rPr>
          <w:rFonts w:ascii="Arial" w:hAnsi="Arial" w:cs="Arial"/>
          <w:b/>
          <w:bCs/>
          <w:color w:val="000000" w:themeColor="text1"/>
        </w:rPr>
        <w:t>Environment and scenario briefing (30 minutes).</w:t>
      </w:r>
      <w:r>
        <w:rPr>
          <w:rFonts w:ascii="Arial" w:hAnsi="Arial" w:cs="Arial"/>
          <w:color w:val="000000" w:themeColor="text1"/>
        </w:rPr>
        <w:t xml:space="preserve"> Participants familiarise themselves with the room where the simulation takes place and with the equipment and drugs available. They are told what the manikin can and cannot do and what the safety rules are, and they are encouraged to explore the space. The clinical background to the case follows: the clinical handover cards are handed out, the facilitators check that the information has been retained, and roles are allocated. The help team (an anaesthetist and an anaesthetic nurse) stays out of this part, as would happen in real practice, so that the call for help stays realistic.</w:t>
      </w:r>
    </w:p>
    <w:p w14:paraId="6A63E23D" w14:textId="0BF44723" w:rsidR="00090374" w:rsidRPr="00335E16" w:rsidRDefault="00000000">
      <w:pPr>
        <w:spacing w:after="140" w:line="300" w:lineRule="auto"/>
        <w:jc w:val="both"/>
        <w:rPr>
          <w:rFonts w:ascii="Arial" w:hAnsi="Arial" w:cs="Arial"/>
          <w:color w:val="000000" w:themeColor="text1"/>
        </w:rPr>
      </w:pPr>
      <w:r>
        <w:rPr>
          <w:rFonts w:ascii="Arial" w:hAnsi="Arial" w:cs="Arial"/>
          <w:b/>
          <w:bCs/>
          <w:color w:val="000000" w:themeColor="text1"/>
        </w:rPr>
        <w:t>Simulation scenario (20 minutes).</w:t>
      </w:r>
      <w:r>
        <w:rPr>
          <w:rFonts w:ascii="Arial" w:hAnsi="Arial" w:cs="Arial"/>
          <w:color w:val="000000" w:themeColor="text1"/>
        </w:rPr>
        <w:t xml:space="preserve"> The team runs the LAST scenario. The facilitators observe without intervening and record their observations on the observation tool, while the simulation technician runs the manikin and changes the vital signs according to the script.</w:t>
      </w:r>
    </w:p>
    <w:p w14:paraId="14EB22CB" w14:textId="77777777" w:rsidR="00090374" w:rsidRPr="00335E16" w:rsidRDefault="00000000">
      <w:pPr>
        <w:spacing w:after="140" w:line="300" w:lineRule="auto"/>
        <w:jc w:val="both"/>
        <w:rPr>
          <w:rFonts w:ascii="Arial" w:hAnsi="Arial" w:cs="Arial"/>
          <w:color w:val="000000" w:themeColor="text1"/>
        </w:rPr>
      </w:pPr>
      <w:r>
        <w:rPr>
          <w:rFonts w:ascii="Arial" w:hAnsi="Arial" w:cs="Arial"/>
          <w:b/>
          <w:bCs/>
          <w:color w:val="000000" w:themeColor="text1"/>
        </w:rPr>
        <w:t>Debriefing (40 minutes).</w:t>
      </w:r>
      <w:r>
        <w:rPr>
          <w:rFonts w:ascii="Arial" w:hAnsi="Arial" w:cs="Arial"/>
          <w:color w:val="000000" w:themeColor="text1"/>
        </w:rPr>
        <w:t xml:space="preserve"> Guided reflection follows the PEARLS model, as an interprofessional co-debriefing using the standardised script (Appendix 9). It moves through immediate reactions, a shared description of the case, analysis of the decisions made and of how the team worked, and a summary focused on transfer to clinical practice. The script includes a section dedicated to the HCA’s operational role during the crisis.</w:t>
      </w:r>
    </w:p>
    <w:p w14:paraId="1BA2770D" w14:textId="1C6A847F" w:rsidR="00090374" w:rsidRPr="00335E16" w:rsidRDefault="00335E16">
      <w:pPr>
        <w:spacing w:after="140" w:line="300" w:lineRule="auto"/>
        <w:jc w:val="both"/>
        <w:rPr>
          <w:rFonts w:ascii="Arial" w:hAnsi="Arial" w:cs="Arial"/>
          <w:color w:val="000000" w:themeColor="text1"/>
        </w:rPr>
      </w:pPr>
      <w:r>
        <w:rPr>
          <w:rFonts w:ascii="Arial" w:hAnsi="Arial" w:cs="Arial"/>
          <w:b/>
          <w:bCs/>
          <w:color w:val="000000" w:themeColor="text1"/>
        </w:rPr>
        <w:t>Post-simulation questionnaires and close (35 minutes).</w:t>
      </w:r>
      <w:r>
        <w:rPr>
          <w:rFonts w:ascii="Arial" w:hAnsi="Arial" w:cs="Arial"/>
          <w:color w:val="000000" w:themeColor="text1"/>
        </w:rPr>
        <w:t xml:space="preserve"> Participants complete the demographic questionnaire, the SET-M, the post-simulation ICCAS, the SDS, the DASH (student version) and the final knowledge questionnaire. The session closes with a confidentiality agreement covering the clinical and logistical content of the scenario, thanks to the participants and time for any remaining questions.</w:t>
      </w:r>
    </w:p>
    <w:p w14:paraId="42BDF521" w14:textId="2084CA8D" w:rsidR="00090374" w:rsidRPr="00335E16"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 xml:space="preserve">8. Data collection </w:t>
      </w:r>
    </w:p>
    <w:p w14:paraId="0C71D0CD" w14:textId="77777777"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 xml:space="preserve">Eligibility checks, generation of anonymisation codes and completion of all data collection instruments are done electronically on the </w:t>
      </w:r>
      <w:r>
        <w:rPr>
          <w:rFonts w:ascii="Arial" w:hAnsi="Arial" w:cs="Arial"/>
          <w:i/>
          <w:iCs/>
          <w:color w:val="000000" w:themeColor="text1"/>
        </w:rPr>
        <w:t>Cognito Forms</w:t>
      </w:r>
      <w:r>
        <w:rPr>
          <w:rFonts w:ascii="Arial" w:hAnsi="Arial" w:cs="Arial"/>
          <w:color w:val="000000" w:themeColor="text1"/>
        </w:rPr>
        <w:t xml:space="preserve"> platform, accessed through a link </w:t>
      </w:r>
      <w:r>
        <w:rPr>
          <w:rFonts w:ascii="Arial" w:hAnsi="Arial" w:cs="Arial"/>
          <w:color w:val="000000" w:themeColor="text1"/>
        </w:rPr>
        <w:lastRenderedPageBreak/>
        <w:t>or QR code. Pre- and post-session data are matched using the alphanumeric code each participant generates, without recording names.</w:t>
      </w:r>
    </w:p>
    <w:p w14:paraId="3789920F" w14:textId="77777777" w:rsidR="001B76BE" w:rsidRPr="00335E16" w:rsidRDefault="001B76BE">
      <w:pPr>
        <w:spacing w:before="120" w:after="100"/>
        <w:rPr>
          <w:rFonts w:ascii="Arial" w:hAnsi="Arial" w:cs="Arial"/>
          <w:color w:val="000000" w:themeColor="text1"/>
        </w:rPr>
      </w:pPr>
    </w:p>
    <w:p w14:paraId="05640BD6" w14:textId="0F4079B3" w:rsidR="00090374" w:rsidRPr="005A44E8" w:rsidRDefault="00000000" w:rsidP="005A44E8">
      <w:pPr>
        <w:spacing w:before="120" w:after="100"/>
        <w:jc w:val="center"/>
        <w:rPr>
          <w:rFonts w:ascii="Arial" w:hAnsi="Arial" w:cs="Arial"/>
          <w:b/>
          <w:bCs/>
          <w:color w:val="000000" w:themeColor="text1"/>
        </w:rPr>
      </w:pPr>
      <w:r>
        <w:rPr>
          <w:rFonts w:ascii="Arial" w:hAnsi="Arial" w:cs="Arial"/>
          <w:b/>
          <w:bCs/>
          <w:color w:val="000000" w:themeColor="text1"/>
        </w:rPr>
        <w:t>Table 2. Instruments used and when they are administered.</w:t>
      </w:r>
    </w:p>
    <w:tbl>
      <w:tblPr>
        <w:tblStyle w:val="TabelacomGrelha"/>
        <w:tblW w:w="9026" w:type="dxa"/>
        <w:tblLook w:val="04A0" w:firstRow="1" w:lastRow="0" w:firstColumn="1" w:lastColumn="0" w:noHBand="0" w:noVBand="1"/>
      </w:tblPr>
      <w:tblGrid>
        <w:gridCol w:w="2100"/>
        <w:gridCol w:w="1500"/>
        <w:gridCol w:w="5426"/>
      </w:tblGrid>
      <w:tr w:rsidR="00090374" w:rsidRPr="00335E16" w14:paraId="7E661F4F" w14:textId="77777777" w:rsidTr="00585846">
        <w:tc>
          <w:tcPr>
            <w:tcW w:w="2100" w:type="dxa"/>
          </w:tcPr>
          <w:p w14:paraId="6A26CF88"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Instrument</w:t>
            </w:r>
          </w:p>
        </w:tc>
        <w:tc>
          <w:tcPr>
            <w:tcW w:w="1500" w:type="dxa"/>
          </w:tcPr>
          <w:p w14:paraId="6DF4767C"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Timing</w:t>
            </w:r>
          </w:p>
        </w:tc>
        <w:tc>
          <w:tcPr>
            <w:tcW w:w="5426" w:type="dxa"/>
          </w:tcPr>
          <w:p w14:paraId="56726A55"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Purpose</w:t>
            </w:r>
          </w:p>
        </w:tc>
      </w:tr>
      <w:tr w:rsidR="00090374" w:rsidRPr="00335E16" w14:paraId="5FEA8D63" w14:textId="77777777" w:rsidTr="00585846">
        <w:tc>
          <w:tcPr>
            <w:tcW w:w="2100" w:type="dxa"/>
          </w:tcPr>
          <w:p w14:paraId="2ECC1123"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Knowledge questionnaire (LAST)</w:t>
            </w:r>
          </w:p>
        </w:tc>
        <w:tc>
          <w:tcPr>
            <w:tcW w:w="1500" w:type="dxa"/>
          </w:tcPr>
          <w:p w14:paraId="65BA33B8"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Pre and post</w:t>
            </w:r>
          </w:p>
        </w:tc>
        <w:tc>
          <w:tcPr>
            <w:tcW w:w="5426" w:type="dxa"/>
          </w:tcPr>
          <w:p w14:paraId="335F090A"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Knowledge of how to recognise and manage LAST, and the gain attributable to the session</w:t>
            </w:r>
          </w:p>
        </w:tc>
      </w:tr>
      <w:tr w:rsidR="00090374" w:rsidRPr="00335E16" w14:paraId="51028E5A" w14:textId="77777777" w:rsidTr="00585846">
        <w:tc>
          <w:tcPr>
            <w:tcW w:w="2100" w:type="dxa"/>
          </w:tcPr>
          <w:p w14:paraId="443EF71E"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RIPLS</w:t>
            </w:r>
          </w:p>
        </w:tc>
        <w:tc>
          <w:tcPr>
            <w:tcW w:w="1500" w:type="dxa"/>
          </w:tcPr>
          <w:p w14:paraId="3E9AFFCF"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Pre</w:t>
            </w:r>
          </w:p>
        </w:tc>
        <w:tc>
          <w:tcPr>
            <w:tcW w:w="5426" w:type="dxa"/>
          </w:tcPr>
          <w:p w14:paraId="5B546DBB"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Baseline attitudes and readiness for interprofessional learning</w:t>
            </w:r>
          </w:p>
        </w:tc>
      </w:tr>
      <w:tr w:rsidR="00090374" w:rsidRPr="00335E16" w14:paraId="42A2DC9E" w14:textId="77777777" w:rsidTr="00585846">
        <w:tc>
          <w:tcPr>
            <w:tcW w:w="2100" w:type="dxa"/>
          </w:tcPr>
          <w:p w14:paraId="6A1BF05A"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ICCAS</w:t>
            </w:r>
          </w:p>
        </w:tc>
        <w:tc>
          <w:tcPr>
            <w:tcW w:w="1500" w:type="dxa"/>
          </w:tcPr>
          <w:p w14:paraId="4CE0AED8"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Pre and post</w:t>
            </w:r>
          </w:p>
        </w:tc>
        <w:tc>
          <w:tcPr>
            <w:tcW w:w="5426" w:type="dxa"/>
          </w:tcPr>
          <w:p w14:paraId="62A081DD"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Self-perceived acquisition of interprofessional collaboration competencies</w:t>
            </w:r>
          </w:p>
        </w:tc>
      </w:tr>
      <w:tr w:rsidR="00090374" w:rsidRPr="00335E16" w14:paraId="55DB2E98" w14:textId="77777777" w:rsidTr="00585846">
        <w:tc>
          <w:tcPr>
            <w:tcW w:w="2100" w:type="dxa"/>
          </w:tcPr>
          <w:p w14:paraId="7CF6715C"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Demographic questionnaire</w:t>
            </w:r>
          </w:p>
        </w:tc>
        <w:tc>
          <w:tcPr>
            <w:tcW w:w="1500" w:type="dxa"/>
          </w:tcPr>
          <w:p w14:paraId="1567E011"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Post</w:t>
            </w:r>
          </w:p>
        </w:tc>
        <w:tc>
          <w:tcPr>
            <w:tcW w:w="5426" w:type="dxa"/>
          </w:tcPr>
          <w:p w14:paraId="4D0BB994"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Sociodemographic and professional profile of the sample</w:t>
            </w:r>
          </w:p>
        </w:tc>
      </w:tr>
      <w:tr w:rsidR="00090374" w:rsidRPr="00335E16" w14:paraId="7F15D43C" w14:textId="77777777" w:rsidTr="00585846">
        <w:tc>
          <w:tcPr>
            <w:tcW w:w="2100" w:type="dxa"/>
          </w:tcPr>
          <w:p w14:paraId="5497502A"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SET-M</w:t>
            </w:r>
          </w:p>
        </w:tc>
        <w:tc>
          <w:tcPr>
            <w:tcW w:w="1500" w:type="dxa"/>
          </w:tcPr>
          <w:p w14:paraId="4BEB3805"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Post</w:t>
            </w:r>
          </w:p>
        </w:tc>
        <w:tc>
          <w:tcPr>
            <w:tcW w:w="5426" w:type="dxa"/>
          </w:tcPr>
          <w:p w14:paraId="19D0ECB6"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Perceived effectiveness of simulation as a learning strategy</w:t>
            </w:r>
          </w:p>
        </w:tc>
      </w:tr>
      <w:tr w:rsidR="00090374" w:rsidRPr="00335E16" w14:paraId="615C379A" w14:textId="77777777" w:rsidTr="00585846">
        <w:tc>
          <w:tcPr>
            <w:tcW w:w="2100" w:type="dxa"/>
          </w:tcPr>
          <w:p w14:paraId="037C0500"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SDS</w:t>
            </w:r>
          </w:p>
        </w:tc>
        <w:tc>
          <w:tcPr>
            <w:tcW w:w="1500" w:type="dxa"/>
          </w:tcPr>
          <w:p w14:paraId="47D88693"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Post</w:t>
            </w:r>
          </w:p>
        </w:tc>
        <w:tc>
          <w:tcPr>
            <w:tcW w:w="5426" w:type="dxa"/>
          </w:tcPr>
          <w:p w14:paraId="58AF8A5F"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Perceived quality of the scenario design, including fidelity and realism</w:t>
            </w:r>
          </w:p>
        </w:tc>
      </w:tr>
      <w:tr w:rsidR="00090374" w:rsidRPr="00335E16" w14:paraId="1D421C7D" w14:textId="77777777" w:rsidTr="00585846">
        <w:tc>
          <w:tcPr>
            <w:tcW w:w="2100" w:type="dxa"/>
          </w:tcPr>
          <w:p w14:paraId="29CDE7A9"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DASH (student version)</w:t>
            </w:r>
          </w:p>
        </w:tc>
        <w:tc>
          <w:tcPr>
            <w:tcW w:w="1500" w:type="dxa"/>
          </w:tcPr>
          <w:p w14:paraId="5B3D1AA1"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Post</w:t>
            </w:r>
          </w:p>
        </w:tc>
        <w:tc>
          <w:tcPr>
            <w:tcW w:w="5426" w:type="dxa"/>
          </w:tcPr>
          <w:p w14:paraId="52338354" w14:textId="77777777" w:rsidR="00090374" w:rsidRPr="00335E16" w:rsidRDefault="00000000">
            <w:pPr>
              <w:spacing w:before="40" w:after="40" w:line="260" w:lineRule="auto"/>
              <w:rPr>
                <w:rFonts w:ascii="Arial" w:hAnsi="Arial" w:cs="Arial"/>
                <w:color w:val="000000" w:themeColor="text1"/>
              </w:rPr>
            </w:pPr>
            <w:r>
              <w:rPr>
                <w:rFonts w:ascii="Arial" w:hAnsi="Arial" w:cs="Arial"/>
                <w:color w:val="000000" w:themeColor="text1"/>
              </w:rPr>
              <w:t>Quality of facilitation and of how the debriefing was led</w:t>
            </w:r>
          </w:p>
        </w:tc>
      </w:tr>
    </w:tbl>
    <w:p w14:paraId="0C4B9B44" w14:textId="77777777" w:rsidR="00090374" w:rsidRPr="00335E16" w:rsidRDefault="00090374">
      <w:pPr>
        <w:spacing w:after="100"/>
        <w:rPr>
          <w:rFonts w:ascii="Arial" w:hAnsi="Arial" w:cs="Arial"/>
          <w:color w:val="000000" w:themeColor="text1"/>
        </w:rPr>
      </w:pPr>
    </w:p>
    <w:p w14:paraId="4B90277D" w14:textId="77777777" w:rsidR="00090374" w:rsidRDefault="00000000">
      <w:pPr>
        <w:spacing w:after="140" w:line="300" w:lineRule="auto"/>
        <w:jc w:val="both"/>
        <w:rPr>
          <w:rFonts w:ascii="Arial" w:hAnsi="Arial" w:cs="Arial"/>
          <w:color w:val="000000" w:themeColor="text1"/>
        </w:rPr>
      </w:pPr>
      <w:r>
        <w:rPr>
          <w:rFonts w:ascii="Arial" w:hAnsi="Arial" w:cs="Arial"/>
          <w:color w:val="000000" w:themeColor="text1"/>
        </w:rPr>
        <w:t>Electronic completion ran without technical problems and did not affect the time set for any phase.</w:t>
      </w:r>
    </w:p>
    <w:p w14:paraId="43FC4128" w14:textId="77777777" w:rsidR="004F79AD" w:rsidRDefault="004F79AD">
      <w:pPr>
        <w:spacing w:after="140" w:line="300" w:lineRule="auto"/>
        <w:jc w:val="both"/>
        <w:rPr>
          <w:rFonts w:ascii="Arial" w:hAnsi="Arial" w:cs="Arial"/>
          <w:color w:val="000000" w:themeColor="text1"/>
        </w:rPr>
      </w:pPr>
    </w:p>
    <w:p w14:paraId="5A2382C4" w14:textId="77777777" w:rsidR="004F79AD" w:rsidRPr="00335E16" w:rsidRDefault="004F79AD">
      <w:pPr>
        <w:spacing w:after="140" w:line="300" w:lineRule="auto"/>
        <w:jc w:val="both"/>
        <w:rPr>
          <w:rFonts w:ascii="Arial" w:hAnsi="Arial" w:cs="Arial"/>
          <w:color w:val="000000" w:themeColor="text1"/>
        </w:rPr>
      </w:pPr>
    </w:p>
    <w:p w14:paraId="7447D18E" w14:textId="77777777" w:rsidR="00090374" w:rsidRPr="005A44E8"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9. Psychological safety and confidentiality</w:t>
      </w:r>
    </w:p>
    <w:p w14:paraId="4C634BF1" w14:textId="56CBCA3E" w:rsidR="00090374" w:rsidRPr="00335E16" w:rsidRDefault="00000000">
      <w:pPr>
        <w:spacing w:after="140" w:line="300" w:lineRule="auto"/>
        <w:jc w:val="both"/>
        <w:rPr>
          <w:rFonts w:ascii="Arial" w:hAnsi="Arial" w:cs="Arial"/>
          <w:color w:val="000000" w:themeColor="text1"/>
        </w:rPr>
      </w:pPr>
      <w:r>
        <w:rPr>
          <w:rFonts w:ascii="Arial" w:hAnsi="Arial" w:cs="Arial"/>
          <w:color w:val="000000" w:themeColor="text1"/>
        </w:rPr>
        <w:t>Psychological safety is built from the first contact with the teams and reinforced in the pre-briefing through the fiction contract and by making clear that the activity is not assessed. No individual’s performance is graded, reported to line managers or linked to any professional consequence. Participation is voluntary, with no financial incentive and no pressure from seniors. At the end of each session, participants are asked to agree to keep the clinical and logistical content of the scenario confidential. This reduces the risk of information passing between colleagues in the same department, which would lead to anticipation bias in later groups.</w:t>
      </w:r>
    </w:p>
    <w:p w14:paraId="18653B91" w14:textId="77777777" w:rsidR="00090374" w:rsidRPr="005A44E8"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10. Supporting documents</w:t>
      </w:r>
    </w:p>
    <w:tbl>
      <w:tblPr>
        <w:tblStyle w:val="TabelacomGrelha"/>
        <w:tblW w:w="8926" w:type="dxa"/>
        <w:tblLook w:val="04A0" w:firstRow="1" w:lastRow="0" w:firstColumn="1" w:lastColumn="0" w:noHBand="0" w:noVBand="1"/>
      </w:tblPr>
      <w:tblGrid>
        <w:gridCol w:w="8926"/>
      </w:tblGrid>
      <w:tr w:rsidR="005A44E8" w:rsidRPr="00335E16" w14:paraId="0914060E" w14:textId="77777777" w:rsidTr="005A44E8">
        <w:tc>
          <w:tcPr>
            <w:tcW w:w="8926" w:type="dxa"/>
          </w:tcPr>
          <w:p w14:paraId="7B7D1824" w14:textId="77777777" w:rsidR="005A44E8" w:rsidRPr="005A44E8" w:rsidRDefault="005A44E8">
            <w:pPr>
              <w:spacing w:before="40" w:after="40" w:line="260" w:lineRule="auto"/>
              <w:rPr>
                <w:rFonts w:ascii="Arial" w:hAnsi="Arial" w:cs="Arial"/>
                <w:b/>
                <w:bCs/>
                <w:color w:val="000000" w:themeColor="text1"/>
              </w:rPr>
            </w:pPr>
            <w:r>
              <w:rPr>
                <w:rFonts w:ascii="Arial" w:hAnsi="Arial" w:cs="Arial"/>
                <w:b/>
                <w:bCs/>
                <w:color w:val="000000" w:themeColor="text1"/>
              </w:rPr>
              <w:t>Document</w:t>
            </w:r>
          </w:p>
        </w:tc>
      </w:tr>
      <w:tr w:rsidR="005A44E8" w:rsidRPr="00335E16" w14:paraId="2CA7590A" w14:textId="77777777" w:rsidTr="005A44E8">
        <w:tc>
          <w:tcPr>
            <w:tcW w:w="8926" w:type="dxa"/>
          </w:tcPr>
          <w:p w14:paraId="07B4582D"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Participant Information and Free and Informed Consent</w:t>
            </w:r>
          </w:p>
        </w:tc>
      </w:tr>
      <w:tr w:rsidR="005A44E8" w:rsidRPr="00335E16" w14:paraId="3A41F74D" w14:textId="77777777" w:rsidTr="005A44E8">
        <w:tc>
          <w:tcPr>
            <w:tcW w:w="8926" w:type="dxa"/>
          </w:tcPr>
          <w:p w14:paraId="1437C309"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LAST scenario</w:t>
            </w:r>
          </w:p>
        </w:tc>
      </w:tr>
      <w:tr w:rsidR="005A44E8" w:rsidRPr="00335E16" w14:paraId="7A9EAB40" w14:textId="77777777" w:rsidTr="005A44E8">
        <w:tc>
          <w:tcPr>
            <w:tcW w:w="8926" w:type="dxa"/>
          </w:tcPr>
          <w:p w14:paraId="4CFF564D"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lastRenderedPageBreak/>
              <w:t>Facilitators’ observation tool</w:t>
            </w:r>
          </w:p>
        </w:tc>
      </w:tr>
      <w:tr w:rsidR="005A44E8" w:rsidRPr="00335E16" w14:paraId="67B05E36" w14:textId="77777777" w:rsidTr="005A44E8">
        <w:tc>
          <w:tcPr>
            <w:tcW w:w="8926" w:type="dxa"/>
          </w:tcPr>
          <w:p w14:paraId="4AB04769"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Standardised PEARLS debriefing script</w:t>
            </w:r>
          </w:p>
        </w:tc>
      </w:tr>
      <w:tr w:rsidR="005A44E8" w:rsidRPr="00335E16" w14:paraId="6E106904" w14:textId="77777777" w:rsidTr="005A44E8">
        <w:tc>
          <w:tcPr>
            <w:tcW w:w="8926" w:type="dxa"/>
          </w:tcPr>
          <w:p w14:paraId="4EC170C7"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Course promotional flyer</w:t>
            </w:r>
          </w:p>
        </w:tc>
      </w:tr>
      <w:tr w:rsidR="005A44E8" w:rsidRPr="00335E16" w14:paraId="03C57B25" w14:textId="77777777" w:rsidTr="005A44E8">
        <w:tc>
          <w:tcPr>
            <w:tcW w:w="8926" w:type="dxa"/>
          </w:tcPr>
          <w:p w14:paraId="535F22C3"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LAST Researcher Guidelines</w:t>
            </w:r>
          </w:p>
        </w:tc>
      </w:tr>
      <w:tr w:rsidR="005A44E8" w:rsidRPr="00335E16" w14:paraId="5DE2C222" w14:textId="77777777" w:rsidTr="005A44E8">
        <w:tc>
          <w:tcPr>
            <w:tcW w:w="8926" w:type="dxa"/>
          </w:tcPr>
          <w:p w14:paraId="2BFB2C64" w14:textId="45E2BF09"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ULSM LAST Procedure No. 3402</w:t>
            </w:r>
          </w:p>
        </w:tc>
      </w:tr>
      <w:tr w:rsidR="005A44E8" w:rsidRPr="00335E16" w14:paraId="5B72E30C" w14:textId="77777777" w:rsidTr="005A44E8">
        <w:tc>
          <w:tcPr>
            <w:tcW w:w="8926" w:type="dxa"/>
          </w:tcPr>
          <w:p w14:paraId="784DCB08" w14:textId="6FD79AF9"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ULSSJ LAST standard operating procedure PON 508-0</w:t>
            </w:r>
          </w:p>
        </w:tc>
      </w:tr>
      <w:tr w:rsidR="005A44E8" w:rsidRPr="00335E16" w14:paraId="32BADD64" w14:textId="77777777" w:rsidTr="005A44E8">
        <w:tc>
          <w:tcPr>
            <w:tcW w:w="8926" w:type="dxa"/>
          </w:tcPr>
          <w:p w14:paraId="196E2CD6" w14:textId="77777777"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ASRA guidance on LAST (2020)</w:t>
            </w:r>
          </w:p>
        </w:tc>
      </w:tr>
      <w:tr w:rsidR="005A44E8" w:rsidRPr="00335E16" w14:paraId="38F0E341" w14:textId="77777777" w:rsidTr="00E76D82">
        <w:trPr>
          <w:trHeight w:val="285"/>
        </w:trPr>
        <w:tc>
          <w:tcPr>
            <w:tcW w:w="8926" w:type="dxa"/>
          </w:tcPr>
          <w:p w14:paraId="48BA94F2" w14:textId="38DCCC33" w:rsidR="005A44E8" w:rsidRPr="005A44E8" w:rsidRDefault="005A44E8" w:rsidP="005A44E8">
            <w:pPr>
              <w:pStyle w:val="p1"/>
            </w:pPr>
            <w:r>
              <w:t>European Resuscitation Council Guidelines 2025 Adult Advanced Life Support</w:t>
            </w:r>
          </w:p>
        </w:tc>
      </w:tr>
      <w:tr w:rsidR="005A44E8" w:rsidRPr="00335E16" w14:paraId="33209039" w14:textId="77777777" w:rsidTr="005A44E8">
        <w:tc>
          <w:tcPr>
            <w:tcW w:w="8926" w:type="dxa"/>
          </w:tcPr>
          <w:p w14:paraId="0C4AF834" w14:textId="19040699" w:rsidR="005A44E8" w:rsidRPr="00335E16" w:rsidRDefault="005A44E8">
            <w:pPr>
              <w:spacing w:before="40" w:after="40" w:line="260" w:lineRule="auto"/>
              <w:rPr>
                <w:rFonts w:ascii="Arial" w:hAnsi="Arial" w:cs="Arial"/>
                <w:color w:val="000000" w:themeColor="text1"/>
              </w:rPr>
            </w:pPr>
            <w:r>
              <w:rPr>
                <w:rFonts w:ascii="Arial" w:hAnsi="Arial" w:cs="Arial"/>
                <w:color w:val="000000" w:themeColor="text1"/>
              </w:rPr>
              <w:t>Clinical handover for the LAST case</w:t>
            </w:r>
          </w:p>
        </w:tc>
      </w:tr>
    </w:tbl>
    <w:p w14:paraId="5C683ABE" w14:textId="77777777" w:rsidR="00090374" w:rsidRPr="00E76D82" w:rsidRDefault="00000000">
      <w:pPr>
        <w:pStyle w:val="Ttulo1"/>
        <w:spacing w:before="320" w:after="160"/>
        <w:rPr>
          <w:rFonts w:ascii="Arial" w:hAnsi="Arial" w:cs="Arial"/>
          <w:b/>
          <w:bCs/>
          <w:color w:val="000000" w:themeColor="text1"/>
          <w:sz w:val="22"/>
          <w:szCs w:val="22"/>
        </w:rPr>
      </w:pPr>
      <w:r>
        <w:rPr>
          <w:rFonts w:ascii="Arial" w:hAnsi="Arial" w:cs="Arial"/>
          <w:b/>
          <w:bCs/>
          <w:color w:val="000000" w:themeColor="text1"/>
          <w:sz w:val="22"/>
          <w:szCs w:val="22"/>
        </w:rPr>
        <w:t>11. Key references</w:t>
      </w:r>
    </w:p>
    <w:p w14:paraId="25A280BD" w14:textId="77777777" w:rsidR="00090374" w:rsidRPr="00335E16" w:rsidRDefault="00000000" w:rsidP="00E76D82">
      <w:pPr>
        <w:pStyle w:val="PargrafodaLista"/>
        <w:numPr>
          <w:ilvl w:val="0"/>
          <w:numId w:val="2"/>
        </w:numPr>
        <w:spacing w:after="80" w:line="300" w:lineRule="auto"/>
        <w:ind w:left="142" w:hanging="284"/>
        <w:jc w:val="both"/>
        <w:rPr>
          <w:rFonts w:ascii="Arial" w:hAnsi="Arial" w:cs="Arial"/>
          <w:color w:val="000000" w:themeColor="text1"/>
        </w:rPr>
      </w:pPr>
      <w:r>
        <w:rPr>
          <w:rFonts w:ascii="Arial" w:hAnsi="Arial" w:cs="Arial"/>
          <w:color w:val="000000" w:themeColor="text1"/>
        </w:rPr>
        <w:t>Eppich W, Cheng A. Promoting Excellence and Reflective Learning in Simulation (PEARLS): development and rationale for a blended approach to health care simulation debriefing. Simul Healthc. 2015;10(2):106-15.</w:t>
      </w:r>
    </w:p>
    <w:p w14:paraId="663193D9" w14:textId="77777777" w:rsidR="00090374" w:rsidRPr="00335E16" w:rsidRDefault="00000000" w:rsidP="00E76D82">
      <w:pPr>
        <w:pStyle w:val="PargrafodaLista"/>
        <w:numPr>
          <w:ilvl w:val="0"/>
          <w:numId w:val="2"/>
        </w:numPr>
        <w:spacing w:after="80" w:line="300" w:lineRule="auto"/>
        <w:ind w:left="142" w:hanging="284"/>
        <w:jc w:val="both"/>
        <w:rPr>
          <w:rFonts w:ascii="Arial" w:hAnsi="Arial" w:cs="Arial"/>
          <w:color w:val="000000" w:themeColor="text1"/>
        </w:rPr>
      </w:pPr>
      <w:r>
        <w:rPr>
          <w:rFonts w:ascii="Arial" w:hAnsi="Arial" w:cs="Arial"/>
          <w:color w:val="000000" w:themeColor="text1"/>
        </w:rPr>
        <w:t>INACSL Standards Committee. Healthcare Simulation Standards of Best Practice: Simulation Design. Clin Simul Nurs. 2021.</w:t>
      </w:r>
    </w:p>
    <w:p w14:paraId="1701C6B9" w14:textId="6AE77B54" w:rsidR="00090374" w:rsidRPr="00335E16" w:rsidRDefault="00000000" w:rsidP="00E76D82">
      <w:pPr>
        <w:pStyle w:val="PargrafodaLista"/>
        <w:numPr>
          <w:ilvl w:val="0"/>
          <w:numId w:val="2"/>
        </w:numPr>
        <w:spacing w:after="80" w:line="300" w:lineRule="auto"/>
        <w:ind w:left="142" w:hanging="284"/>
        <w:jc w:val="both"/>
        <w:rPr>
          <w:rFonts w:ascii="Arial" w:hAnsi="Arial" w:cs="Arial"/>
          <w:color w:val="000000" w:themeColor="text1"/>
        </w:rPr>
      </w:pPr>
      <w:r>
        <w:rPr>
          <w:rFonts w:ascii="Arial" w:hAnsi="Arial" w:cs="Arial"/>
          <w:color w:val="000000" w:themeColor="text1"/>
        </w:rPr>
        <w:t xml:space="preserve">Neal JM, Barrington MJ, </w:t>
      </w:r>
      <w:proofErr w:type="spellStart"/>
      <w:r>
        <w:rPr>
          <w:rFonts w:ascii="Arial" w:hAnsi="Arial" w:cs="Arial"/>
          <w:color w:val="000000" w:themeColor="text1"/>
        </w:rPr>
        <w:t>Fettiplace</w:t>
      </w:r>
      <w:proofErr w:type="spellEnd"/>
      <w:r>
        <w:rPr>
          <w:rFonts w:ascii="Arial" w:hAnsi="Arial" w:cs="Arial"/>
          <w:color w:val="000000" w:themeColor="text1"/>
        </w:rPr>
        <w:t xml:space="preserve"> MR, et al. The Third American Society of Regional </w:t>
      </w:r>
      <w:proofErr w:type="spellStart"/>
      <w:r>
        <w:rPr>
          <w:rFonts w:ascii="Arial" w:hAnsi="Arial" w:cs="Arial"/>
          <w:color w:val="000000" w:themeColor="text1"/>
        </w:rPr>
        <w:t>Anesthesia</w:t>
      </w:r>
      <w:proofErr w:type="spellEnd"/>
      <w:r>
        <w:rPr>
          <w:rFonts w:ascii="Arial" w:hAnsi="Arial" w:cs="Arial"/>
          <w:color w:val="000000" w:themeColor="text1"/>
        </w:rPr>
        <w:t xml:space="preserve"> and Pain Medicine Practice Advisory on Local </w:t>
      </w:r>
      <w:proofErr w:type="spellStart"/>
      <w:r>
        <w:rPr>
          <w:rFonts w:ascii="Arial" w:hAnsi="Arial" w:cs="Arial"/>
          <w:color w:val="000000" w:themeColor="text1"/>
        </w:rPr>
        <w:t>Anesthetic</w:t>
      </w:r>
      <w:proofErr w:type="spellEnd"/>
      <w:r>
        <w:rPr>
          <w:rFonts w:ascii="Arial" w:hAnsi="Arial" w:cs="Arial"/>
          <w:color w:val="000000" w:themeColor="text1"/>
        </w:rPr>
        <w:t xml:space="preserve"> Systemic Toxicity: executive summary 2017. Reg </w:t>
      </w:r>
      <w:proofErr w:type="spellStart"/>
      <w:r>
        <w:rPr>
          <w:rFonts w:ascii="Arial" w:hAnsi="Arial" w:cs="Arial"/>
          <w:color w:val="000000" w:themeColor="text1"/>
        </w:rPr>
        <w:t>Anesth</w:t>
      </w:r>
      <w:proofErr w:type="spellEnd"/>
      <w:r>
        <w:rPr>
          <w:rFonts w:ascii="Arial" w:hAnsi="Arial" w:cs="Arial"/>
          <w:color w:val="000000" w:themeColor="text1"/>
        </w:rPr>
        <w:t xml:space="preserve"> Pain Med. 2018;43(2):113-23. 2020 update. </w:t>
      </w:r>
    </w:p>
    <w:p w14:paraId="3A316759" w14:textId="4D732BA4" w:rsidR="00090374" w:rsidRDefault="00000000" w:rsidP="00E76D82">
      <w:pPr>
        <w:pStyle w:val="PargrafodaLista"/>
        <w:numPr>
          <w:ilvl w:val="0"/>
          <w:numId w:val="2"/>
        </w:numPr>
        <w:spacing w:after="80" w:line="300" w:lineRule="auto"/>
        <w:ind w:left="142" w:hanging="284"/>
        <w:jc w:val="both"/>
        <w:rPr>
          <w:rFonts w:ascii="Arial" w:hAnsi="Arial" w:cs="Arial"/>
          <w:color w:val="000000" w:themeColor="text1"/>
        </w:rPr>
      </w:pPr>
      <w:r>
        <w:rPr>
          <w:rFonts w:ascii="Arial" w:hAnsi="Arial" w:cs="Arial"/>
          <w:color w:val="000000" w:themeColor="text1"/>
        </w:rPr>
        <w:t xml:space="preserve">Procedure No. 3402, </w:t>
      </w:r>
      <w:proofErr w:type="spellStart"/>
      <w:r>
        <w:rPr>
          <w:rFonts w:ascii="Arial" w:hAnsi="Arial" w:cs="Arial"/>
          <w:color w:val="000000" w:themeColor="text1"/>
        </w:rPr>
        <w:t>Unidade</w:t>
      </w:r>
      <w:proofErr w:type="spellEnd"/>
      <w:r>
        <w:rPr>
          <w:rFonts w:ascii="Arial" w:hAnsi="Arial" w:cs="Arial"/>
          <w:color w:val="000000" w:themeColor="text1"/>
        </w:rPr>
        <w:t xml:space="preserve"> Local de </w:t>
      </w:r>
      <w:proofErr w:type="spellStart"/>
      <w:r>
        <w:rPr>
          <w:rFonts w:ascii="Arial" w:hAnsi="Arial" w:cs="Arial"/>
          <w:color w:val="000000" w:themeColor="text1"/>
        </w:rPr>
        <w:t>Saúde</w:t>
      </w:r>
      <w:proofErr w:type="spellEnd"/>
      <w:r>
        <w:rPr>
          <w:rFonts w:ascii="Arial" w:hAnsi="Arial" w:cs="Arial"/>
          <w:color w:val="000000" w:themeColor="text1"/>
        </w:rPr>
        <w:t xml:space="preserve"> de Matosinhos (Appendix 13), and standard operating procedure PON 508-0, </w:t>
      </w:r>
      <w:proofErr w:type="spellStart"/>
      <w:r>
        <w:rPr>
          <w:rFonts w:ascii="Arial" w:hAnsi="Arial" w:cs="Arial"/>
          <w:color w:val="000000" w:themeColor="text1"/>
        </w:rPr>
        <w:t>Unidade</w:t>
      </w:r>
      <w:proofErr w:type="spellEnd"/>
      <w:r>
        <w:rPr>
          <w:rFonts w:ascii="Arial" w:hAnsi="Arial" w:cs="Arial"/>
          <w:color w:val="000000" w:themeColor="text1"/>
        </w:rPr>
        <w:t xml:space="preserve"> Local de </w:t>
      </w:r>
      <w:proofErr w:type="spellStart"/>
      <w:r>
        <w:rPr>
          <w:rFonts w:ascii="Arial" w:hAnsi="Arial" w:cs="Arial"/>
          <w:color w:val="000000" w:themeColor="text1"/>
        </w:rPr>
        <w:t>Saúde</w:t>
      </w:r>
      <w:proofErr w:type="spellEnd"/>
      <w:r>
        <w:rPr>
          <w:rFonts w:ascii="Arial" w:hAnsi="Arial" w:cs="Arial"/>
          <w:color w:val="000000" w:themeColor="text1"/>
        </w:rPr>
        <w:t xml:space="preserve"> de São João </w:t>
      </w:r>
    </w:p>
    <w:p w14:paraId="74D321D0" w14:textId="7E411681" w:rsidR="005A44E8" w:rsidRPr="00335E16" w:rsidRDefault="005A44E8" w:rsidP="00E76D82">
      <w:pPr>
        <w:pStyle w:val="PargrafodaLista"/>
        <w:numPr>
          <w:ilvl w:val="0"/>
          <w:numId w:val="2"/>
        </w:numPr>
        <w:spacing w:after="80" w:line="300" w:lineRule="auto"/>
        <w:ind w:left="142" w:hanging="284"/>
        <w:jc w:val="both"/>
        <w:rPr>
          <w:rFonts w:ascii="Arial" w:hAnsi="Arial" w:cs="Arial"/>
          <w:color w:val="000000" w:themeColor="text1"/>
        </w:rPr>
      </w:pPr>
      <w:r>
        <w:rPr>
          <w:rFonts w:ascii="Arial" w:hAnsi="Arial" w:cs="Arial"/>
          <w:color w:val="000000" w:themeColor="text1"/>
        </w:rPr>
        <w:t xml:space="preserve">Soar J, </w:t>
      </w:r>
      <w:proofErr w:type="spellStart"/>
      <w:r>
        <w:rPr>
          <w:rFonts w:ascii="Arial" w:hAnsi="Arial" w:cs="Arial"/>
          <w:color w:val="000000" w:themeColor="text1"/>
        </w:rPr>
        <w:t>Böttiger</w:t>
      </w:r>
      <w:proofErr w:type="spellEnd"/>
      <w:r>
        <w:rPr>
          <w:rFonts w:ascii="Arial" w:hAnsi="Arial" w:cs="Arial"/>
          <w:color w:val="000000" w:themeColor="text1"/>
        </w:rPr>
        <w:t xml:space="preserve"> BW, Carli P, Jiménez FC, </w:t>
      </w:r>
      <w:proofErr w:type="spellStart"/>
      <w:r>
        <w:rPr>
          <w:rFonts w:ascii="Arial" w:hAnsi="Arial" w:cs="Arial"/>
          <w:color w:val="000000" w:themeColor="text1"/>
        </w:rPr>
        <w:t>Cimpoesu</w:t>
      </w:r>
      <w:proofErr w:type="spellEnd"/>
      <w:r>
        <w:rPr>
          <w:rFonts w:ascii="Arial" w:hAnsi="Arial" w:cs="Arial"/>
          <w:color w:val="000000" w:themeColor="text1"/>
        </w:rPr>
        <w:t xml:space="preserve"> D, Cole G, Couper K, D'Arrigo S, Deakin CD, Ek JE, Holmberg MJ, Magliocca A, Nikolaou N, Paal P, Pocock H, Sandroni C, </w:t>
      </w:r>
      <w:proofErr w:type="spellStart"/>
      <w:r>
        <w:rPr>
          <w:rFonts w:ascii="Arial" w:hAnsi="Arial" w:cs="Arial"/>
          <w:color w:val="000000" w:themeColor="text1"/>
        </w:rPr>
        <w:t>Scquizzato</w:t>
      </w:r>
      <w:proofErr w:type="spellEnd"/>
      <w:r>
        <w:rPr>
          <w:rFonts w:ascii="Arial" w:hAnsi="Arial" w:cs="Arial"/>
          <w:color w:val="000000" w:themeColor="text1"/>
        </w:rPr>
        <w:t xml:space="preserve"> T, </w:t>
      </w:r>
      <w:proofErr w:type="spellStart"/>
      <w:r>
        <w:rPr>
          <w:rFonts w:ascii="Arial" w:hAnsi="Arial" w:cs="Arial"/>
          <w:color w:val="000000" w:themeColor="text1"/>
        </w:rPr>
        <w:t>Skrifvars</w:t>
      </w:r>
      <w:proofErr w:type="spellEnd"/>
      <w:r>
        <w:rPr>
          <w:rFonts w:ascii="Arial" w:hAnsi="Arial" w:cs="Arial"/>
          <w:color w:val="000000" w:themeColor="text1"/>
        </w:rPr>
        <w:t xml:space="preserve"> MB, </w:t>
      </w:r>
      <w:proofErr w:type="spellStart"/>
      <w:r>
        <w:rPr>
          <w:rFonts w:ascii="Arial" w:hAnsi="Arial" w:cs="Arial"/>
          <w:color w:val="000000" w:themeColor="text1"/>
        </w:rPr>
        <w:t>Verginella</w:t>
      </w:r>
      <w:proofErr w:type="spellEnd"/>
      <w:r>
        <w:rPr>
          <w:rFonts w:ascii="Arial" w:hAnsi="Arial" w:cs="Arial"/>
          <w:color w:val="000000" w:themeColor="text1"/>
        </w:rPr>
        <w:t xml:space="preserve"> F, Yeung J, Nolan JP. European Resuscitation Council Guidelines 2025 Adult Advanced Life Support. Resuscitation. 2025 Oct;215 </w:t>
      </w:r>
      <w:proofErr w:type="spellStart"/>
      <w:r>
        <w:rPr>
          <w:rFonts w:ascii="Arial" w:hAnsi="Arial" w:cs="Arial"/>
          <w:color w:val="000000" w:themeColor="text1"/>
        </w:rPr>
        <w:t>Suppl</w:t>
      </w:r>
      <w:proofErr w:type="spellEnd"/>
      <w:r>
        <w:rPr>
          <w:rFonts w:ascii="Arial" w:hAnsi="Arial" w:cs="Arial"/>
          <w:color w:val="000000" w:themeColor="text1"/>
        </w:rPr>
        <w:t xml:space="preserve"> 1:110769. DOI: 10.1016/j.resuscitation.2025.110769. </w:t>
      </w:r>
    </w:p>
    <w:sectPr w:rsidR="005A44E8" w:rsidRPr="00335E1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A49F0"/>
    <w:multiLevelType w:val="hybridMultilevel"/>
    <w:tmpl w:val="6448A284"/>
    <w:lvl w:ilvl="0" w:tplc="153E69D6">
      <w:start w:val="1"/>
      <w:numFmt w:val="bullet"/>
      <w:lvlText w:val="●"/>
      <w:lvlJc w:val="left"/>
      <w:pPr>
        <w:ind w:left="720" w:hanging="360"/>
      </w:pPr>
    </w:lvl>
    <w:lvl w:ilvl="1" w:tplc="9C420CC6">
      <w:start w:val="1"/>
      <w:numFmt w:val="bullet"/>
      <w:lvlText w:val="○"/>
      <w:lvlJc w:val="left"/>
      <w:pPr>
        <w:ind w:left="1440" w:hanging="360"/>
      </w:pPr>
    </w:lvl>
    <w:lvl w:ilvl="2" w:tplc="577E003C">
      <w:start w:val="1"/>
      <w:numFmt w:val="bullet"/>
      <w:lvlText w:val="■"/>
      <w:lvlJc w:val="left"/>
      <w:pPr>
        <w:ind w:left="2160" w:hanging="360"/>
      </w:pPr>
    </w:lvl>
    <w:lvl w:ilvl="3" w:tplc="7EFC289A">
      <w:start w:val="1"/>
      <w:numFmt w:val="bullet"/>
      <w:lvlText w:val="●"/>
      <w:lvlJc w:val="left"/>
      <w:pPr>
        <w:ind w:left="2880" w:hanging="360"/>
      </w:pPr>
    </w:lvl>
    <w:lvl w:ilvl="4" w:tplc="FEFCBD3A">
      <w:start w:val="1"/>
      <w:numFmt w:val="bullet"/>
      <w:lvlText w:val="○"/>
      <w:lvlJc w:val="left"/>
      <w:pPr>
        <w:ind w:left="3600" w:hanging="360"/>
      </w:pPr>
    </w:lvl>
    <w:lvl w:ilvl="5" w:tplc="0250F86A">
      <w:start w:val="1"/>
      <w:numFmt w:val="bullet"/>
      <w:lvlText w:val="■"/>
      <w:lvlJc w:val="left"/>
      <w:pPr>
        <w:ind w:left="4320" w:hanging="360"/>
      </w:pPr>
    </w:lvl>
    <w:lvl w:ilvl="6" w:tplc="BC161470">
      <w:start w:val="1"/>
      <w:numFmt w:val="bullet"/>
      <w:lvlText w:val="●"/>
      <w:lvlJc w:val="left"/>
      <w:pPr>
        <w:ind w:left="5040" w:hanging="360"/>
      </w:pPr>
    </w:lvl>
    <w:lvl w:ilvl="7" w:tplc="865CE598">
      <w:start w:val="1"/>
      <w:numFmt w:val="bullet"/>
      <w:lvlText w:val="●"/>
      <w:lvlJc w:val="left"/>
      <w:pPr>
        <w:ind w:left="5760" w:hanging="360"/>
      </w:pPr>
    </w:lvl>
    <w:lvl w:ilvl="8" w:tplc="9558D9AE">
      <w:start w:val="1"/>
      <w:numFmt w:val="bullet"/>
      <w:lvlText w:val="●"/>
      <w:lvlJc w:val="left"/>
      <w:pPr>
        <w:ind w:left="6480" w:hanging="360"/>
      </w:pPr>
    </w:lvl>
  </w:abstractNum>
  <w:abstractNum w:abstractNumId="1" w15:restartNumberingAfterBreak="0">
    <w:nsid w:val="2B0770B1"/>
    <w:multiLevelType w:val="hybridMultilevel"/>
    <w:tmpl w:val="01080E12"/>
    <w:lvl w:ilvl="0" w:tplc="211C8C24">
      <w:start w:val="1"/>
      <w:numFmt w:val="bullet"/>
      <w:lvlText w:val="•"/>
      <w:lvlJc w:val="left"/>
      <w:pPr>
        <w:ind w:left="420" w:hanging="220"/>
      </w:pPr>
    </w:lvl>
    <w:lvl w:ilvl="1" w:tplc="A2AE793C">
      <w:numFmt w:val="decimal"/>
      <w:lvlText w:val=""/>
      <w:lvlJc w:val="left"/>
    </w:lvl>
    <w:lvl w:ilvl="2" w:tplc="77940628">
      <w:numFmt w:val="decimal"/>
      <w:lvlText w:val=""/>
      <w:lvlJc w:val="left"/>
    </w:lvl>
    <w:lvl w:ilvl="3" w:tplc="8280FF66">
      <w:numFmt w:val="decimal"/>
      <w:lvlText w:val=""/>
      <w:lvlJc w:val="left"/>
    </w:lvl>
    <w:lvl w:ilvl="4" w:tplc="9356F924">
      <w:numFmt w:val="decimal"/>
      <w:lvlText w:val=""/>
      <w:lvlJc w:val="left"/>
    </w:lvl>
    <w:lvl w:ilvl="5" w:tplc="68863BE4">
      <w:numFmt w:val="decimal"/>
      <w:lvlText w:val=""/>
      <w:lvlJc w:val="left"/>
    </w:lvl>
    <w:lvl w:ilvl="6" w:tplc="1D42D7B2">
      <w:numFmt w:val="decimal"/>
      <w:lvlText w:val=""/>
      <w:lvlJc w:val="left"/>
    </w:lvl>
    <w:lvl w:ilvl="7" w:tplc="562E95D4">
      <w:numFmt w:val="decimal"/>
      <w:lvlText w:val=""/>
      <w:lvlJc w:val="left"/>
    </w:lvl>
    <w:lvl w:ilvl="8" w:tplc="9132D0EE">
      <w:numFmt w:val="decimal"/>
      <w:lvlText w:val=""/>
      <w:lvlJc w:val="left"/>
    </w:lvl>
  </w:abstractNum>
  <w:num w:numId="1" w16cid:durableId="1925069127">
    <w:abstractNumId w:val="0"/>
    <w:lvlOverride w:ilvl="0">
      <w:startOverride w:val="1"/>
    </w:lvlOverride>
  </w:num>
  <w:num w:numId="2" w16cid:durableId="95775613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374"/>
    <w:rsid w:val="00090374"/>
    <w:rsid w:val="001724BA"/>
    <w:rsid w:val="001B76BE"/>
    <w:rsid w:val="00296F68"/>
    <w:rsid w:val="002D76D9"/>
    <w:rsid w:val="00335E16"/>
    <w:rsid w:val="003B1A41"/>
    <w:rsid w:val="004F79AD"/>
    <w:rsid w:val="00585846"/>
    <w:rsid w:val="005A44E8"/>
    <w:rsid w:val="00674203"/>
    <w:rsid w:val="006E1224"/>
    <w:rsid w:val="008A5A89"/>
    <w:rsid w:val="008E7C59"/>
    <w:rsid w:val="00A47BEA"/>
    <w:rsid w:val="00AE081B"/>
    <w:rsid w:val="00B14236"/>
    <w:rsid w:val="00B41511"/>
    <w:rsid w:val="00C82D80"/>
    <w:rsid w:val="00E76D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4:docId w14:val="73A9EDED"/>
  <w15:docId w15:val="{EF38DA30-5F42-2740-A5E9-2EAA9936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00000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iperligao">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arter"/>
    <w:uiPriority w:val="99"/>
    <w:semiHidden/>
    <w:unhideWhenUsed/>
    <w:rPr>
      <w:sz w:val="20"/>
      <w:szCs w:val="20"/>
    </w:rPr>
  </w:style>
  <w:style w:type="character" w:customStyle="1" w:styleId="TextodenotaderodapCarter">
    <w:name w:val="Texto de nota de rodapé Caráte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arter"/>
    <w:uiPriority w:val="99"/>
    <w:semiHidden/>
    <w:unhideWhenUsed/>
    <w:rPr>
      <w:sz w:val="20"/>
      <w:szCs w:val="20"/>
    </w:rPr>
  </w:style>
  <w:style w:type="character" w:customStyle="1" w:styleId="TextodenotadefimCarter">
    <w:name w:val="Texto de nota de fim Caráter"/>
    <w:link w:val="Textodenotadefim"/>
    <w:uiPriority w:val="99"/>
    <w:semiHidden/>
    <w:unhideWhenUsed/>
    <w:rPr>
      <w:sz w:val="20"/>
      <w:szCs w:val="20"/>
    </w:rPr>
  </w:style>
  <w:style w:type="table" w:styleId="TabelacomGrelhaClara">
    <w:name w:val="Grid Table Light"/>
    <w:basedOn w:val="Tabelanormal"/>
    <w:uiPriority w:val="40"/>
    <w:rsid w:val="00335E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335E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comGrelha">
    <w:name w:val="Table Grid"/>
    <w:basedOn w:val="Tabelanormal"/>
    <w:uiPriority w:val="39"/>
    <w:rsid w:val="00335E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5A44E8"/>
    <w:rPr>
      <w:rFonts w:ascii="Helvetica" w:eastAsia="Times New Roman" w:hAnsi="Helvetic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2351</Words>
  <Characters>12701</Characters>
  <Application>Microsoft Office Word</Application>
  <DocSecurity>0</DocSecurity>
  <Lines>105</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 Céu Campos</cp:lastModifiedBy>
  <cp:revision>2</cp:revision>
  <dcterms:created xsi:type="dcterms:W3CDTF">2026-09-21T12:39:00Z</dcterms:created>
  <dcterms:modified xsi:type="dcterms:W3CDTF">2026-09-21T12:39:00Z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0328b2-cbbd-405e-b01b-32c4759a0ed0_Enabled">
    <vt:lpwstr>true</vt:lpwstr>
  </property>
  <property fmtid="{D5CDD505-2E9C-101B-9397-08002B2CF9AE}" pid="3" name="MSIP_Label_e60328b2-cbbd-405e-b01b-32c4759a0ed0_SetDate">
    <vt:lpwstr>2026-07-25T15:48:48Z</vt:lpwstr>
  </property>
  <property fmtid="{D5CDD505-2E9C-101B-9397-08002B2CF9AE}" pid="4" name="MSIP_Label_e60328b2-cbbd-405e-b01b-32c4759a0ed0_Method">
    <vt:lpwstr>Standard</vt:lpwstr>
  </property>
  <property fmtid="{D5CDD505-2E9C-101B-9397-08002B2CF9AE}" pid="5" name="MSIP_Label_e60328b2-cbbd-405e-b01b-32c4759a0ed0_Name">
    <vt:lpwstr>Public Label</vt:lpwstr>
  </property>
  <property fmtid="{D5CDD505-2E9C-101B-9397-08002B2CF9AE}" pid="6" name="MSIP_Label_e60328b2-cbbd-405e-b01b-32c4759a0ed0_SiteId">
    <vt:lpwstr>22c84608-f01d-46c5-8024-63cc962e5f51</vt:lpwstr>
  </property>
  <property fmtid="{D5CDD505-2E9C-101B-9397-08002B2CF9AE}" pid="7" name="MSIP_Label_e60328b2-cbbd-405e-b01b-32c4759a0ed0_ActionId">
    <vt:lpwstr>eb38f684-2a0f-4a09-a1b3-e7969699bc89</vt:lpwstr>
  </property>
  <property fmtid="{D5CDD505-2E9C-101B-9397-08002B2CF9AE}" pid="8" name="MSIP_Label_e60328b2-cbbd-405e-b01b-32c4759a0ed0_ContentBits">
    <vt:lpwstr>0</vt:lpwstr>
  </property>
  <property fmtid="{D5CDD505-2E9C-101B-9397-08002B2CF9AE}" pid="9" name="MSIP_Label_e60328b2-cbbd-405e-b01b-32c4759a0ed0_Tag">
    <vt:lpwstr>50, 3, 0, 1</vt:lpwstr>
  </property>
</Properties>
</file>