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FD9342" w14:textId="776299A5" w:rsidR="00530970" w:rsidRDefault="00000000">
      <w:pPr>
        <w:pStyle w:val="Ttulo"/>
        <w:rPr>
          <w:b/>
          <w:bCs/>
          <w:sz w:val="24"/>
        </w:rPr>
      </w:pPr>
      <w:r w:rsidRPr="00445E58">
        <w:rPr>
          <w:b/>
          <w:bCs/>
          <w:sz w:val="24"/>
        </w:rPr>
        <w:t>Additional File 7</w:t>
      </w:r>
      <w:r w:rsidR="00445E58">
        <w:rPr>
          <w:b/>
          <w:bCs/>
          <w:sz w:val="24"/>
        </w:rPr>
        <w:t xml:space="preserve"> - </w:t>
      </w:r>
      <w:r w:rsidRPr="00445E58">
        <w:rPr>
          <w:b/>
          <w:bCs/>
          <w:sz w:val="24"/>
        </w:rPr>
        <w:t>Completed CONSORT 2025 reporting checklist</w:t>
      </w:r>
    </w:p>
    <w:p w14:paraId="399BAE2E" w14:textId="77777777" w:rsidR="00445E58" w:rsidRPr="00445E58" w:rsidRDefault="00445E58" w:rsidP="00445E58">
      <w:pPr>
        <w:pStyle w:val="Corpodetexto"/>
      </w:pPr>
    </w:p>
    <w:p w14:paraId="34074D47" w14:textId="77777777" w:rsidR="00530970" w:rsidRDefault="00000000">
      <w:pPr>
        <w:pStyle w:val="Ttulo"/>
      </w:pPr>
      <w:r>
        <w:rPr>
          <w:i/>
          <w:sz w:val="20"/>
        </w:rPr>
        <w:t>Evaluating the impact of in situ simulation on interprofessional healthcare team training: a randomised controlled trial. ClinicalTrials.gov NCT07346937.</w:t>
      </w:r>
    </w:p>
    <w:p w14:paraId="172C71D7" w14:textId="77777777" w:rsidR="00530970" w:rsidRDefault="00000000">
      <w:pPr>
        <w:pStyle w:val="Ttulo"/>
      </w:pPr>
      <w:r>
        <w:t>The CONSORT reporting checklist</w:t>
      </w:r>
    </w:p>
    <w:p w14:paraId="1F17FECD" w14:textId="77777777" w:rsidR="00530970" w:rsidRDefault="00000000">
      <w:pPr>
        <w:pStyle w:val="Subttulo"/>
      </w:pPr>
      <w:r>
        <w:t>For checking that reports of randomised trials can be understood and used by everyone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11088"/>
      </w:tblGrid>
      <w:tr w:rsidR="00530970" w14:paraId="132C0FCA" w14:textId="77777777" w:rsidTr="00530970">
        <w:trPr>
          <w:cnfStyle w:val="000000100000" w:firstRow="0" w:lastRow="0" w:firstColumn="0" w:lastColumn="0" w:oddVBand="0" w:evenVBand="0" w:oddHBand="1" w:evenHBand="0" w:firstRowFirstColumn="0" w:firstRowLastColumn="0" w:lastRowFirstColumn="0" w:lastRowLastColumn="0"/>
          <w:cantSplit/>
        </w:trPr>
        <w:tc>
          <w:tcPr>
            <w:tcW w:w="0" w:type="auto"/>
            <w:shd w:val="clear" w:color="auto" w:fill="DAE6FB"/>
            <w:tcMar>
              <w:top w:w="92" w:type="dxa"/>
              <w:bottom w:w="92" w:type="dxa"/>
            </w:tcMar>
          </w:tcPr>
          <w:p w14:paraId="7696D310" w14:textId="77777777" w:rsidR="00530970" w:rsidRDefault="00000000">
            <w:pPr>
              <w:pStyle w:val="FirstParagraph"/>
              <w:spacing w:before="16" w:after="16"/>
            </w:pPr>
            <w:r>
              <w:t>How to use this reporting checklist</w:t>
            </w:r>
          </w:p>
        </w:tc>
      </w:tr>
      <w:tr w:rsidR="00530970" w14:paraId="1DD1F45A" w14:textId="77777777" w:rsidTr="00530970">
        <w:trPr>
          <w:cantSplit/>
        </w:trPr>
        <w:tc>
          <w:tcPr>
            <w:tcW w:w="0" w:type="auto"/>
            <w:tcMar>
              <w:top w:w="108" w:type="dxa"/>
              <w:bottom w:w="108" w:type="dxa"/>
            </w:tcMar>
          </w:tcPr>
          <w:p w14:paraId="1C667F58" w14:textId="77777777" w:rsidR="00530970" w:rsidRDefault="00000000">
            <w:pPr>
              <w:pStyle w:val="Corpodetexto"/>
              <w:spacing w:before="16"/>
            </w:pPr>
            <w:r>
              <w:t xml:space="preserve">This reporting checklist allows authors to demonstrate that their manuscripts adhere to the </w:t>
            </w:r>
            <w:hyperlink r:id="rId7">
              <w:r w:rsidR="00530970">
                <w:rPr>
                  <w:rStyle w:val="Hiperligao"/>
                </w:rPr>
                <w:t>CONSORT reporting guideline</w:t>
              </w:r>
            </w:hyperlink>
            <w:r>
              <w:t>.</w:t>
            </w:r>
          </w:p>
          <w:p w14:paraId="233006F9" w14:textId="77777777" w:rsidR="00530970" w:rsidRDefault="00000000">
            <w:pPr>
              <w:pStyle w:val="Corpodetexto"/>
            </w:pPr>
            <w:r>
              <w:t xml:space="preserve">If you have not used a reporting guideline before, read about </w:t>
            </w:r>
            <w:hyperlink r:id="rId8">
              <w:r w:rsidR="00530970">
                <w:rPr>
                  <w:rStyle w:val="Hiperligao"/>
                </w:rPr>
                <w:t>how and why to use them</w:t>
              </w:r>
            </w:hyperlink>
            <w:r>
              <w:t xml:space="preserve"> and check whether CONSORT is the </w:t>
            </w:r>
            <w:hyperlink r:id="rId9" w:anchor="applicability">
              <w:r w:rsidR="00530970">
                <w:rPr>
                  <w:rStyle w:val="Hiperligao"/>
                </w:rPr>
                <w:t>most applicable reporting guideline</w:t>
              </w:r>
            </w:hyperlink>
            <w:r>
              <w:t xml:space="preserve"> for your work.</w:t>
            </w:r>
          </w:p>
          <w:p w14:paraId="0488342F" w14:textId="77777777" w:rsidR="00530970" w:rsidRDefault="00000000">
            <w:pPr>
              <w:pStyle w:val="Corpodetexto"/>
            </w:pPr>
            <w:r>
              <w:t xml:space="preserve">Reporting guidelines are most useful when used early in research. When writing a manuscript or application, consider using the </w:t>
            </w:r>
            <w:hyperlink r:id="rId10">
              <w:r w:rsidR="00530970">
                <w:rPr>
                  <w:rStyle w:val="Hiperligao"/>
                </w:rPr>
                <w:t>full guidance</w:t>
              </w:r>
            </w:hyperlink>
            <w:r>
              <w:t xml:space="preserve"> where you’ll find explanations and examples for each item.</w:t>
            </w:r>
          </w:p>
          <w:p w14:paraId="7846AB9D" w14:textId="77777777" w:rsidR="00530970" w:rsidRDefault="00000000">
            <w:pPr>
              <w:pStyle w:val="Corpodetexto"/>
            </w:pPr>
            <w:r>
              <w:t>After writing, demonstrate adherence by completing this checklist:</w:t>
            </w:r>
          </w:p>
          <w:p w14:paraId="4A329D3F" w14:textId="77777777" w:rsidR="00530970" w:rsidRDefault="00000000">
            <w:pPr>
              <w:pStyle w:val="Compact"/>
              <w:numPr>
                <w:ilvl w:val="0"/>
                <w:numId w:val="3"/>
              </w:numPr>
            </w:pPr>
            <w:r>
              <w:t xml:space="preserve">Specify where each item is described (see </w:t>
            </w:r>
            <w:hyperlink w:anchor="sec-specify">
              <w:r w:rsidR="00530970">
                <w:rPr>
                  <w:rStyle w:val="Hiperligao"/>
                </w:rPr>
                <w:t>Note 1</w:t>
              </w:r>
            </w:hyperlink>
            <w:r>
              <w:t>).</w:t>
            </w:r>
          </w:p>
          <w:p w14:paraId="12C7536E" w14:textId="77777777" w:rsidR="00530970" w:rsidRDefault="00000000">
            <w:pPr>
              <w:pStyle w:val="Compact"/>
              <w:numPr>
                <w:ilvl w:val="0"/>
                <w:numId w:val="3"/>
              </w:numPr>
            </w:pPr>
            <w:r>
              <w:t xml:space="preserve">Cite this checklist (See </w:t>
            </w:r>
            <w:hyperlink w:anchor="sec-cite">
              <w:r w:rsidR="00530970">
                <w:rPr>
                  <w:rStyle w:val="Hiperligao"/>
                </w:rPr>
                <w:t>Note 2</w:t>
              </w:r>
            </w:hyperlink>
            <w:r>
              <w:t>).</w:t>
            </w:r>
          </w:p>
          <w:p w14:paraId="03D858C3" w14:textId="77777777" w:rsidR="00530970" w:rsidRDefault="00000000">
            <w:pPr>
              <w:pStyle w:val="Compact"/>
              <w:numPr>
                <w:ilvl w:val="0"/>
                <w:numId w:val="3"/>
              </w:numPr>
            </w:pPr>
            <w:r>
              <w:t>Include your completed checklist as a supplement when submitting to a journal so that future readers can use it to find information.</w:t>
            </w:r>
          </w:p>
        </w:tc>
      </w:tr>
    </w:tbl>
    <w:p w14:paraId="1A97ED6D" w14:textId="77777777" w:rsidR="00530970" w:rsidRDefault="00530970">
      <w:pPr>
        <w:pStyle w:val="FirstParagraph"/>
      </w:pPr>
    </w:p>
    <w:tbl>
      <w:tblPr>
        <w:tblStyle w:val="Table"/>
        <w:tblW w:w="5000" w:type="pct"/>
        <w:tblLayout w:type="fixed"/>
        <w:tblLook w:val="0000" w:firstRow="0" w:lastRow="0" w:firstColumn="0" w:lastColumn="0" w:noHBand="0" w:noVBand="0"/>
      </w:tblPr>
      <w:tblGrid>
        <w:gridCol w:w="2204"/>
        <w:gridCol w:w="5508"/>
        <w:gridCol w:w="3304"/>
      </w:tblGrid>
      <w:tr w:rsidR="00530970" w14:paraId="61E1BDF8"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17C2213" w14:textId="77777777" w:rsidR="00530970" w:rsidRDefault="00530970">
            <w:pPr>
              <w:pStyle w:val="Compact"/>
            </w:pPr>
          </w:p>
        </w:tc>
        <w:tc>
          <w:tcPr>
            <w:tcW w:w="3959" w:type="dxa"/>
          </w:tcPr>
          <w:p w14:paraId="22340494" w14:textId="77777777" w:rsidR="00530970" w:rsidRDefault="00000000">
            <w:pPr>
              <w:pStyle w:val="Compact"/>
            </w:pPr>
            <w:r>
              <w:t>Item Description</w:t>
            </w:r>
          </w:p>
        </w:tc>
        <w:tc>
          <w:tcPr>
            <w:tcW w:w="2375" w:type="dxa"/>
          </w:tcPr>
          <w:p w14:paraId="40A054CB" w14:textId="77777777" w:rsidR="00530970" w:rsidRDefault="00000000">
            <w:pPr>
              <w:pStyle w:val="Compact"/>
            </w:pPr>
            <w:r>
              <w:t>Location (or reason for not reporting)</w:t>
            </w:r>
          </w:p>
        </w:tc>
      </w:tr>
      <w:tr w:rsidR="00530970" w14:paraId="6C22D609" w14:textId="77777777">
        <w:tc>
          <w:tcPr>
            <w:tcW w:w="1584" w:type="dxa"/>
          </w:tcPr>
          <w:p w14:paraId="2C41C536" w14:textId="77777777" w:rsidR="00530970" w:rsidRDefault="00000000">
            <w:pPr>
              <w:pStyle w:val="Compact"/>
            </w:pPr>
            <w:r>
              <w:t> </w:t>
            </w:r>
            <w:r>
              <w:rPr>
                <w:b/>
                <w:bCs/>
              </w:rPr>
              <w:t>Title and Abstract</w:t>
            </w:r>
          </w:p>
        </w:tc>
        <w:tc>
          <w:tcPr>
            <w:tcW w:w="3959" w:type="dxa"/>
          </w:tcPr>
          <w:p w14:paraId="72377497" w14:textId="77777777" w:rsidR="00530970" w:rsidRDefault="00530970">
            <w:pPr>
              <w:pStyle w:val="Compact"/>
            </w:pPr>
          </w:p>
        </w:tc>
        <w:tc>
          <w:tcPr>
            <w:tcW w:w="2375" w:type="dxa"/>
          </w:tcPr>
          <w:p w14:paraId="5480CC1A" w14:textId="77777777" w:rsidR="00530970" w:rsidRDefault="00530970">
            <w:pPr>
              <w:pStyle w:val="Compact"/>
            </w:pPr>
          </w:p>
        </w:tc>
      </w:tr>
      <w:tr w:rsidR="00530970" w14:paraId="04A8D078"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F7A1A3F" w14:textId="77777777" w:rsidR="00530970" w:rsidRDefault="00530970">
            <w:pPr>
              <w:pStyle w:val="Compact"/>
            </w:pPr>
            <w:hyperlink r:id="rId11">
              <w:r>
                <w:rPr>
                  <w:rStyle w:val="Hiperligao"/>
                </w:rPr>
                <w:t>1a. Title</w:t>
              </w:r>
            </w:hyperlink>
          </w:p>
        </w:tc>
        <w:tc>
          <w:tcPr>
            <w:tcW w:w="3959" w:type="dxa"/>
          </w:tcPr>
          <w:p w14:paraId="5A4DA9D8" w14:textId="77777777" w:rsidR="00530970" w:rsidRDefault="00000000">
            <w:pPr>
              <w:pStyle w:val="Compact"/>
            </w:pPr>
            <w:r>
              <w:t>Identification as a randomised trial.</w:t>
            </w:r>
          </w:p>
        </w:tc>
        <w:tc>
          <w:tcPr>
            <w:tcW w:w="2375" w:type="dxa"/>
          </w:tcPr>
          <w:p w14:paraId="70799DD4" w14:textId="77777777" w:rsidR="006F2583" w:rsidRDefault="00000000">
            <w:r>
              <w:rPr>
                <w:rFonts w:ascii="Arial" w:hAnsi="Arial"/>
                <w:sz w:val="18"/>
              </w:rPr>
              <w:t>Title page. The title identifies the study as a randomised controlled trial.</w:t>
            </w:r>
          </w:p>
        </w:tc>
      </w:tr>
      <w:tr w:rsidR="00530970" w14:paraId="4642BFC4" w14:textId="77777777">
        <w:tc>
          <w:tcPr>
            <w:tcW w:w="1584" w:type="dxa"/>
          </w:tcPr>
          <w:p w14:paraId="5B524836" w14:textId="77777777" w:rsidR="00530970" w:rsidRDefault="00530970">
            <w:pPr>
              <w:pStyle w:val="Compact"/>
            </w:pPr>
            <w:hyperlink r:id="rId12">
              <w:r>
                <w:rPr>
                  <w:rStyle w:val="Hiperligao"/>
                </w:rPr>
                <w:t>1b. Structured Abstract</w:t>
              </w:r>
            </w:hyperlink>
          </w:p>
        </w:tc>
        <w:tc>
          <w:tcPr>
            <w:tcW w:w="3959" w:type="dxa"/>
          </w:tcPr>
          <w:p w14:paraId="7EA9176E" w14:textId="77777777" w:rsidR="00530970" w:rsidRDefault="00000000">
            <w:pPr>
              <w:pStyle w:val="Compact"/>
            </w:pPr>
            <w:r>
              <w:t>Structured summary of the trial design, methods, results, and conclusions.</w:t>
            </w:r>
          </w:p>
        </w:tc>
        <w:tc>
          <w:tcPr>
            <w:tcW w:w="2375" w:type="dxa"/>
          </w:tcPr>
          <w:p w14:paraId="37F4D2AB" w14:textId="77777777" w:rsidR="006F2583" w:rsidRDefault="00000000">
            <w:r>
              <w:rPr>
                <w:rFonts w:ascii="Arial" w:hAnsi="Arial"/>
                <w:sz w:val="18"/>
              </w:rPr>
              <w:t>Abstract, structured under Background, Methods, Results and Conclusions, summarising design, setting, participants, intervention, outcomes and results.</w:t>
            </w:r>
          </w:p>
        </w:tc>
      </w:tr>
      <w:tr w:rsidR="00530970" w14:paraId="703F27D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9C38D49" w14:textId="77777777" w:rsidR="00530970" w:rsidRDefault="00000000">
            <w:pPr>
              <w:pStyle w:val="Compact"/>
            </w:pPr>
            <w:r>
              <w:t> </w:t>
            </w:r>
            <w:r>
              <w:rPr>
                <w:b/>
                <w:bCs/>
              </w:rPr>
              <w:t>Open Science</w:t>
            </w:r>
          </w:p>
        </w:tc>
        <w:tc>
          <w:tcPr>
            <w:tcW w:w="3959" w:type="dxa"/>
          </w:tcPr>
          <w:p w14:paraId="2E0FDD26" w14:textId="77777777" w:rsidR="00530970" w:rsidRDefault="00530970">
            <w:pPr>
              <w:pStyle w:val="Compact"/>
            </w:pPr>
          </w:p>
        </w:tc>
        <w:tc>
          <w:tcPr>
            <w:tcW w:w="2375" w:type="dxa"/>
          </w:tcPr>
          <w:p w14:paraId="31A3B40D" w14:textId="77777777" w:rsidR="00530970" w:rsidRDefault="00530970">
            <w:pPr>
              <w:pStyle w:val="Compact"/>
            </w:pPr>
          </w:p>
        </w:tc>
      </w:tr>
      <w:tr w:rsidR="00530970" w14:paraId="09934D76" w14:textId="77777777">
        <w:tc>
          <w:tcPr>
            <w:tcW w:w="1584" w:type="dxa"/>
          </w:tcPr>
          <w:p w14:paraId="41E964FD" w14:textId="77777777" w:rsidR="00530970" w:rsidRDefault="00530970">
            <w:pPr>
              <w:pStyle w:val="Compact"/>
            </w:pPr>
            <w:hyperlink r:id="rId13">
              <w:r>
                <w:rPr>
                  <w:rStyle w:val="Hiperligao"/>
                </w:rPr>
                <w:t>2. Trial Registration</w:t>
              </w:r>
            </w:hyperlink>
          </w:p>
        </w:tc>
        <w:tc>
          <w:tcPr>
            <w:tcW w:w="3959" w:type="dxa"/>
          </w:tcPr>
          <w:p w14:paraId="31D4029F" w14:textId="77777777" w:rsidR="00530970" w:rsidRDefault="00000000">
            <w:pPr>
              <w:pStyle w:val="Compact"/>
            </w:pPr>
            <w:r>
              <w:t>Name of trial registry, identifying number (with URL) and date of registration.</w:t>
            </w:r>
          </w:p>
        </w:tc>
        <w:tc>
          <w:tcPr>
            <w:tcW w:w="2375" w:type="dxa"/>
          </w:tcPr>
          <w:p w14:paraId="2D7556E5" w14:textId="77777777" w:rsidR="006F2583" w:rsidRDefault="00000000">
            <w:r>
              <w:rPr>
                <w:rFonts w:ascii="Arial" w:hAnsi="Arial"/>
                <w:sz w:val="18"/>
              </w:rPr>
              <w:t>Abstract, Trial registration: ClinicalTrials.gov, NCT07346937, https://clinicaltrials.gov/study/NCT07346937, registered on 16 January 2026, before enrolment of the first participant.</w:t>
            </w:r>
          </w:p>
        </w:tc>
      </w:tr>
      <w:tr w:rsidR="00530970" w14:paraId="1EBC8E50"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730F592B" w14:textId="77777777" w:rsidR="00530970" w:rsidRDefault="00530970">
            <w:pPr>
              <w:pStyle w:val="Compact"/>
            </w:pPr>
            <w:hyperlink r:id="rId14">
              <w:r>
                <w:rPr>
                  <w:rStyle w:val="Hiperligao"/>
                </w:rPr>
                <w:t xml:space="preserve">Protocol and statistical analysis </w:t>
              </w:r>
              <w:r>
                <w:rPr>
                  <w:rStyle w:val="Hiperligao"/>
                </w:rPr>
                <w:lastRenderedPageBreak/>
                <w:t>plan</w:t>
              </w:r>
            </w:hyperlink>
          </w:p>
        </w:tc>
        <w:tc>
          <w:tcPr>
            <w:tcW w:w="3959" w:type="dxa"/>
          </w:tcPr>
          <w:p w14:paraId="2EDCB464" w14:textId="77777777" w:rsidR="00530970" w:rsidRDefault="00000000">
            <w:pPr>
              <w:pStyle w:val="Compact"/>
            </w:pPr>
            <w:r>
              <w:lastRenderedPageBreak/>
              <w:t>Where the trial protocol and statistical analysis plan can be accessed.</w:t>
            </w:r>
          </w:p>
        </w:tc>
        <w:tc>
          <w:tcPr>
            <w:tcW w:w="2375" w:type="dxa"/>
          </w:tcPr>
          <w:p w14:paraId="64013E36" w14:textId="77777777" w:rsidR="006F2583" w:rsidRDefault="00000000">
            <w:r>
              <w:rPr>
                <w:rFonts w:ascii="Arial" w:hAnsi="Arial"/>
                <w:sz w:val="18"/>
              </w:rPr>
              <w:t xml:space="preserve">Declarations, Availability of data and materials: the study protocol is available with the trial registration </w:t>
            </w:r>
            <w:r>
              <w:rPr>
                <w:rFonts w:ascii="Arial" w:hAnsi="Arial"/>
                <w:sz w:val="18"/>
              </w:rPr>
              <w:lastRenderedPageBreak/>
              <w:t>record at https://clinicaltrials.gov/study/NCT07346937. No separate statistical analysis plan was prepared; the planned analysis is described in the protocol and in Methods, Sample size and statistical analysis, paragraphs 1 to 3.</w:t>
            </w:r>
          </w:p>
        </w:tc>
      </w:tr>
      <w:tr w:rsidR="00530970" w14:paraId="13027FC4" w14:textId="77777777">
        <w:tc>
          <w:tcPr>
            <w:tcW w:w="1584" w:type="dxa"/>
          </w:tcPr>
          <w:p w14:paraId="42AC4DBB" w14:textId="77777777" w:rsidR="00530970" w:rsidRDefault="00530970">
            <w:pPr>
              <w:pStyle w:val="Compact"/>
            </w:pPr>
            <w:hyperlink r:id="rId15">
              <w:r>
                <w:rPr>
                  <w:rStyle w:val="Hiperligao"/>
                </w:rPr>
                <w:t>4. Data sharing</w:t>
              </w:r>
            </w:hyperlink>
          </w:p>
        </w:tc>
        <w:tc>
          <w:tcPr>
            <w:tcW w:w="3959" w:type="dxa"/>
          </w:tcPr>
          <w:p w14:paraId="672EE163" w14:textId="77777777" w:rsidR="00530970" w:rsidRDefault="00000000">
            <w:pPr>
              <w:pStyle w:val="Compact"/>
            </w:pPr>
            <w:r>
              <w:t>Where and how the individual de-identified participant data (including data dictionary), statistical code and any other materials can be accessed.</w:t>
            </w:r>
          </w:p>
        </w:tc>
        <w:tc>
          <w:tcPr>
            <w:tcW w:w="2375" w:type="dxa"/>
          </w:tcPr>
          <w:p w14:paraId="0C8986BC" w14:textId="77777777" w:rsidR="006F2583" w:rsidRDefault="00000000">
            <w:r>
              <w:rPr>
                <w:rFonts w:ascii="Arial" w:hAnsi="Arial"/>
                <w:sz w:val="18"/>
              </w:rPr>
              <w:t>Declarations, Availability of data and materials: individual participant data cannot be shared; aggregated and anonymised data are available on reasonable request, retained for one year after the end of the study.</w:t>
            </w:r>
          </w:p>
        </w:tc>
      </w:tr>
      <w:tr w:rsidR="00530970" w14:paraId="00B76559"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1EC2EC9" w14:textId="77777777" w:rsidR="00530970" w:rsidRDefault="00000000">
            <w:pPr>
              <w:pStyle w:val="Compact"/>
            </w:pPr>
            <w:r>
              <w:t> 5. Funding and Conflicts of Interest</w:t>
            </w:r>
          </w:p>
        </w:tc>
        <w:tc>
          <w:tcPr>
            <w:tcW w:w="3959" w:type="dxa"/>
          </w:tcPr>
          <w:p w14:paraId="3CCBB1C8" w14:textId="77777777" w:rsidR="00530970" w:rsidRDefault="00530970">
            <w:pPr>
              <w:pStyle w:val="Compact"/>
            </w:pPr>
          </w:p>
        </w:tc>
        <w:tc>
          <w:tcPr>
            <w:tcW w:w="2375" w:type="dxa"/>
          </w:tcPr>
          <w:p w14:paraId="6D701A8C" w14:textId="77777777" w:rsidR="00530970" w:rsidRDefault="00530970">
            <w:pPr>
              <w:pStyle w:val="Compact"/>
            </w:pPr>
          </w:p>
        </w:tc>
      </w:tr>
      <w:tr w:rsidR="00530970" w14:paraId="03F85DE8" w14:textId="77777777">
        <w:tc>
          <w:tcPr>
            <w:tcW w:w="1584" w:type="dxa"/>
          </w:tcPr>
          <w:p w14:paraId="16B7BDCF" w14:textId="77777777" w:rsidR="00530970" w:rsidRDefault="00530970">
            <w:pPr>
              <w:pStyle w:val="Compact"/>
            </w:pPr>
            <w:hyperlink r:id="rId16">
              <w:r>
                <w:rPr>
                  <w:rStyle w:val="Hiperligao"/>
                </w:rPr>
                <w:t>5a. Funding</w:t>
              </w:r>
            </w:hyperlink>
          </w:p>
        </w:tc>
        <w:tc>
          <w:tcPr>
            <w:tcW w:w="3959" w:type="dxa"/>
          </w:tcPr>
          <w:p w14:paraId="21F963B4" w14:textId="77777777" w:rsidR="00530970" w:rsidRDefault="00000000">
            <w:pPr>
              <w:pStyle w:val="Compact"/>
            </w:pPr>
            <w:r>
              <w:t>Sources of funding and other support (eg, supply of drugs), and role of funders in the design, conduct, analysis, and reporting of the trial.</w:t>
            </w:r>
          </w:p>
        </w:tc>
        <w:tc>
          <w:tcPr>
            <w:tcW w:w="2375" w:type="dxa"/>
          </w:tcPr>
          <w:p w14:paraId="7772A387" w14:textId="77777777" w:rsidR="006F2583" w:rsidRDefault="00000000">
            <w:r>
              <w:rPr>
                <w:rFonts w:ascii="Arial" w:hAnsi="Arial"/>
                <w:sz w:val="18"/>
              </w:rPr>
              <w:t>Declarations, Funding: the study received no funding.</w:t>
            </w:r>
          </w:p>
        </w:tc>
      </w:tr>
      <w:tr w:rsidR="00530970" w14:paraId="5D92AC8D"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A373FB5" w14:textId="77777777" w:rsidR="00530970" w:rsidRDefault="00530970">
            <w:pPr>
              <w:pStyle w:val="Compact"/>
            </w:pPr>
            <w:hyperlink r:id="rId17">
              <w:r>
                <w:rPr>
                  <w:rStyle w:val="Hiperligao"/>
                </w:rPr>
                <w:t>5b. Conflicts of interest</w:t>
              </w:r>
            </w:hyperlink>
          </w:p>
        </w:tc>
        <w:tc>
          <w:tcPr>
            <w:tcW w:w="3959" w:type="dxa"/>
          </w:tcPr>
          <w:p w14:paraId="6493E5F5" w14:textId="77777777" w:rsidR="00530970" w:rsidRDefault="00000000">
            <w:pPr>
              <w:pStyle w:val="Compact"/>
            </w:pPr>
            <w:r>
              <w:t>Financial and other conflicts of interest of the manuscript authors.</w:t>
            </w:r>
          </w:p>
        </w:tc>
        <w:tc>
          <w:tcPr>
            <w:tcW w:w="2375" w:type="dxa"/>
          </w:tcPr>
          <w:p w14:paraId="18E9D4BA" w14:textId="77777777" w:rsidR="006F2583" w:rsidRDefault="00000000">
            <w:r>
              <w:rPr>
                <w:rFonts w:ascii="Arial" w:hAnsi="Arial"/>
                <w:sz w:val="18"/>
              </w:rPr>
              <w:t>Declarations, Competing interests: no competing interests, and no author has any financial or intellectual property interest in the simulator, its control system or the assessment instruments.</w:t>
            </w:r>
          </w:p>
        </w:tc>
      </w:tr>
      <w:tr w:rsidR="00530970" w14:paraId="7598E665" w14:textId="77777777">
        <w:tc>
          <w:tcPr>
            <w:tcW w:w="1584" w:type="dxa"/>
          </w:tcPr>
          <w:p w14:paraId="5EF273EA" w14:textId="77777777" w:rsidR="00530970" w:rsidRDefault="00000000">
            <w:pPr>
              <w:pStyle w:val="Compact"/>
            </w:pPr>
            <w:r>
              <w:t> </w:t>
            </w:r>
            <w:r>
              <w:rPr>
                <w:b/>
                <w:bCs/>
              </w:rPr>
              <w:t>Introduction</w:t>
            </w:r>
          </w:p>
        </w:tc>
        <w:tc>
          <w:tcPr>
            <w:tcW w:w="3959" w:type="dxa"/>
          </w:tcPr>
          <w:p w14:paraId="1655B7EB" w14:textId="77777777" w:rsidR="00530970" w:rsidRDefault="00530970">
            <w:pPr>
              <w:pStyle w:val="Compact"/>
            </w:pPr>
          </w:p>
        </w:tc>
        <w:tc>
          <w:tcPr>
            <w:tcW w:w="2375" w:type="dxa"/>
          </w:tcPr>
          <w:p w14:paraId="717D7907" w14:textId="77777777" w:rsidR="00530970" w:rsidRDefault="00530970">
            <w:pPr>
              <w:pStyle w:val="Compact"/>
            </w:pPr>
          </w:p>
        </w:tc>
      </w:tr>
      <w:tr w:rsidR="00530970" w14:paraId="2C45ECD7"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5CB9D44" w14:textId="77777777" w:rsidR="00530970" w:rsidRDefault="00530970">
            <w:pPr>
              <w:pStyle w:val="Compact"/>
            </w:pPr>
            <w:hyperlink r:id="rId18">
              <w:r>
                <w:rPr>
                  <w:rStyle w:val="Hiperligao"/>
                </w:rPr>
                <w:t>6. Background and rationale</w:t>
              </w:r>
            </w:hyperlink>
          </w:p>
        </w:tc>
        <w:tc>
          <w:tcPr>
            <w:tcW w:w="3959" w:type="dxa"/>
          </w:tcPr>
          <w:p w14:paraId="6F5CF4D2" w14:textId="77777777" w:rsidR="00530970" w:rsidRDefault="00000000">
            <w:pPr>
              <w:pStyle w:val="Compact"/>
            </w:pPr>
            <w:r>
              <w:t>Scientific background and rationale.</w:t>
            </w:r>
          </w:p>
        </w:tc>
        <w:tc>
          <w:tcPr>
            <w:tcW w:w="2375" w:type="dxa"/>
          </w:tcPr>
          <w:p w14:paraId="5C290231" w14:textId="77777777" w:rsidR="006F2583" w:rsidRDefault="00000000">
            <w:r>
              <w:rPr>
                <w:rFonts w:ascii="Arial" w:hAnsi="Arial"/>
                <w:sz w:val="18"/>
              </w:rPr>
              <w:t>Background, paragraphs 1 to 4: effectiveness of simulation-based team training established, the setting as the open question, confounding in published comparisons and the two randomised trials confined to obstetrics.</w:t>
            </w:r>
          </w:p>
        </w:tc>
      </w:tr>
      <w:tr w:rsidR="00530970" w14:paraId="77C6217D" w14:textId="77777777">
        <w:tc>
          <w:tcPr>
            <w:tcW w:w="1584" w:type="dxa"/>
          </w:tcPr>
          <w:p w14:paraId="119BC22F" w14:textId="77777777" w:rsidR="00530970" w:rsidRDefault="00530970">
            <w:pPr>
              <w:pStyle w:val="Compact"/>
            </w:pPr>
            <w:hyperlink r:id="rId19">
              <w:r>
                <w:rPr>
                  <w:rStyle w:val="Hiperligao"/>
                </w:rPr>
                <w:t>7. Objectives</w:t>
              </w:r>
            </w:hyperlink>
          </w:p>
        </w:tc>
        <w:tc>
          <w:tcPr>
            <w:tcW w:w="3959" w:type="dxa"/>
          </w:tcPr>
          <w:p w14:paraId="1F7542E4" w14:textId="77777777" w:rsidR="00530970" w:rsidRDefault="00000000">
            <w:pPr>
              <w:pStyle w:val="Compact"/>
            </w:pPr>
            <w:r>
              <w:t>Specific objectives related to benefits and harms.</w:t>
            </w:r>
          </w:p>
        </w:tc>
        <w:tc>
          <w:tcPr>
            <w:tcW w:w="2375" w:type="dxa"/>
          </w:tcPr>
          <w:p w14:paraId="7093F90B" w14:textId="77777777" w:rsidR="006F2583" w:rsidRDefault="00000000">
            <w:r>
              <w:rPr>
                <w:rFonts w:ascii="Arial" w:hAnsi="Arial"/>
                <w:sz w:val="18"/>
              </w:rPr>
              <w:t>Background, paragraph 5, which also states that simulation is the subject of the research, the physical setting being the independent variable; Abstract, Background, final sentence.</w:t>
            </w:r>
          </w:p>
        </w:tc>
      </w:tr>
      <w:tr w:rsidR="00530970" w14:paraId="043B6D6D"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6FFBA6A" w14:textId="77777777" w:rsidR="00530970" w:rsidRDefault="00000000">
            <w:pPr>
              <w:pStyle w:val="Compact"/>
            </w:pPr>
            <w:r>
              <w:t> </w:t>
            </w:r>
            <w:r>
              <w:rPr>
                <w:b/>
                <w:bCs/>
              </w:rPr>
              <w:t>Methods</w:t>
            </w:r>
          </w:p>
        </w:tc>
        <w:tc>
          <w:tcPr>
            <w:tcW w:w="3959" w:type="dxa"/>
          </w:tcPr>
          <w:p w14:paraId="1B9F2DAE" w14:textId="77777777" w:rsidR="00530970" w:rsidRDefault="00530970">
            <w:pPr>
              <w:pStyle w:val="Compact"/>
            </w:pPr>
          </w:p>
        </w:tc>
        <w:tc>
          <w:tcPr>
            <w:tcW w:w="2375" w:type="dxa"/>
          </w:tcPr>
          <w:p w14:paraId="44A83664" w14:textId="77777777" w:rsidR="00530970" w:rsidRDefault="00530970">
            <w:pPr>
              <w:pStyle w:val="Compact"/>
            </w:pPr>
          </w:p>
        </w:tc>
      </w:tr>
      <w:tr w:rsidR="00530970" w14:paraId="4EF29B77" w14:textId="77777777">
        <w:tc>
          <w:tcPr>
            <w:tcW w:w="1584" w:type="dxa"/>
          </w:tcPr>
          <w:p w14:paraId="76E1B2EE" w14:textId="77777777" w:rsidR="00530970" w:rsidRDefault="00530970">
            <w:pPr>
              <w:pStyle w:val="Compact"/>
            </w:pPr>
            <w:hyperlink r:id="rId20">
              <w:r>
                <w:rPr>
                  <w:rStyle w:val="Hiperligao"/>
                </w:rPr>
                <w:t>8. Patient and public involvement</w:t>
              </w:r>
            </w:hyperlink>
          </w:p>
        </w:tc>
        <w:tc>
          <w:tcPr>
            <w:tcW w:w="3959" w:type="dxa"/>
          </w:tcPr>
          <w:p w14:paraId="4B9A477A" w14:textId="77777777" w:rsidR="00530970" w:rsidRDefault="00000000">
            <w:pPr>
              <w:pStyle w:val="Compact"/>
            </w:pPr>
            <w:r>
              <w:t>Details of patient or public involvement in the design, conduct and reporting of the trial.</w:t>
            </w:r>
          </w:p>
        </w:tc>
        <w:tc>
          <w:tcPr>
            <w:tcW w:w="2375" w:type="dxa"/>
          </w:tcPr>
          <w:p w14:paraId="78B4E643" w14:textId="77777777" w:rsidR="006F2583" w:rsidRDefault="00000000">
            <w:r>
              <w:rPr>
                <w:rFonts w:ascii="Arial" w:hAnsi="Arial"/>
                <w:sz w:val="18"/>
              </w:rPr>
              <w:t>Methods, Design, setting and ethical considerations, final paragraph: patients and the public were not involved in the design, conduct, reporting or dissemination, and no patient data were used.</w:t>
            </w:r>
          </w:p>
        </w:tc>
      </w:tr>
      <w:tr w:rsidR="00530970" w14:paraId="11239493"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4C42F920" w14:textId="77777777" w:rsidR="00530970" w:rsidRDefault="00530970">
            <w:pPr>
              <w:pStyle w:val="Compact"/>
            </w:pPr>
            <w:hyperlink r:id="rId21">
              <w:r>
                <w:rPr>
                  <w:rStyle w:val="Hiperligao"/>
                </w:rPr>
                <w:t>9. Trial Design</w:t>
              </w:r>
            </w:hyperlink>
          </w:p>
        </w:tc>
        <w:tc>
          <w:tcPr>
            <w:tcW w:w="3959" w:type="dxa"/>
          </w:tcPr>
          <w:p w14:paraId="405C12BF" w14:textId="77777777" w:rsidR="00530970" w:rsidRDefault="00000000">
            <w:pPr>
              <w:pStyle w:val="Compact"/>
            </w:pPr>
            <w:r>
              <w:t>Description of trial design including type of trial (eg, parallel group, crossover), allocation ratio, and framework (eg, superiority, equivalence, non-inferiority, exploratory).</w:t>
            </w:r>
          </w:p>
        </w:tc>
        <w:tc>
          <w:tcPr>
            <w:tcW w:w="2375" w:type="dxa"/>
          </w:tcPr>
          <w:p w14:paraId="2748063A" w14:textId="77777777" w:rsidR="006F2583" w:rsidRDefault="00000000">
            <w:r>
              <w:rPr>
                <w:rFonts w:ascii="Arial" w:hAnsi="Arial"/>
                <w:sz w:val="18"/>
              </w:rPr>
              <w:t>Methods, Design, setting and ethical considerations, paragraph 1: multicentre, parallel-group, unblinded randomised controlled trial, 1:1 allocation, individual professional as unit of randomisation and analysis, intervention delivered to teams constituted after allocation (individually randomised group-treatment trial), exploratory framework with two-sided tests, no primary outcome and no equivalence or non-inferiority margin.</w:t>
            </w:r>
          </w:p>
        </w:tc>
      </w:tr>
      <w:tr w:rsidR="00530970" w14:paraId="58CBFDF5" w14:textId="77777777">
        <w:tc>
          <w:tcPr>
            <w:tcW w:w="1584" w:type="dxa"/>
          </w:tcPr>
          <w:p w14:paraId="1D07730B" w14:textId="77777777" w:rsidR="00530970" w:rsidRDefault="00530970">
            <w:pPr>
              <w:pStyle w:val="Compact"/>
            </w:pPr>
            <w:hyperlink r:id="rId22">
              <w:r>
                <w:rPr>
                  <w:rStyle w:val="Hiperligao"/>
                </w:rPr>
                <w:t xml:space="preserve">10. Changes to trial </w:t>
              </w:r>
              <w:r>
                <w:rPr>
                  <w:rStyle w:val="Hiperligao"/>
                </w:rPr>
                <w:lastRenderedPageBreak/>
                <w:t>protocol</w:t>
              </w:r>
            </w:hyperlink>
          </w:p>
        </w:tc>
        <w:tc>
          <w:tcPr>
            <w:tcW w:w="3959" w:type="dxa"/>
          </w:tcPr>
          <w:p w14:paraId="41D523D8" w14:textId="77777777" w:rsidR="00530970" w:rsidRDefault="00000000">
            <w:pPr>
              <w:pStyle w:val="Compact"/>
            </w:pPr>
            <w:r>
              <w:lastRenderedPageBreak/>
              <w:t xml:space="preserve">Important changes to the trial after it commenced </w:t>
            </w:r>
            <w:r>
              <w:lastRenderedPageBreak/>
              <w:t>including any outcomes or analyses that were not pre-specified, with reason.</w:t>
            </w:r>
          </w:p>
        </w:tc>
        <w:tc>
          <w:tcPr>
            <w:tcW w:w="2375" w:type="dxa"/>
          </w:tcPr>
          <w:p w14:paraId="28CCEDD0" w14:textId="77777777" w:rsidR="006F2583" w:rsidRDefault="00000000">
            <w:r>
              <w:rPr>
                <w:rFonts w:ascii="Arial" w:hAnsi="Arial"/>
                <w:sz w:val="18"/>
              </w:rPr>
              <w:lastRenderedPageBreak/>
              <w:t xml:space="preserve">Methods, Changes to the trial </w:t>
            </w:r>
            <w:r>
              <w:rPr>
                <w:rFonts w:ascii="Arial" w:hAnsi="Arial"/>
                <w:sz w:val="18"/>
              </w:rPr>
              <w:lastRenderedPageBreak/>
              <w:t>protocol, paragraph 1. All nine changes were decided during the design phase, before the first participant was enrolled on 17 January 2026, a date reported here rather than in the manuscript text. Three of them bear on interpretation: a second in situ site was added, with the request for an opinion submitted to the ULSSJ ethics committee on 6 January 2026, a favourable opinion on 15 April 2026 and the sessions of that group from 16 April 2026; the assumed standardised effect size was revised from 0.50 to 0.60 on 6 January 2026, before the registration record was posted, which set the sample at 98 participants; and detection of latent safety threats was withdrawn from the outcomes. All nine changes, with reasons and dates, are in Additional File 6.</w:t>
            </w:r>
          </w:p>
        </w:tc>
      </w:tr>
      <w:tr w:rsidR="00530970" w14:paraId="31884B17"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4DA7F17" w14:textId="77777777" w:rsidR="00530970" w:rsidRDefault="00530970">
            <w:pPr>
              <w:pStyle w:val="Compact"/>
            </w:pPr>
            <w:hyperlink r:id="rId23">
              <w:r>
                <w:rPr>
                  <w:rStyle w:val="Hiperligao"/>
                </w:rPr>
                <w:t>11. Trial Setting</w:t>
              </w:r>
            </w:hyperlink>
          </w:p>
        </w:tc>
        <w:tc>
          <w:tcPr>
            <w:tcW w:w="3959" w:type="dxa"/>
          </w:tcPr>
          <w:p w14:paraId="6D4A5C16" w14:textId="77777777" w:rsidR="00530970" w:rsidRDefault="00000000">
            <w:pPr>
              <w:pStyle w:val="Compact"/>
            </w:pPr>
            <w:r>
              <w:t>Settings (eg, community, hospital) and locations (eg, countries, sites) where the trial was conducted.</w:t>
            </w:r>
          </w:p>
        </w:tc>
        <w:tc>
          <w:tcPr>
            <w:tcW w:w="2375" w:type="dxa"/>
          </w:tcPr>
          <w:p w14:paraId="58BBA3D0" w14:textId="77777777" w:rsidR="006F2583" w:rsidRDefault="00000000">
            <w:r>
              <w:rPr>
                <w:rFonts w:ascii="Arial" w:hAnsi="Arial"/>
                <w:sz w:val="18"/>
              </w:rPr>
              <w:t>Methods, Design, setting and ethical considerations, paragraph 2: the two in situ services (BO-ULSM and UPA-ULSSJ) as experimental setting and SIMFMUP as active comparator, with the number of participants allocated to each setting. Methods, Equivalence matrix of the settings, paragraph 3, describes the working conditions of the in situ services. The dates for each site are given in Methods, Recruitment and psychological safety, and in item 23a of this checklist.</w:t>
            </w:r>
          </w:p>
        </w:tc>
      </w:tr>
      <w:tr w:rsidR="00530970" w14:paraId="5C5FF41C" w14:textId="77777777">
        <w:tc>
          <w:tcPr>
            <w:tcW w:w="1584" w:type="dxa"/>
          </w:tcPr>
          <w:p w14:paraId="54B573BE" w14:textId="77777777" w:rsidR="00530970" w:rsidRDefault="00000000">
            <w:pPr>
              <w:pStyle w:val="Compact"/>
            </w:pPr>
            <w:r>
              <w:t> 12. Eligibility Criteria</w:t>
            </w:r>
          </w:p>
        </w:tc>
        <w:tc>
          <w:tcPr>
            <w:tcW w:w="3959" w:type="dxa"/>
          </w:tcPr>
          <w:p w14:paraId="50261750" w14:textId="77777777" w:rsidR="00530970" w:rsidRDefault="00530970">
            <w:pPr>
              <w:pStyle w:val="Compact"/>
            </w:pPr>
          </w:p>
        </w:tc>
        <w:tc>
          <w:tcPr>
            <w:tcW w:w="2375" w:type="dxa"/>
          </w:tcPr>
          <w:p w14:paraId="6059495A" w14:textId="77777777" w:rsidR="00530970" w:rsidRDefault="00530970">
            <w:pPr>
              <w:pStyle w:val="Compact"/>
            </w:pPr>
          </w:p>
        </w:tc>
      </w:tr>
      <w:tr w:rsidR="00530970" w14:paraId="279E9994"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824BE05" w14:textId="77777777" w:rsidR="00530970" w:rsidRDefault="00530970">
            <w:pPr>
              <w:pStyle w:val="Compact"/>
            </w:pPr>
            <w:hyperlink r:id="rId24">
              <w:r>
                <w:rPr>
                  <w:rStyle w:val="Hiperligao"/>
                </w:rPr>
                <w:t>12a. Participants</w:t>
              </w:r>
            </w:hyperlink>
          </w:p>
        </w:tc>
        <w:tc>
          <w:tcPr>
            <w:tcW w:w="3959" w:type="dxa"/>
          </w:tcPr>
          <w:p w14:paraId="649ABC93" w14:textId="77777777" w:rsidR="00530970" w:rsidRDefault="00000000">
            <w:pPr>
              <w:pStyle w:val="Compact"/>
            </w:pPr>
            <w:r>
              <w:t>Eligibility criteria for participants.</w:t>
            </w:r>
          </w:p>
        </w:tc>
        <w:tc>
          <w:tcPr>
            <w:tcW w:w="2375" w:type="dxa"/>
          </w:tcPr>
          <w:p w14:paraId="1F414FC9" w14:textId="77777777" w:rsidR="006F2583" w:rsidRDefault="00000000">
            <w:r>
              <w:rPr>
                <w:rFonts w:ascii="Arial" w:hAnsi="Arial"/>
                <w:sz w:val="18"/>
              </w:rPr>
              <w:t>Methods, Participants and team composition, paragraphs 1 and 2: target population (doctors of other specialties not included because LAST is an anaesthetic emergency), inclusion criteria and exclusion criteria.</w:t>
            </w:r>
          </w:p>
        </w:tc>
      </w:tr>
      <w:tr w:rsidR="00530970" w14:paraId="0836DB47" w14:textId="77777777">
        <w:tc>
          <w:tcPr>
            <w:tcW w:w="1584" w:type="dxa"/>
          </w:tcPr>
          <w:p w14:paraId="0A768827" w14:textId="77777777" w:rsidR="00530970" w:rsidRDefault="00530970">
            <w:pPr>
              <w:pStyle w:val="Compact"/>
            </w:pPr>
            <w:hyperlink r:id="rId25">
              <w:r>
                <w:rPr>
                  <w:rStyle w:val="Hiperligao"/>
                </w:rPr>
                <w:t>12b. Other</w:t>
              </w:r>
            </w:hyperlink>
          </w:p>
        </w:tc>
        <w:tc>
          <w:tcPr>
            <w:tcW w:w="3959" w:type="dxa"/>
          </w:tcPr>
          <w:p w14:paraId="0051FB4A" w14:textId="77777777" w:rsidR="00530970" w:rsidRDefault="00000000">
            <w:pPr>
              <w:pStyle w:val="Compact"/>
            </w:pPr>
            <w:r>
              <w:t>If applicable, eligibility criteria for sites and for individuals delivering the interventions (eg, surgeons, physiotherapists).</w:t>
            </w:r>
          </w:p>
        </w:tc>
        <w:tc>
          <w:tcPr>
            <w:tcW w:w="2375" w:type="dxa"/>
          </w:tcPr>
          <w:p w14:paraId="6422056C" w14:textId="77777777" w:rsidR="006F2583" w:rsidRDefault="00000000">
            <w:r>
              <w:rPr>
                <w:rFonts w:ascii="Arial" w:hAnsi="Arial"/>
                <w:sz w:val="18"/>
              </w:rPr>
              <w:t>Methods, Facilitation and debriefing, paragraph 1: both facilitators hold simulation instructor training and each had four years of experience in interprofessional clinical simulation. Methods, Design, setting and ethical considerations, paragraph 2, describes the sites.</w:t>
            </w:r>
          </w:p>
        </w:tc>
      </w:tr>
      <w:tr w:rsidR="00530970" w14:paraId="5E039A0B"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3B86E8E4" w14:textId="77777777" w:rsidR="00530970" w:rsidRDefault="00530970">
            <w:pPr>
              <w:pStyle w:val="Compact"/>
            </w:pPr>
            <w:hyperlink r:id="rId26">
              <w:r>
                <w:rPr>
                  <w:rStyle w:val="Hiperligao"/>
                </w:rPr>
                <w:t>13. Intervention and comparator</w:t>
              </w:r>
            </w:hyperlink>
          </w:p>
        </w:tc>
        <w:tc>
          <w:tcPr>
            <w:tcW w:w="3959" w:type="dxa"/>
          </w:tcPr>
          <w:p w14:paraId="41A15236" w14:textId="77777777" w:rsidR="00530970" w:rsidRDefault="00000000">
            <w:pPr>
              <w:pStyle w:val="Compact"/>
            </w:pPr>
            <w:r>
              <w:t>Intervention and comparator with sufficient details to allow replication. If relevant, where additional materials describing the intervention and comparator (eg, intervention manual) can be accessed.</w:t>
            </w:r>
          </w:p>
        </w:tc>
        <w:tc>
          <w:tcPr>
            <w:tcW w:w="2375" w:type="dxa"/>
          </w:tcPr>
          <w:p w14:paraId="64DBC439" w14:textId="77777777" w:rsidR="006F2583" w:rsidRDefault="00000000">
            <w:r>
              <w:rPr>
                <w:rFonts w:ascii="Arial" w:hAnsi="Arial"/>
                <w:sz w:val="18"/>
              </w:rPr>
              <w:t xml:space="preserve">Methods, Equivalence matrix of the settings, paragraphs 1 to 4, and Table 1, which identifies the simulator, its control system and the monitor by make and model (Resusci Anne, Laerdal Medical, Stavanger, Norway, operated by SimPad PLUS with SimSTART monitor); Clinical scenario and participant pathway, paragraphs 1 to 4; Facilitation and debriefing, paragraphs 1 and 2. Additional Files 1 to 4 give the scenario, the session plan, the debriefing script and the </w:t>
            </w:r>
            <w:r>
              <w:rPr>
                <w:rFonts w:ascii="Arial" w:hAnsi="Arial"/>
                <w:sz w:val="18"/>
              </w:rPr>
              <w:lastRenderedPageBreak/>
              <w:t>observation grid.</w:t>
            </w:r>
          </w:p>
        </w:tc>
      </w:tr>
      <w:tr w:rsidR="00530970" w14:paraId="4FB50060" w14:textId="77777777">
        <w:tc>
          <w:tcPr>
            <w:tcW w:w="1584" w:type="dxa"/>
          </w:tcPr>
          <w:p w14:paraId="4B3981F2" w14:textId="77777777" w:rsidR="00530970" w:rsidRDefault="00530970">
            <w:pPr>
              <w:pStyle w:val="Compact"/>
            </w:pPr>
            <w:hyperlink r:id="rId27">
              <w:r>
                <w:rPr>
                  <w:rStyle w:val="Hiperligao"/>
                </w:rPr>
                <w:t>14. Outcomes</w:t>
              </w:r>
            </w:hyperlink>
          </w:p>
        </w:tc>
        <w:tc>
          <w:tcPr>
            <w:tcW w:w="3959" w:type="dxa"/>
          </w:tcPr>
          <w:p w14:paraId="783AF49B" w14:textId="77777777" w:rsidR="00530970" w:rsidRDefault="00000000">
            <w:pPr>
              <w:pStyle w:val="Compact"/>
            </w:pPr>
            <w: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2375" w:type="dxa"/>
          </w:tcPr>
          <w:p w14:paraId="08C6DA65" w14:textId="77777777" w:rsidR="006F2583" w:rsidRDefault="00000000">
            <w:r>
              <w:rPr>
                <w:rFonts w:ascii="Arial" w:hAnsi="Arial"/>
                <w:sz w:val="18"/>
              </w:rPr>
              <w:t>Methods, Instruments and variables under study, paragraphs 1 to 6, and Table 2 (instrument, construct, scoring, timing and analysis metric). No primary outcome was pre-specified, so all outcomes are exploratory and no adjustment for multiplicity was applied. All participants completed the same instruments, at the time points given in Table 2. Responses were collected electronically on the Cognito Forms platform, with pre- and post-session responses paired by a code generated by the participant; the platform is named here and not in the manuscript text.</w:t>
            </w:r>
          </w:p>
        </w:tc>
      </w:tr>
      <w:tr w:rsidR="00530970" w14:paraId="7AF4A84C"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DDC38BE" w14:textId="77777777" w:rsidR="00530970" w:rsidRDefault="00530970">
            <w:pPr>
              <w:pStyle w:val="Compact"/>
            </w:pPr>
            <w:hyperlink r:id="rId28">
              <w:r>
                <w:rPr>
                  <w:rStyle w:val="Hiperligao"/>
                </w:rPr>
                <w:t>15. Harms</w:t>
              </w:r>
            </w:hyperlink>
          </w:p>
        </w:tc>
        <w:tc>
          <w:tcPr>
            <w:tcW w:w="3959" w:type="dxa"/>
          </w:tcPr>
          <w:p w14:paraId="3479B102" w14:textId="77777777" w:rsidR="00530970" w:rsidRDefault="00000000">
            <w:pPr>
              <w:pStyle w:val="Compact"/>
            </w:pPr>
            <w:r>
              <w:t>How harms were defined and assessed (eg, systematically, non-systematically).</w:t>
            </w:r>
          </w:p>
        </w:tc>
        <w:tc>
          <w:tcPr>
            <w:tcW w:w="2375" w:type="dxa"/>
          </w:tcPr>
          <w:p w14:paraId="3B88676E" w14:textId="77777777" w:rsidR="006F2583" w:rsidRDefault="00000000">
            <w:r>
              <w:rPr>
                <w:rFonts w:ascii="Arial" w:hAnsi="Arial"/>
                <w:sz w:val="18"/>
              </w:rPr>
              <w:t>Reported in this checklist. Harms were defined a priori as any clinical, psychological or occupational adverse event occurring during or immediately after the session, including distress reported by a participant, and were monitored by the two facilitators in every session, in both settings. No systematic instrument was used, since the trial was conducted in a simulated environment and involved no patients. Results, Participant flow and baseline comparability, paragraph 1, reports that no adverse event was recorded in either setting.</w:t>
            </w:r>
          </w:p>
        </w:tc>
      </w:tr>
      <w:tr w:rsidR="00530970" w14:paraId="2AAB814B" w14:textId="77777777">
        <w:tc>
          <w:tcPr>
            <w:tcW w:w="1584" w:type="dxa"/>
          </w:tcPr>
          <w:p w14:paraId="16E95470" w14:textId="77777777" w:rsidR="00530970" w:rsidRDefault="00000000">
            <w:pPr>
              <w:pStyle w:val="Compact"/>
            </w:pPr>
            <w:r>
              <w:t> 16. Sample Size</w:t>
            </w:r>
          </w:p>
        </w:tc>
        <w:tc>
          <w:tcPr>
            <w:tcW w:w="3959" w:type="dxa"/>
          </w:tcPr>
          <w:p w14:paraId="105904AA" w14:textId="77777777" w:rsidR="00530970" w:rsidRDefault="00530970">
            <w:pPr>
              <w:pStyle w:val="Compact"/>
            </w:pPr>
          </w:p>
        </w:tc>
        <w:tc>
          <w:tcPr>
            <w:tcW w:w="2375" w:type="dxa"/>
          </w:tcPr>
          <w:p w14:paraId="4214952C" w14:textId="77777777" w:rsidR="00530970" w:rsidRDefault="00530970">
            <w:pPr>
              <w:pStyle w:val="Compact"/>
            </w:pPr>
          </w:p>
        </w:tc>
      </w:tr>
      <w:tr w:rsidR="00530970" w14:paraId="7B55359C"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08BD897" w14:textId="77777777" w:rsidR="00530970" w:rsidRDefault="00530970">
            <w:pPr>
              <w:pStyle w:val="Compact"/>
            </w:pPr>
            <w:hyperlink r:id="rId29">
              <w:r>
                <w:rPr>
                  <w:rStyle w:val="Hiperligao"/>
                </w:rPr>
                <w:t>16a. How sample size was determined</w:t>
              </w:r>
            </w:hyperlink>
          </w:p>
        </w:tc>
        <w:tc>
          <w:tcPr>
            <w:tcW w:w="3959" w:type="dxa"/>
          </w:tcPr>
          <w:p w14:paraId="6000D120" w14:textId="77777777" w:rsidR="00530970" w:rsidRDefault="00000000">
            <w:pPr>
              <w:pStyle w:val="Compact"/>
            </w:pPr>
            <w:r>
              <w:t>How sample size was determined, including all assumptions supporting the sample size calculation.</w:t>
            </w:r>
          </w:p>
        </w:tc>
        <w:tc>
          <w:tcPr>
            <w:tcW w:w="2375" w:type="dxa"/>
          </w:tcPr>
          <w:p w14:paraId="1A63A247" w14:textId="77777777" w:rsidR="006F2583" w:rsidRDefault="00000000">
            <w:r>
              <w:rPr>
                <w:rFonts w:ascii="Arial" w:hAnsi="Arial"/>
                <w:sz w:val="18"/>
              </w:rPr>
              <w:t>Methods, Sample size and statistical analysis, paragraph 1: G*Power 3.1.9.7, two-sided independent-samples t test, d = 0.60, alpha 0.05, power 0.80; 45 per setting, raised to 49 to form complete teams of seven.</w:t>
            </w:r>
          </w:p>
        </w:tc>
      </w:tr>
      <w:tr w:rsidR="00530970" w14:paraId="5B45166E" w14:textId="77777777">
        <w:tc>
          <w:tcPr>
            <w:tcW w:w="1584" w:type="dxa"/>
          </w:tcPr>
          <w:p w14:paraId="0EF6AE3E" w14:textId="77777777" w:rsidR="00530970" w:rsidRDefault="00530970">
            <w:pPr>
              <w:pStyle w:val="Compact"/>
            </w:pPr>
            <w:hyperlink r:id="rId30">
              <w:r>
                <w:rPr>
                  <w:rStyle w:val="Hiperligao"/>
                </w:rPr>
                <w:t>16b. Interim analyses and stopping criteria</w:t>
              </w:r>
            </w:hyperlink>
          </w:p>
        </w:tc>
        <w:tc>
          <w:tcPr>
            <w:tcW w:w="3959" w:type="dxa"/>
          </w:tcPr>
          <w:p w14:paraId="28872AB6" w14:textId="77777777" w:rsidR="00530970" w:rsidRDefault="00000000">
            <w:pPr>
              <w:pStyle w:val="Compact"/>
            </w:pPr>
            <w:r>
              <w:t>Explanation of any interim analyses and stopping guidelines.</w:t>
            </w:r>
          </w:p>
        </w:tc>
        <w:tc>
          <w:tcPr>
            <w:tcW w:w="2375" w:type="dxa"/>
          </w:tcPr>
          <w:p w14:paraId="647E45B5" w14:textId="77777777" w:rsidR="006F2583" w:rsidRDefault="00000000">
            <w:r>
              <w:rPr>
                <w:rFonts w:ascii="Arial" w:hAnsi="Arial"/>
                <w:sz w:val="18"/>
              </w:rPr>
              <w:t>Methods, Sample size and statistical analysis, paragraph 1, final sentence: no interim analysis was planned and no stopping rule was defined.</w:t>
            </w:r>
          </w:p>
        </w:tc>
      </w:tr>
      <w:tr w:rsidR="00530970" w14:paraId="613A0917"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47A6676" w14:textId="77777777" w:rsidR="00530970" w:rsidRDefault="00000000">
            <w:pPr>
              <w:pStyle w:val="Compact"/>
            </w:pPr>
            <w:r>
              <w:t> 17. Randomisation</w:t>
            </w:r>
          </w:p>
        </w:tc>
        <w:tc>
          <w:tcPr>
            <w:tcW w:w="3959" w:type="dxa"/>
          </w:tcPr>
          <w:p w14:paraId="66B970F1" w14:textId="77777777" w:rsidR="00530970" w:rsidRDefault="00530970">
            <w:pPr>
              <w:pStyle w:val="Compact"/>
            </w:pPr>
          </w:p>
        </w:tc>
        <w:tc>
          <w:tcPr>
            <w:tcW w:w="2375" w:type="dxa"/>
          </w:tcPr>
          <w:p w14:paraId="732EB09A" w14:textId="77777777" w:rsidR="00530970" w:rsidRDefault="00530970">
            <w:pPr>
              <w:pStyle w:val="Compact"/>
            </w:pPr>
          </w:p>
        </w:tc>
      </w:tr>
      <w:tr w:rsidR="00530970" w14:paraId="38E0D247" w14:textId="77777777">
        <w:tc>
          <w:tcPr>
            <w:tcW w:w="1584" w:type="dxa"/>
          </w:tcPr>
          <w:p w14:paraId="0A7BAF05" w14:textId="77777777" w:rsidR="00530970" w:rsidRDefault="00530970">
            <w:pPr>
              <w:pStyle w:val="Compact"/>
            </w:pPr>
            <w:hyperlink r:id="rId31">
              <w:r>
                <w:rPr>
                  <w:rStyle w:val="Hiperligao"/>
                </w:rPr>
                <w:t>17a. Sequence Generation</w:t>
              </w:r>
            </w:hyperlink>
          </w:p>
        </w:tc>
        <w:tc>
          <w:tcPr>
            <w:tcW w:w="3959" w:type="dxa"/>
          </w:tcPr>
          <w:p w14:paraId="45F6095D" w14:textId="77777777" w:rsidR="00530970" w:rsidRDefault="00000000">
            <w:pPr>
              <w:pStyle w:val="Compact"/>
            </w:pPr>
            <w:r>
              <w:t>Who generated the random allocation sequence and the method used.</w:t>
            </w:r>
          </w:p>
        </w:tc>
        <w:tc>
          <w:tcPr>
            <w:tcW w:w="2375" w:type="dxa"/>
          </w:tcPr>
          <w:p w14:paraId="0AD2179F" w14:textId="77777777" w:rsidR="006F2583" w:rsidRDefault="00000000">
            <w:r>
              <w:rPr>
                <w:rFonts w:ascii="Arial" w:hAnsi="Arial"/>
                <w:sz w:val="18"/>
              </w:rPr>
              <w:t>Methods, Randomisation and allocation concealment, paragraph 1: the allocation sequence was computer-generated by an investigator who took no part in recruitment or data collection. The sequence was generated with Sealed Envelope; the tool is named here and not in the manuscript text.</w:t>
            </w:r>
          </w:p>
        </w:tc>
      </w:tr>
      <w:tr w:rsidR="00530970" w14:paraId="25405BE8"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3EFCB61" w14:textId="77777777" w:rsidR="00530970" w:rsidRDefault="00530970">
            <w:pPr>
              <w:pStyle w:val="Compact"/>
            </w:pPr>
            <w:hyperlink r:id="rId32">
              <w:r>
                <w:rPr>
                  <w:rStyle w:val="Hiperligao"/>
                </w:rPr>
                <w:t>17b. Type of Randomisation</w:t>
              </w:r>
            </w:hyperlink>
          </w:p>
        </w:tc>
        <w:tc>
          <w:tcPr>
            <w:tcW w:w="3959" w:type="dxa"/>
          </w:tcPr>
          <w:p w14:paraId="415A1D0F" w14:textId="77777777" w:rsidR="00530970" w:rsidRDefault="00000000">
            <w:pPr>
              <w:pStyle w:val="Compact"/>
            </w:pPr>
            <w:r>
              <w:t>Type of randomisation and details of any restriction (eg, stratification, blocking, and block size).</w:t>
            </w:r>
          </w:p>
        </w:tc>
        <w:tc>
          <w:tcPr>
            <w:tcW w:w="2375" w:type="dxa"/>
          </w:tcPr>
          <w:p w14:paraId="3919939A" w14:textId="77777777" w:rsidR="006F2583" w:rsidRDefault="00000000">
            <w:r>
              <w:rPr>
                <w:rFonts w:ascii="Arial" w:hAnsi="Arial"/>
                <w:sz w:val="18"/>
              </w:rPr>
              <w:t xml:space="preserve">Methods, Randomisation and allocation concealment, paragraph 1: individual 1:1 allocation restricted by blocks defined by professional category within each institution, not permuted blocks of a predetermined </w:t>
            </w:r>
            <w:r>
              <w:rPr>
                <w:rFonts w:ascii="Arial" w:hAnsi="Arial"/>
                <w:sz w:val="18"/>
              </w:rPr>
              <w:lastRenderedPageBreak/>
              <w:t>size.</w:t>
            </w:r>
          </w:p>
        </w:tc>
      </w:tr>
      <w:tr w:rsidR="00530970" w14:paraId="374651DA" w14:textId="77777777">
        <w:tc>
          <w:tcPr>
            <w:tcW w:w="1584" w:type="dxa"/>
          </w:tcPr>
          <w:p w14:paraId="31128868" w14:textId="77777777" w:rsidR="00530970" w:rsidRDefault="00530970">
            <w:pPr>
              <w:pStyle w:val="Compact"/>
            </w:pPr>
            <w:hyperlink r:id="rId33">
              <w:r>
                <w:rPr>
                  <w:rStyle w:val="Hiperligao"/>
                </w:rPr>
                <w:t>18. Allocation concealment mechanism</w:t>
              </w:r>
            </w:hyperlink>
          </w:p>
        </w:tc>
        <w:tc>
          <w:tcPr>
            <w:tcW w:w="3959" w:type="dxa"/>
          </w:tcPr>
          <w:p w14:paraId="2F07CF4E" w14:textId="77777777" w:rsidR="00530970" w:rsidRDefault="00000000">
            <w:pPr>
              <w:pStyle w:val="Compact"/>
            </w:pPr>
            <w:r>
              <w:t>Mechanism used to implement the random allocation sequence (eg, central computer/telephone; sequentially numbered, opaque, sealed containers), describing any steps to conceal the sequence until interventions were assigned.</w:t>
            </w:r>
          </w:p>
        </w:tc>
        <w:tc>
          <w:tcPr>
            <w:tcW w:w="2375" w:type="dxa"/>
          </w:tcPr>
          <w:p w14:paraId="59A8AECA" w14:textId="77777777" w:rsidR="006F2583" w:rsidRDefault="00000000">
            <w:r>
              <w:rPr>
                <w:rFonts w:ascii="Arial" w:hAnsi="Arial"/>
                <w:sz w:val="18"/>
              </w:rPr>
              <w:t>Methods, Randomisation and allocation concealment, paragraph 2: the independent investigator applied the allocation, concealed until the teams were constituted; the principal investigator accessed the allocations only after the sequence had been closed.</w:t>
            </w:r>
          </w:p>
        </w:tc>
      </w:tr>
      <w:tr w:rsidR="00530970" w14:paraId="7E63F5B3"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FBEE333" w14:textId="77777777" w:rsidR="00530970" w:rsidRDefault="00530970">
            <w:pPr>
              <w:pStyle w:val="Compact"/>
            </w:pPr>
            <w:hyperlink r:id="rId34">
              <w:r>
                <w:rPr>
                  <w:rStyle w:val="Hiperligao"/>
                </w:rPr>
                <w:t>19. Implementation</w:t>
              </w:r>
            </w:hyperlink>
          </w:p>
        </w:tc>
        <w:tc>
          <w:tcPr>
            <w:tcW w:w="3959" w:type="dxa"/>
          </w:tcPr>
          <w:p w14:paraId="791EEE8B" w14:textId="77777777" w:rsidR="00530970" w:rsidRDefault="00000000">
            <w:pPr>
              <w:pStyle w:val="Compact"/>
            </w:pPr>
            <w:r>
              <w:t>Whether the personnel who enrolled and those who assigned participants to the interventions had access to the random allocation sequence.</w:t>
            </w:r>
          </w:p>
        </w:tc>
        <w:tc>
          <w:tcPr>
            <w:tcW w:w="2375" w:type="dxa"/>
          </w:tcPr>
          <w:p w14:paraId="32B25497" w14:textId="77777777" w:rsidR="006F2583" w:rsidRDefault="00000000">
            <w:r>
              <w:rPr>
                <w:rFonts w:ascii="Arial" w:hAnsi="Arial"/>
                <w:sz w:val="18"/>
              </w:rPr>
              <w:t>Methods, Randomisation and allocation concealment, paragraphs 1 and 2.</w:t>
            </w:r>
          </w:p>
        </w:tc>
      </w:tr>
      <w:tr w:rsidR="00530970" w14:paraId="4F4BE7BD" w14:textId="77777777">
        <w:tc>
          <w:tcPr>
            <w:tcW w:w="1584" w:type="dxa"/>
          </w:tcPr>
          <w:p w14:paraId="5BD5D3DB" w14:textId="77777777" w:rsidR="00530970" w:rsidRDefault="00000000">
            <w:pPr>
              <w:pStyle w:val="Compact"/>
            </w:pPr>
            <w:r>
              <w:t> 20. Blinding</w:t>
            </w:r>
          </w:p>
        </w:tc>
        <w:tc>
          <w:tcPr>
            <w:tcW w:w="3959" w:type="dxa"/>
          </w:tcPr>
          <w:p w14:paraId="352D4DC1" w14:textId="77777777" w:rsidR="00530970" w:rsidRDefault="00530970">
            <w:pPr>
              <w:pStyle w:val="Compact"/>
            </w:pPr>
          </w:p>
        </w:tc>
        <w:tc>
          <w:tcPr>
            <w:tcW w:w="2375" w:type="dxa"/>
          </w:tcPr>
          <w:p w14:paraId="260CACBF" w14:textId="77777777" w:rsidR="00530970" w:rsidRDefault="00530970">
            <w:pPr>
              <w:pStyle w:val="Compact"/>
            </w:pPr>
          </w:p>
        </w:tc>
      </w:tr>
      <w:tr w:rsidR="00530970" w14:paraId="782A6AA1"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E061B06" w14:textId="77777777" w:rsidR="00530970" w:rsidRDefault="00530970">
            <w:pPr>
              <w:pStyle w:val="Compact"/>
            </w:pPr>
            <w:hyperlink r:id="rId35">
              <w:r>
                <w:rPr>
                  <w:rStyle w:val="Hiperligao"/>
                </w:rPr>
                <w:t>20a. Who was blinded</w:t>
              </w:r>
            </w:hyperlink>
          </w:p>
        </w:tc>
        <w:tc>
          <w:tcPr>
            <w:tcW w:w="3959" w:type="dxa"/>
          </w:tcPr>
          <w:p w14:paraId="3B477518" w14:textId="77777777" w:rsidR="00530970" w:rsidRDefault="00000000">
            <w:pPr>
              <w:pStyle w:val="Compact"/>
            </w:pPr>
            <w:r>
              <w:t>Who was blinded after assignment to interventions (eg, participants, care providers, outcome assessors, data analysts).</w:t>
            </w:r>
          </w:p>
        </w:tc>
        <w:tc>
          <w:tcPr>
            <w:tcW w:w="2375" w:type="dxa"/>
          </w:tcPr>
          <w:p w14:paraId="3F63F13C" w14:textId="77777777" w:rsidR="006F2583" w:rsidRDefault="00000000">
            <w:r>
              <w:rPr>
                <w:rFonts w:ascii="Arial" w:hAnsi="Arial"/>
                <w:sz w:val="18"/>
              </w:rPr>
              <w:t>Methods, Randomisation and allocation concealment, paragraph 2: no blinding at any stage; participants and facilitators could not be blinded, there were no separate outcome assessors, and the analyst was not blinded.</w:t>
            </w:r>
          </w:p>
        </w:tc>
      </w:tr>
      <w:tr w:rsidR="00530970" w14:paraId="09915A4C" w14:textId="77777777">
        <w:tc>
          <w:tcPr>
            <w:tcW w:w="1584" w:type="dxa"/>
          </w:tcPr>
          <w:p w14:paraId="0E49888B" w14:textId="77777777" w:rsidR="00530970" w:rsidRDefault="00530970">
            <w:pPr>
              <w:pStyle w:val="Compact"/>
            </w:pPr>
            <w:hyperlink r:id="rId36">
              <w:r>
                <w:rPr>
                  <w:rStyle w:val="Hiperligao"/>
                </w:rPr>
                <w:t>20b. How blinding was achieved</w:t>
              </w:r>
            </w:hyperlink>
          </w:p>
        </w:tc>
        <w:tc>
          <w:tcPr>
            <w:tcW w:w="3959" w:type="dxa"/>
          </w:tcPr>
          <w:p w14:paraId="3607FF1C" w14:textId="77777777" w:rsidR="00530970" w:rsidRDefault="00000000">
            <w:pPr>
              <w:pStyle w:val="Compact"/>
            </w:pPr>
            <w:r>
              <w:t>If blinded, how blinding was achieved and description of the similarity of interventions.</w:t>
            </w:r>
          </w:p>
        </w:tc>
        <w:tc>
          <w:tcPr>
            <w:tcW w:w="2375" w:type="dxa"/>
          </w:tcPr>
          <w:p w14:paraId="6BD29B01" w14:textId="77777777" w:rsidR="006F2583" w:rsidRDefault="00000000">
            <w:r>
              <w:rPr>
                <w:rFonts w:ascii="Arial" w:hAnsi="Arial"/>
                <w:sz w:val="18"/>
              </w:rPr>
              <w:t>Not applicable: no blinding was implemented. Methods, Randomisation and allocation concealment, paragraph 2, lists the measures adopted instead.</w:t>
            </w:r>
          </w:p>
        </w:tc>
      </w:tr>
      <w:tr w:rsidR="00530970" w14:paraId="1F9CB70B"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841BC80" w14:textId="77777777" w:rsidR="00530970" w:rsidRDefault="00000000">
            <w:pPr>
              <w:pStyle w:val="Compact"/>
            </w:pPr>
            <w:r>
              <w:t> 21. Statistical methods</w:t>
            </w:r>
          </w:p>
        </w:tc>
        <w:tc>
          <w:tcPr>
            <w:tcW w:w="3959" w:type="dxa"/>
          </w:tcPr>
          <w:p w14:paraId="7CE93863" w14:textId="77777777" w:rsidR="00530970" w:rsidRDefault="00530970">
            <w:pPr>
              <w:pStyle w:val="Compact"/>
            </w:pPr>
          </w:p>
        </w:tc>
        <w:tc>
          <w:tcPr>
            <w:tcW w:w="2375" w:type="dxa"/>
          </w:tcPr>
          <w:p w14:paraId="1A252F85" w14:textId="77777777" w:rsidR="00530970" w:rsidRDefault="00530970">
            <w:pPr>
              <w:pStyle w:val="Compact"/>
            </w:pPr>
          </w:p>
        </w:tc>
      </w:tr>
      <w:tr w:rsidR="00530970" w14:paraId="49BAD27F" w14:textId="77777777">
        <w:tc>
          <w:tcPr>
            <w:tcW w:w="1584" w:type="dxa"/>
          </w:tcPr>
          <w:p w14:paraId="5A26DD89" w14:textId="77777777" w:rsidR="00530970" w:rsidRDefault="00530970">
            <w:pPr>
              <w:pStyle w:val="Compact"/>
            </w:pPr>
            <w:hyperlink r:id="rId37">
              <w:r>
                <w:rPr>
                  <w:rStyle w:val="Hiperligao"/>
                </w:rPr>
                <w:t>21a. Comparing groups</w:t>
              </w:r>
            </w:hyperlink>
          </w:p>
        </w:tc>
        <w:tc>
          <w:tcPr>
            <w:tcW w:w="3959" w:type="dxa"/>
          </w:tcPr>
          <w:p w14:paraId="200DC7FC" w14:textId="77777777" w:rsidR="00530970" w:rsidRDefault="00000000">
            <w:pPr>
              <w:pStyle w:val="Compact"/>
            </w:pPr>
            <w:r>
              <w:t>Statistical methods used to compare groups for primary and secondary outcomes, including harms.</w:t>
            </w:r>
          </w:p>
        </w:tc>
        <w:tc>
          <w:tcPr>
            <w:tcW w:w="2375" w:type="dxa"/>
          </w:tcPr>
          <w:p w14:paraId="4BBDC1A6" w14:textId="77777777" w:rsidR="006F2583" w:rsidRDefault="00000000">
            <w:r>
              <w:rPr>
                <w:rFonts w:ascii="Arial" w:hAnsi="Arial"/>
                <w:sz w:val="18"/>
              </w:rPr>
              <w:t>Methods, Sample size and statistical analysis, paragraph 2: analysis in IBM SPSS Statistics, version 30, with a significance level of 0.05; Mann-Whitney U test for comparisons between settings, Pearson's chi-squared test for sex and Wilcoxon signed-rank test for change within each setting. Because no outcome was designated as primary and all outcomes are exploratory, no effect estimates with confidence intervals are reported; the tables give, for each outcome, the number of participants, the mean and standard deviation in each setting and the p value, with the threshold for statistical significance stated in the note to every table.</w:t>
            </w:r>
          </w:p>
        </w:tc>
      </w:tr>
      <w:tr w:rsidR="00530970" w14:paraId="5299AE07"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1F2A4022" w14:textId="77777777" w:rsidR="00530970" w:rsidRDefault="00530970">
            <w:pPr>
              <w:pStyle w:val="Compact"/>
            </w:pPr>
            <w:hyperlink r:id="rId38">
              <w:r>
                <w:rPr>
                  <w:rStyle w:val="Hiperligao"/>
                </w:rPr>
                <w:t>21b. Definition of who is included in each analysis</w:t>
              </w:r>
            </w:hyperlink>
          </w:p>
        </w:tc>
        <w:tc>
          <w:tcPr>
            <w:tcW w:w="3959" w:type="dxa"/>
          </w:tcPr>
          <w:p w14:paraId="32EB24B4" w14:textId="77777777" w:rsidR="00530970" w:rsidRDefault="00000000">
            <w:pPr>
              <w:pStyle w:val="Compact"/>
            </w:pPr>
            <w:r>
              <w:t>Definition of who is included in each analysis (e.g., all randomised participants), and in which group.</w:t>
            </w:r>
          </w:p>
        </w:tc>
        <w:tc>
          <w:tcPr>
            <w:tcW w:w="2375" w:type="dxa"/>
          </w:tcPr>
          <w:p w14:paraId="01EBEAC1" w14:textId="77777777" w:rsidR="006F2583" w:rsidRDefault="00000000">
            <w:r>
              <w:rPr>
                <w:rFonts w:ascii="Arial" w:hAnsi="Arial"/>
                <w:sz w:val="18"/>
              </w:rPr>
              <w:t>Methods, Sample size and statistical analysis, paragraph 3: all 98 randomised participants analysed in the setting to which they were allocated, with no crossovers and no exclusions.</w:t>
            </w:r>
          </w:p>
        </w:tc>
      </w:tr>
      <w:tr w:rsidR="00530970" w14:paraId="10E19FAA" w14:textId="77777777">
        <w:tc>
          <w:tcPr>
            <w:tcW w:w="1584" w:type="dxa"/>
          </w:tcPr>
          <w:p w14:paraId="6CB61A0F" w14:textId="77777777" w:rsidR="00530970" w:rsidRDefault="00530970">
            <w:pPr>
              <w:pStyle w:val="Compact"/>
            </w:pPr>
            <w:hyperlink r:id="rId39">
              <w:r>
                <w:rPr>
                  <w:rStyle w:val="Hiperligao"/>
                </w:rPr>
                <w:t>21c. Missing Data</w:t>
              </w:r>
            </w:hyperlink>
          </w:p>
        </w:tc>
        <w:tc>
          <w:tcPr>
            <w:tcW w:w="3959" w:type="dxa"/>
          </w:tcPr>
          <w:p w14:paraId="2112A84A" w14:textId="77777777" w:rsidR="00530970" w:rsidRDefault="00000000">
            <w:pPr>
              <w:pStyle w:val="Compact"/>
            </w:pPr>
            <w:r>
              <w:t>How missing data were handled in the analysis.</w:t>
            </w:r>
          </w:p>
        </w:tc>
        <w:tc>
          <w:tcPr>
            <w:tcW w:w="2375" w:type="dxa"/>
          </w:tcPr>
          <w:p w14:paraId="63CED581" w14:textId="77777777" w:rsidR="006F2583" w:rsidRDefault="00000000">
            <w:r>
              <w:rPr>
                <w:rFonts w:ascii="Arial" w:hAnsi="Arial"/>
                <w:sz w:val="18"/>
              </w:rPr>
              <w:t>Methods, Sample size and statistical analysis, paragraph 3: the electronic forms required an answer to every item, so there were no missing data.</w:t>
            </w:r>
          </w:p>
        </w:tc>
      </w:tr>
      <w:tr w:rsidR="00530970" w14:paraId="5D9F3E3F"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3AB70284" w14:textId="77777777" w:rsidR="00530970" w:rsidRDefault="00530970">
            <w:pPr>
              <w:pStyle w:val="Compact"/>
            </w:pPr>
            <w:hyperlink r:id="rId40">
              <w:r>
                <w:rPr>
                  <w:rStyle w:val="Hiperligao"/>
                </w:rPr>
                <w:t>21d. Additional Analyses</w:t>
              </w:r>
            </w:hyperlink>
          </w:p>
        </w:tc>
        <w:tc>
          <w:tcPr>
            <w:tcW w:w="3959" w:type="dxa"/>
          </w:tcPr>
          <w:p w14:paraId="19E85FEA" w14:textId="77777777" w:rsidR="00530970" w:rsidRDefault="00000000">
            <w:pPr>
              <w:pStyle w:val="Compact"/>
            </w:pPr>
            <w:r>
              <w:t xml:space="preserve">Methods for any additional analyses (eg, subgroup and sensitivity analyses), distinguishing pre-specified </w:t>
            </w:r>
            <w:r>
              <w:lastRenderedPageBreak/>
              <w:t>from post hoc.</w:t>
            </w:r>
          </w:p>
        </w:tc>
        <w:tc>
          <w:tcPr>
            <w:tcW w:w="2375" w:type="dxa"/>
          </w:tcPr>
          <w:p w14:paraId="02B4654F" w14:textId="77777777" w:rsidR="006F2583" w:rsidRDefault="00000000">
            <w:r>
              <w:rPr>
                <w:rFonts w:ascii="Arial" w:hAnsi="Arial"/>
                <w:sz w:val="18"/>
              </w:rPr>
              <w:lastRenderedPageBreak/>
              <w:t>No additional analyses were pre-specified. Comparisons between professional categories were not pre-</w:t>
            </w:r>
            <w:r>
              <w:rPr>
                <w:rFonts w:ascii="Arial" w:hAnsi="Arial"/>
                <w:sz w:val="18"/>
              </w:rPr>
              <w:lastRenderedPageBreak/>
              <w:t>specified and are treated as post hoc analyses; no subgroup analysis and no sensitivity analysis are reported. Methods, Sample size and statistical analysis, paragraph 3, states why the analysis was computed on individual responses without multilevel modelling.</w:t>
            </w:r>
          </w:p>
        </w:tc>
      </w:tr>
      <w:tr w:rsidR="00530970" w14:paraId="22763400" w14:textId="77777777">
        <w:tc>
          <w:tcPr>
            <w:tcW w:w="1584" w:type="dxa"/>
          </w:tcPr>
          <w:p w14:paraId="4123D9B8" w14:textId="77777777" w:rsidR="00530970" w:rsidRDefault="00000000">
            <w:pPr>
              <w:pStyle w:val="Compact"/>
            </w:pPr>
            <w:r>
              <w:lastRenderedPageBreak/>
              <w:t> 22. Participant flow, including flow diagram</w:t>
            </w:r>
          </w:p>
        </w:tc>
        <w:tc>
          <w:tcPr>
            <w:tcW w:w="3959" w:type="dxa"/>
          </w:tcPr>
          <w:p w14:paraId="176448BB" w14:textId="77777777" w:rsidR="00530970" w:rsidRDefault="00530970">
            <w:pPr>
              <w:pStyle w:val="Compact"/>
            </w:pPr>
          </w:p>
        </w:tc>
        <w:tc>
          <w:tcPr>
            <w:tcW w:w="2375" w:type="dxa"/>
          </w:tcPr>
          <w:p w14:paraId="7D46DC16" w14:textId="77777777" w:rsidR="00530970" w:rsidRDefault="00530970">
            <w:pPr>
              <w:pStyle w:val="Compact"/>
            </w:pPr>
          </w:p>
        </w:tc>
      </w:tr>
      <w:tr w:rsidR="00530970" w14:paraId="32D18122"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2BB5AF28" w14:textId="77777777" w:rsidR="00530970" w:rsidRDefault="00530970">
            <w:pPr>
              <w:pStyle w:val="Compact"/>
            </w:pPr>
            <w:hyperlink r:id="rId41">
              <w:r>
                <w:rPr>
                  <w:rStyle w:val="Hiperligao"/>
                </w:rPr>
                <w:t>22a. Participant Numbers</w:t>
              </w:r>
            </w:hyperlink>
          </w:p>
        </w:tc>
        <w:tc>
          <w:tcPr>
            <w:tcW w:w="3959" w:type="dxa"/>
          </w:tcPr>
          <w:p w14:paraId="740D4C1F" w14:textId="77777777" w:rsidR="00530970" w:rsidRDefault="00000000">
            <w:pPr>
              <w:pStyle w:val="Compact"/>
            </w:pPr>
            <w:r>
              <w:t>For each group, the numbers of participants who were randomly assigned, received intended intervention, and were analysed for the primary outcome.</w:t>
            </w:r>
          </w:p>
        </w:tc>
        <w:tc>
          <w:tcPr>
            <w:tcW w:w="2375" w:type="dxa"/>
          </w:tcPr>
          <w:p w14:paraId="3D2E431D" w14:textId="77777777" w:rsidR="006F2583" w:rsidRDefault="00000000">
            <w:r>
              <w:rPr>
                <w:rFonts w:ascii="Arial" w:hAnsi="Arial"/>
                <w:sz w:val="18"/>
              </w:rPr>
              <w:t>Results, Participant flow and baseline comparability, paragraph 1, and Figure 2: 98 assessed and randomised, 49 per setting, 49 analysed per setting.</w:t>
            </w:r>
          </w:p>
        </w:tc>
      </w:tr>
      <w:tr w:rsidR="00530970" w14:paraId="6E8E8B7B" w14:textId="77777777">
        <w:tc>
          <w:tcPr>
            <w:tcW w:w="1584" w:type="dxa"/>
          </w:tcPr>
          <w:p w14:paraId="2A53C7C6" w14:textId="77777777" w:rsidR="00530970" w:rsidRDefault="00530970">
            <w:pPr>
              <w:pStyle w:val="Compact"/>
            </w:pPr>
            <w:hyperlink r:id="rId42">
              <w:r>
                <w:rPr>
                  <w:rStyle w:val="Hiperligao"/>
                </w:rPr>
                <w:t>22b. Losses and exclusions</w:t>
              </w:r>
            </w:hyperlink>
          </w:p>
        </w:tc>
        <w:tc>
          <w:tcPr>
            <w:tcW w:w="3959" w:type="dxa"/>
          </w:tcPr>
          <w:p w14:paraId="6B23C946" w14:textId="77777777" w:rsidR="00530970" w:rsidRDefault="00000000">
            <w:pPr>
              <w:pStyle w:val="Compact"/>
            </w:pPr>
            <w:r>
              <w:t>For each group, losses and exclusions after randomisation, together with reasons.</w:t>
            </w:r>
          </w:p>
        </w:tc>
        <w:tc>
          <w:tcPr>
            <w:tcW w:w="2375" w:type="dxa"/>
          </w:tcPr>
          <w:p w14:paraId="56ED742B" w14:textId="77777777" w:rsidR="006F2583" w:rsidRDefault="00000000">
            <w:r>
              <w:rPr>
                <w:rFonts w:ascii="Arial" w:hAnsi="Arial"/>
                <w:sz w:val="18"/>
              </w:rPr>
              <w:t>Results, Participant flow and baseline comparability, paragraph 1: no losses and no exclusions; both measurements were taken within the same session.</w:t>
            </w:r>
          </w:p>
        </w:tc>
      </w:tr>
      <w:tr w:rsidR="00530970" w14:paraId="1A334BE9"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D89E32B" w14:textId="77777777" w:rsidR="00530970" w:rsidRDefault="00000000">
            <w:pPr>
              <w:pStyle w:val="Compact"/>
            </w:pPr>
            <w:r>
              <w:t> 23. Recruitment</w:t>
            </w:r>
          </w:p>
        </w:tc>
        <w:tc>
          <w:tcPr>
            <w:tcW w:w="3959" w:type="dxa"/>
          </w:tcPr>
          <w:p w14:paraId="5DDCE1A1" w14:textId="77777777" w:rsidR="00530970" w:rsidRDefault="00530970">
            <w:pPr>
              <w:pStyle w:val="Compact"/>
            </w:pPr>
          </w:p>
        </w:tc>
        <w:tc>
          <w:tcPr>
            <w:tcW w:w="2375" w:type="dxa"/>
          </w:tcPr>
          <w:p w14:paraId="7DC8C4D0" w14:textId="77777777" w:rsidR="00530970" w:rsidRDefault="00530970">
            <w:pPr>
              <w:pStyle w:val="Compact"/>
            </w:pPr>
          </w:p>
        </w:tc>
      </w:tr>
      <w:tr w:rsidR="00530970" w14:paraId="0DCE6902" w14:textId="77777777">
        <w:tc>
          <w:tcPr>
            <w:tcW w:w="1584" w:type="dxa"/>
          </w:tcPr>
          <w:p w14:paraId="3CF3F626" w14:textId="77777777" w:rsidR="00530970" w:rsidRDefault="00530970">
            <w:pPr>
              <w:pStyle w:val="Compact"/>
            </w:pPr>
            <w:hyperlink r:id="rId43">
              <w:r>
                <w:rPr>
                  <w:rStyle w:val="Hiperligao"/>
                </w:rPr>
                <w:t>23a. Dates</w:t>
              </w:r>
            </w:hyperlink>
          </w:p>
        </w:tc>
        <w:tc>
          <w:tcPr>
            <w:tcW w:w="3959" w:type="dxa"/>
          </w:tcPr>
          <w:p w14:paraId="7636D4BC" w14:textId="77777777" w:rsidR="00530970" w:rsidRDefault="00000000">
            <w:pPr>
              <w:pStyle w:val="Compact"/>
            </w:pPr>
            <w:r>
              <w:t>Dates defining the periods of recruitment and follow-up for outcomes of benefits and harms.</w:t>
            </w:r>
          </w:p>
        </w:tc>
        <w:tc>
          <w:tcPr>
            <w:tcW w:w="2375" w:type="dxa"/>
          </w:tcPr>
          <w:p w14:paraId="308C34B2" w14:textId="77777777" w:rsidR="006F2583" w:rsidRDefault="00000000">
            <w:r>
              <w:rPr>
                <w:rFonts w:ascii="Arial" w:hAnsi="Arial"/>
                <w:sz w:val="18"/>
              </w:rPr>
              <w:t>Enrolment is reported here rather than in the manuscript text: participants enrolled from 17 January 2026, the date on which the first participant registered for the study. The session dates are given in Methods, Recruitment and psychological safety: the in situ sessions at BO-ULSM and the sessions at the simulation centre were held between 3 and 26 March 2026, and the UPA-ULSSJ sessions between 16 and 23 April 2026, after the favourable ethics opinion of 15 April 2026. Data collection therefore ran from 3 March to 23 April 2026. All outcomes were measured within the session, so there was no follow-up.</w:t>
            </w:r>
          </w:p>
        </w:tc>
      </w:tr>
      <w:tr w:rsidR="00530970" w14:paraId="16C255A3"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429F2B1F" w14:textId="77777777" w:rsidR="00530970" w:rsidRDefault="00530970">
            <w:pPr>
              <w:pStyle w:val="Compact"/>
            </w:pPr>
            <w:hyperlink r:id="rId44">
              <w:r>
                <w:rPr>
                  <w:rStyle w:val="Hiperligao"/>
                </w:rPr>
                <w:t>23b. Reasons for stopping recruitment</w:t>
              </w:r>
            </w:hyperlink>
          </w:p>
        </w:tc>
        <w:tc>
          <w:tcPr>
            <w:tcW w:w="3959" w:type="dxa"/>
          </w:tcPr>
          <w:p w14:paraId="6F462358" w14:textId="77777777" w:rsidR="00530970" w:rsidRDefault="00000000">
            <w:pPr>
              <w:pStyle w:val="Compact"/>
            </w:pPr>
            <w:r>
              <w:t>If relevant, why the trial ended or was stopped.</w:t>
            </w:r>
          </w:p>
        </w:tc>
        <w:tc>
          <w:tcPr>
            <w:tcW w:w="2375" w:type="dxa"/>
          </w:tcPr>
          <w:p w14:paraId="70C6D410" w14:textId="77777777" w:rsidR="006F2583" w:rsidRDefault="00000000">
            <w:r>
              <w:rPr>
                <w:rFonts w:ascii="Arial" w:hAnsi="Arial"/>
                <w:sz w:val="18"/>
              </w:rPr>
              <w:t>Results, Participant flow and baseline comparability, paragraph 1: recruitment ended when the planned number of complete teams had been formed; the trial was not stopped early.</w:t>
            </w:r>
          </w:p>
        </w:tc>
      </w:tr>
      <w:tr w:rsidR="00530970" w14:paraId="089BF3CE" w14:textId="77777777">
        <w:tc>
          <w:tcPr>
            <w:tcW w:w="1584" w:type="dxa"/>
          </w:tcPr>
          <w:p w14:paraId="385C1061" w14:textId="77777777" w:rsidR="00530970" w:rsidRDefault="00000000">
            <w:pPr>
              <w:pStyle w:val="Compact"/>
            </w:pPr>
            <w:r>
              <w:t> 24. Intervention and comparator delivery</w:t>
            </w:r>
          </w:p>
        </w:tc>
        <w:tc>
          <w:tcPr>
            <w:tcW w:w="3959" w:type="dxa"/>
          </w:tcPr>
          <w:p w14:paraId="3EED1BA0" w14:textId="77777777" w:rsidR="00530970" w:rsidRDefault="00530970">
            <w:pPr>
              <w:pStyle w:val="Compact"/>
            </w:pPr>
          </w:p>
        </w:tc>
        <w:tc>
          <w:tcPr>
            <w:tcW w:w="2375" w:type="dxa"/>
          </w:tcPr>
          <w:p w14:paraId="2949A06B" w14:textId="77777777" w:rsidR="00530970" w:rsidRDefault="00530970">
            <w:pPr>
              <w:pStyle w:val="Compact"/>
            </w:pPr>
          </w:p>
        </w:tc>
      </w:tr>
      <w:tr w:rsidR="00530970" w14:paraId="078254DB"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61E4CB86" w14:textId="77777777" w:rsidR="00530970" w:rsidRDefault="00530970">
            <w:pPr>
              <w:pStyle w:val="Compact"/>
            </w:pPr>
            <w:hyperlink r:id="rId45">
              <w:r>
                <w:rPr>
                  <w:rStyle w:val="Hiperligao"/>
                </w:rPr>
                <w:t>24a. As Administered</w:t>
              </w:r>
            </w:hyperlink>
          </w:p>
        </w:tc>
        <w:tc>
          <w:tcPr>
            <w:tcW w:w="3959" w:type="dxa"/>
          </w:tcPr>
          <w:p w14:paraId="2160BB88" w14:textId="77777777" w:rsidR="00530970" w:rsidRDefault="00000000">
            <w:pPr>
              <w:pStyle w:val="Compact"/>
            </w:pPr>
            <w:r>
              <w:t>Intervention and comparator as they were actually administered (eg, where appropriate, who delivered the intervention/comparator, whether participants adhered, whether they were delivered as intended (fidelity)).</w:t>
            </w:r>
          </w:p>
        </w:tc>
        <w:tc>
          <w:tcPr>
            <w:tcW w:w="2375" w:type="dxa"/>
          </w:tcPr>
          <w:p w14:paraId="170720CF" w14:textId="77777777" w:rsidR="006F2583" w:rsidRDefault="00000000">
            <w:r>
              <w:rPr>
                <w:rFonts w:ascii="Arial" w:hAnsi="Arial"/>
                <w:sz w:val="18"/>
              </w:rPr>
              <w:t>Results, Equivalence of the intervention between the two settings, paragraphs 1 and 2, and Table 4. Methods, Equivalence matrix of the settings, paragraph 3, reports that clinical activity continued in the in situ services during the sessions.</w:t>
            </w:r>
          </w:p>
        </w:tc>
      </w:tr>
      <w:tr w:rsidR="00530970" w14:paraId="0581671F" w14:textId="77777777">
        <w:tc>
          <w:tcPr>
            <w:tcW w:w="1584" w:type="dxa"/>
          </w:tcPr>
          <w:p w14:paraId="2DFE1D1E" w14:textId="77777777" w:rsidR="00530970" w:rsidRDefault="00530970">
            <w:pPr>
              <w:pStyle w:val="Compact"/>
            </w:pPr>
            <w:hyperlink r:id="rId46">
              <w:r>
                <w:rPr>
                  <w:rStyle w:val="Hiperligao"/>
                </w:rPr>
                <w:t>24b. Concomitant Care</w:t>
              </w:r>
            </w:hyperlink>
          </w:p>
        </w:tc>
        <w:tc>
          <w:tcPr>
            <w:tcW w:w="3959" w:type="dxa"/>
          </w:tcPr>
          <w:p w14:paraId="08AFCD49" w14:textId="77777777" w:rsidR="00530970" w:rsidRDefault="00000000">
            <w:pPr>
              <w:pStyle w:val="Compact"/>
            </w:pPr>
            <w:r>
              <w:t>Concomitant care received during the trial for each group.</w:t>
            </w:r>
          </w:p>
        </w:tc>
        <w:tc>
          <w:tcPr>
            <w:tcW w:w="2375" w:type="dxa"/>
          </w:tcPr>
          <w:p w14:paraId="5B6324A3" w14:textId="77777777" w:rsidR="006F2583" w:rsidRDefault="00000000">
            <w:r>
              <w:rPr>
                <w:rFonts w:ascii="Arial" w:hAnsi="Arial"/>
                <w:sz w:val="18"/>
              </w:rPr>
              <w:t>Not applicable: no patients were involved and the trial was conducted entirely in a simulated environment.</w:t>
            </w:r>
          </w:p>
        </w:tc>
      </w:tr>
      <w:tr w:rsidR="00530970" w14:paraId="0E79B98A"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505DC4F0" w14:textId="77777777" w:rsidR="00530970" w:rsidRDefault="00530970">
            <w:pPr>
              <w:pStyle w:val="Compact"/>
            </w:pPr>
            <w:hyperlink r:id="rId47">
              <w:r>
                <w:rPr>
                  <w:rStyle w:val="Hiperligao"/>
                </w:rPr>
                <w:t>25. Baseline Data</w:t>
              </w:r>
            </w:hyperlink>
          </w:p>
        </w:tc>
        <w:tc>
          <w:tcPr>
            <w:tcW w:w="3959" w:type="dxa"/>
          </w:tcPr>
          <w:p w14:paraId="3858F943" w14:textId="77777777" w:rsidR="00530970" w:rsidRDefault="00000000">
            <w:pPr>
              <w:pStyle w:val="Compact"/>
            </w:pPr>
            <w:r>
              <w:t>A table showing baseline demographic and clinical characteristics for each group.</w:t>
            </w:r>
          </w:p>
        </w:tc>
        <w:tc>
          <w:tcPr>
            <w:tcW w:w="2375" w:type="dxa"/>
          </w:tcPr>
          <w:p w14:paraId="485F6385" w14:textId="77777777" w:rsidR="006F2583" w:rsidRDefault="00000000">
            <w:r>
              <w:rPr>
                <w:rFonts w:ascii="Arial" w:hAnsi="Arial"/>
                <w:sz w:val="18"/>
              </w:rPr>
              <w:t>Table 3; Results, Participant flow and baseline comparability, paragraph 2: age, professional experience, sex, previous simulation experience and baseline RIPLS scores by setting.</w:t>
            </w:r>
          </w:p>
        </w:tc>
      </w:tr>
      <w:tr w:rsidR="00530970" w14:paraId="6B9669BE" w14:textId="77777777">
        <w:tc>
          <w:tcPr>
            <w:tcW w:w="1584" w:type="dxa"/>
          </w:tcPr>
          <w:p w14:paraId="6ECF9CE6" w14:textId="77777777" w:rsidR="00530970" w:rsidRPr="009223CF" w:rsidRDefault="00530970">
            <w:pPr>
              <w:pStyle w:val="Compact"/>
            </w:pPr>
            <w:hyperlink r:id="rId48">
              <w:r w:rsidRPr="009223CF">
                <w:rPr>
                  <w:rStyle w:val="Hiperligao"/>
                </w:rPr>
                <w:t>26. Numbers analysed, outcomes, and estimation</w:t>
              </w:r>
            </w:hyperlink>
          </w:p>
        </w:tc>
        <w:tc>
          <w:tcPr>
            <w:tcW w:w="3959" w:type="dxa"/>
          </w:tcPr>
          <w:p w14:paraId="2DC3257B" w14:textId="77777777" w:rsidR="00530970" w:rsidRPr="009223CF" w:rsidRDefault="00000000">
            <w:pPr>
              <w:pStyle w:val="Corpodetexto"/>
            </w:pPr>
            <w:r w:rsidRPr="009223CF">
              <w:t>For each primary and secondary outcome, by group:</w:t>
            </w:r>
          </w:p>
          <w:p w14:paraId="3281B82D" w14:textId="77777777" w:rsidR="00530970" w:rsidRPr="009223CF" w:rsidRDefault="00000000">
            <w:pPr>
              <w:pStyle w:val="Compact"/>
              <w:numPr>
                <w:ilvl w:val="0"/>
                <w:numId w:val="4"/>
              </w:numPr>
            </w:pPr>
            <w:r w:rsidRPr="009223CF">
              <w:t>the number of participants included in the analysis.</w:t>
            </w:r>
          </w:p>
          <w:p w14:paraId="35835DAE" w14:textId="77777777" w:rsidR="00530970" w:rsidRPr="009223CF" w:rsidRDefault="00000000">
            <w:pPr>
              <w:pStyle w:val="Compact"/>
              <w:numPr>
                <w:ilvl w:val="0"/>
                <w:numId w:val="4"/>
              </w:numPr>
            </w:pPr>
            <w:r w:rsidRPr="009223CF">
              <w:t>the number of participants with available data at the outcome time point.</w:t>
            </w:r>
          </w:p>
          <w:p w14:paraId="0BADB30E" w14:textId="77777777" w:rsidR="00530970" w:rsidRPr="009223CF" w:rsidRDefault="00000000">
            <w:pPr>
              <w:pStyle w:val="Compact"/>
              <w:numPr>
                <w:ilvl w:val="0"/>
                <w:numId w:val="4"/>
              </w:numPr>
            </w:pPr>
            <w:r w:rsidRPr="009223CF">
              <w:t>result for each group, and the estimated effect size and its precision (such as 95% confidence interval).</w:t>
            </w:r>
          </w:p>
          <w:p w14:paraId="21BAE792" w14:textId="77777777" w:rsidR="00530970" w:rsidRPr="009223CF" w:rsidRDefault="00000000">
            <w:pPr>
              <w:pStyle w:val="Compact"/>
              <w:numPr>
                <w:ilvl w:val="0"/>
                <w:numId w:val="4"/>
              </w:numPr>
            </w:pPr>
            <w:r w:rsidRPr="009223CF">
              <w:t>for binary outcomes, presentation of both absolute and relative effect size.</w:t>
            </w:r>
          </w:p>
        </w:tc>
        <w:tc>
          <w:tcPr>
            <w:tcW w:w="2375" w:type="dxa"/>
          </w:tcPr>
          <w:p w14:paraId="73EC004F" w14:textId="77777777" w:rsidR="009223CF" w:rsidRPr="009223CF" w:rsidRDefault="009223CF" w:rsidP="009223CF">
            <w:pPr>
              <w:rPr>
                <w:rFonts w:ascii="Arial" w:hAnsi="Arial"/>
                <w:sz w:val="18"/>
                <w:lang w:val="en-GB"/>
              </w:rPr>
            </w:pPr>
            <w:r w:rsidRPr="009223CF">
              <w:rPr>
                <w:rFonts w:ascii="Arial" w:hAnsi="Arial"/>
                <w:sz w:val="18"/>
                <w:lang w:val="en-GB"/>
              </w:rPr>
              <w:t>Statistical analysis was carried out in IBM SPSS Statistics, version 30, with a significance level of 0.05. Continuous variables are presented as mean ± standard deviation, to allow comparison with prior literature and because the distributions were approximately symmetric, and categorical variables as frequencies and percentages. Non-parametric tests were chosen as a conservative approach for bounded ordinal scales. Comparisons between settings used the Mann-Whitney U test, and Pearson's chi-squared test for sex; changes within each setting were analysed with the Wilcoxon signed-rank test.</w:t>
            </w:r>
          </w:p>
          <w:p w14:paraId="1A528A75" w14:textId="4C7D09C1" w:rsidR="006F2583" w:rsidRPr="009223CF" w:rsidRDefault="006F2583"/>
        </w:tc>
      </w:tr>
      <w:tr w:rsidR="00530970" w14:paraId="39B18471"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0463838E" w14:textId="77777777" w:rsidR="00530970" w:rsidRDefault="00530970">
            <w:pPr>
              <w:pStyle w:val="Compact"/>
            </w:pPr>
            <w:hyperlink r:id="rId49">
              <w:r>
                <w:rPr>
                  <w:rStyle w:val="Hiperligao"/>
                </w:rPr>
                <w:t>27. Harms</w:t>
              </w:r>
            </w:hyperlink>
          </w:p>
        </w:tc>
        <w:tc>
          <w:tcPr>
            <w:tcW w:w="3959" w:type="dxa"/>
          </w:tcPr>
          <w:p w14:paraId="78BA96DB" w14:textId="77777777" w:rsidR="00530970" w:rsidRDefault="00000000">
            <w:pPr>
              <w:pStyle w:val="Compact"/>
            </w:pPr>
            <w:r>
              <w:t>All harms or unintended events in each group.</w:t>
            </w:r>
          </w:p>
        </w:tc>
        <w:tc>
          <w:tcPr>
            <w:tcW w:w="2375" w:type="dxa"/>
          </w:tcPr>
          <w:p w14:paraId="293A3936" w14:textId="77777777" w:rsidR="006F2583" w:rsidRDefault="00000000">
            <w:r>
              <w:rPr>
                <w:rFonts w:ascii="Arial" w:hAnsi="Arial"/>
                <w:sz w:val="18"/>
              </w:rPr>
              <w:t>Results, Participant flow and baseline comparability, paragraph 1: no adverse event was recorded in either setting.</w:t>
            </w:r>
          </w:p>
        </w:tc>
      </w:tr>
      <w:tr w:rsidR="00530970" w14:paraId="743855B1" w14:textId="77777777">
        <w:tc>
          <w:tcPr>
            <w:tcW w:w="1584" w:type="dxa"/>
          </w:tcPr>
          <w:p w14:paraId="6A32A2E3" w14:textId="77777777" w:rsidR="00530970" w:rsidRDefault="00530970">
            <w:pPr>
              <w:pStyle w:val="Compact"/>
            </w:pPr>
            <w:hyperlink r:id="rId50">
              <w:r>
                <w:rPr>
                  <w:rStyle w:val="Hiperligao"/>
                </w:rPr>
                <w:t>28. Ancillary Analyses</w:t>
              </w:r>
            </w:hyperlink>
          </w:p>
        </w:tc>
        <w:tc>
          <w:tcPr>
            <w:tcW w:w="3959" w:type="dxa"/>
          </w:tcPr>
          <w:p w14:paraId="339FD561" w14:textId="77777777" w:rsidR="00530970" w:rsidRDefault="00000000">
            <w:pPr>
              <w:pStyle w:val="Compact"/>
            </w:pPr>
            <w:r>
              <w:t>Any other analyses performed, including subgroup and sensitivity analyses, distinguishing pre-specified from post hoc.</w:t>
            </w:r>
          </w:p>
        </w:tc>
        <w:tc>
          <w:tcPr>
            <w:tcW w:w="2375" w:type="dxa"/>
          </w:tcPr>
          <w:p w14:paraId="15C9A7D5" w14:textId="77777777" w:rsidR="006F2583" w:rsidRDefault="00000000">
            <w:r>
              <w:rPr>
                <w:rFonts w:ascii="Arial" w:hAnsi="Arial"/>
                <w:sz w:val="18"/>
              </w:rPr>
              <w:t>Not applicable. No ancillary analyses were performed and none is reported.</w:t>
            </w:r>
          </w:p>
        </w:tc>
      </w:tr>
      <w:tr w:rsidR="00530970" w14:paraId="7024A3CA"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303C53CC" w14:textId="77777777" w:rsidR="00530970" w:rsidRDefault="00000000">
            <w:pPr>
              <w:pStyle w:val="Compact"/>
            </w:pPr>
            <w:r>
              <w:t> </w:t>
            </w:r>
            <w:r>
              <w:rPr>
                <w:b/>
                <w:bCs/>
              </w:rPr>
              <w:t>Discussion</w:t>
            </w:r>
          </w:p>
        </w:tc>
        <w:tc>
          <w:tcPr>
            <w:tcW w:w="3959" w:type="dxa"/>
          </w:tcPr>
          <w:p w14:paraId="1567938D" w14:textId="77777777" w:rsidR="00530970" w:rsidRDefault="00530970">
            <w:pPr>
              <w:pStyle w:val="Compact"/>
            </w:pPr>
          </w:p>
        </w:tc>
        <w:tc>
          <w:tcPr>
            <w:tcW w:w="2375" w:type="dxa"/>
          </w:tcPr>
          <w:p w14:paraId="419444EA" w14:textId="77777777" w:rsidR="00530970" w:rsidRDefault="00530970">
            <w:pPr>
              <w:pStyle w:val="Compact"/>
            </w:pPr>
          </w:p>
        </w:tc>
      </w:tr>
      <w:tr w:rsidR="00530970" w14:paraId="3F3AD336" w14:textId="77777777">
        <w:tc>
          <w:tcPr>
            <w:tcW w:w="1584" w:type="dxa"/>
          </w:tcPr>
          <w:p w14:paraId="48AC73F8" w14:textId="77777777" w:rsidR="00530970" w:rsidRDefault="00530970">
            <w:pPr>
              <w:pStyle w:val="Compact"/>
            </w:pPr>
            <w:hyperlink r:id="rId51">
              <w:r>
                <w:rPr>
                  <w:rStyle w:val="Hiperligao"/>
                </w:rPr>
                <w:t>29. Interpretation</w:t>
              </w:r>
            </w:hyperlink>
          </w:p>
        </w:tc>
        <w:tc>
          <w:tcPr>
            <w:tcW w:w="3959" w:type="dxa"/>
          </w:tcPr>
          <w:p w14:paraId="1AE9C70A" w14:textId="77777777" w:rsidR="00530970" w:rsidRDefault="00000000">
            <w:pPr>
              <w:pStyle w:val="Compact"/>
            </w:pPr>
            <w:r>
              <w:t>Interpretation consistent with results, balancing benefits and harms, and considering other relevant evidence.</w:t>
            </w:r>
          </w:p>
        </w:tc>
        <w:tc>
          <w:tcPr>
            <w:tcW w:w="2375" w:type="dxa"/>
          </w:tcPr>
          <w:p w14:paraId="15858B39" w14:textId="77777777" w:rsidR="006F2583" w:rsidRDefault="00000000">
            <w:r>
              <w:rPr>
                <w:rFonts w:ascii="Arial" w:hAnsi="Arial"/>
                <w:sz w:val="18"/>
              </w:rPr>
              <w:t>Discussion, paragraphs 1 to 6, and the subsections Clinical governance, frequency and institutional sustainability; Equity of access and representation of the complete clinical team; Translational simulation and optimisation of perioperative workflows; and Critical reflection and psychological safety in the workplace (paragraph 4 relates the DASH element 4 result to the working conditions of the in situ services).</w:t>
            </w:r>
          </w:p>
        </w:tc>
      </w:tr>
      <w:tr w:rsidR="00530970" w14:paraId="237E018E" w14:textId="77777777">
        <w:trPr>
          <w:cnfStyle w:val="000000100000" w:firstRow="0" w:lastRow="0" w:firstColumn="0" w:lastColumn="0" w:oddVBand="0" w:evenVBand="0" w:oddHBand="1" w:evenHBand="0" w:firstRowFirstColumn="0" w:firstRowLastColumn="0" w:lastRowFirstColumn="0" w:lastRowLastColumn="0"/>
        </w:trPr>
        <w:tc>
          <w:tcPr>
            <w:tcW w:w="1584" w:type="dxa"/>
          </w:tcPr>
          <w:p w14:paraId="4EC59FB9" w14:textId="77777777" w:rsidR="00530970" w:rsidRDefault="00530970">
            <w:pPr>
              <w:pStyle w:val="Compact"/>
            </w:pPr>
            <w:hyperlink r:id="rId52">
              <w:r>
                <w:rPr>
                  <w:rStyle w:val="Hiperligao"/>
                </w:rPr>
                <w:t>30. Limitations</w:t>
              </w:r>
            </w:hyperlink>
          </w:p>
        </w:tc>
        <w:tc>
          <w:tcPr>
            <w:tcW w:w="3959" w:type="dxa"/>
          </w:tcPr>
          <w:p w14:paraId="0E8D65A2" w14:textId="77777777" w:rsidR="00530970" w:rsidRDefault="00000000">
            <w:pPr>
              <w:pStyle w:val="Compact"/>
            </w:pPr>
            <w:r>
              <w:t>Trial limitations, addressing sources of potential bias, imprecision, generalisability, and, if relevant, multiplicity of analyses.</w:t>
            </w:r>
          </w:p>
        </w:tc>
        <w:tc>
          <w:tcPr>
            <w:tcW w:w="2375" w:type="dxa"/>
          </w:tcPr>
          <w:p w14:paraId="6180C121" w14:textId="77777777" w:rsidR="006F2583" w:rsidRDefault="00000000">
            <w:r>
              <w:rPr>
                <w:rFonts w:ascii="Arial" w:hAnsi="Arial"/>
                <w:sz w:val="18"/>
              </w:rPr>
              <w:t xml:space="preserve">Discussion, Limitations, paragraphs 1 to 5: clustering within teams, absence of an equivalence margin and of a primary outcome, instruments not validated for European Portuguese and validated only in populations of doctors and nurses, with no instrument designed for professional categories with supporting roles in care delivery, convenience sample and open-label design, Kirkpatrick levels 1 and 2 only, reliance on self-report after a single scenario and a single exposure, ambient conditions of the in situ sessions not measured, floor and ceiling effects, no reliability coefficients and predictability of the </w:t>
            </w:r>
            <w:r>
              <w:rPr>
                <w:rFonts w:ascii="Arial" w:hAnsi="Arial"/>
                <w:sz w:val="18"/>
              </w:rPr>
              <w:lastRenderedPageBreak/>
              <w:t>last allocations within each stratum.</w:t>
            </w:r>
          </w:p>
        </w:tc>
      </w:tr>
    </w:tbl>
    <w:p w14:paraId="340E7403" w14:textId="77777777" w:rsidR="00530970" w:rsidRDefault="00530970">
      <w:pPr>
        <w:pStyle w:val="Corpodetexto"/>
      </w:pPr>
    </w:p>
    <w:p w14:paraId="29855F3F" w14:textId="77777777" w:rsidR="00530970" w:rsidRDefault="00000000">
      <w:pPr>
        <w:pStyle w:val="Ttulo2"/>
      </w:pPr>
      <w:bookmarkStart w:id="0" w:name="sec-specify"/>
      <w:r>
        <w:t>1 How to specify where content is</w:t>
      </w:r>
    </w:p>
    <w:p w14:paraId="7CA3CAA6" w14:textId="77777777" w:rsidR="00530970" w:rsidRDefault="00000000">
      <w:pPr>
        <w:pStyle w:val="FirstParagraph"/>
      </w:pPr>
      <w:r>
        <w:t>Tell the reader where they can find information. E.g.,</w:t>
      </w:r>
    </w:p>
    <w:p w14:paraId="32A24F8C" w14:textId="77777777" w:rsidR="00530970" w:rsidRDefault="00000000">
      <w:pPr>
        <w:pStyle w:val="Compact"/>
        <w:numPr>
          <w:ilvl w:val="0"/>
          <w:numId w:val="5"/>
        </w:numPr>
      </w:pPr>
      <w:r>
        <w:t>Results; paragraph 2</w:t>
      </w:r>
    </w:p>
    <w:p w14:paraId="17D27079" w14:textId="77777777" w:rsidR="00530970" w:rsidRDefault="00000000">
      <w:pPr>
        <w:pStyle w:val="Compact"/>
        <w:numPr>
          <w:ilvl w:val="0"/>
          <w:numId w:val="5"/>
        </w:numPr>
      </w:pPr>
      <w:r>
        <w:t>Methods, Participants; paragraphs 1 &amp; 2.</w:t>
      </w:r>
    </w:p>
    <w:p w14:paraId="7F3197C9" w14:textId="77777777" w:rsidR="00530970" w:rsidRDefault="00000000">
      <w:pPr>
        <w:pStyle w:val="Compact"/>
        <w:numPr>
          <w:ilvl w:val="0"/>
          <w:numId w:val="5"/>
        </w:numPr>
      </w:pPr>
      <w:r>
        <w:t>Table 3</w:t>
      </w:r>
    </w:p>
    <w:p w14:paraId="2C990550" w14:textId="77777777" w:rsidR="00530970" w:rsidRDefault="00000000">
      <w:pPr>
        <w:pStyle w:val="Compact"/>
        <w:numPr>
          <w:ilvl w:val="0"/>
          <w:numId w:val="5"/>
        </w:numPr>
      </w:pPr>
      <w:r>
        <w:t>Supplement B, para. 4</w:t>
      </w:r>
    </w:p>
    <w:p w14:paraId="056D9B51" w14:textId="77777777" w:rsidR="00530970" w:rsidRDefault="00000000">
      <w:pPr>
        <w:pStyle w:val="FirstParagraph"/>
      </w:pPr>
      <w:r>
        <w:t>If you have chosen not to describe an item, explain why. You can do this in the checklist, or as a note below it.</w:t>
      </w:r>
    </w:p>
    <w:p w14:paraId="58EC3051" w14:textId="77777777" w:rsidR="00530970" w:rsidRDefault="00000000">
      <w:pPr>
        <w:pStyle w:val="Corpodetexto"/>
      </w:pPr>
      <w:r>
        <w:t>You can describe items in the article body, or in tables, figures, or supplementary materials, and should prioritize items you feel are most important to your intended audience. The order of items in your manuscript does not need to match the order of items in this checklist. You can decide how best to structure your work.</w:t>
      </w:r>
    </w:p>
    <w:p w14:paraId="78066E9C" w14:textId="77777777" w:rsidR="00530970" w:rsidRDefault="00000000">
      <w:pPr>
        <w:pStyle w:val="Ttulo2"/>
      </w:pPr>
      <w:bookmarkStart w:id="1" w:name="sec-cite"/>
      <w:bookmarkEnd w:id="0"/>
      <w:r>
        <w:t>2 How to cite</w:t>
      </w:r>
    </w:p>
    <w:p w14:paraId="29CE590C" w14:textId="77777777" w:rsidR="00530970" w:rsidRDefault="00000000">
      <w:pPr>
        <w:pStyle w:val="FirstParagraph"/>
      </w:pPr>
      <w:r>
        <w:t>Describe how you used CONSORT at the end of your Methods section, referencing the resources you used e.g.,</w:t>
      </w:r>
    </w:p>
    <w:p w14:paraId="6C3AFD4B" w14:textId="77777777" w:rsidR="00530970" w:rsidRDefault="00000000">
      <w:pPr>
        <w:pStyle w:val="Textodebloco"/>
      </w:pPr>
      <w:r>
        <w:t>‘We used the CONSORT reporting guideline(1) to draft this manuscript, and the CONSORT reporting checklist(2) when editing, included in supplement A’</w:t>
      </w:r>
    </w:p>
    <w:p w14:paraId="2E142194" w14:textId="77777777" w:rsidR="00530970" w:rsidRDefault="00000000">
      <w:pPr>
        <w:pStyle w:val="FirstParagraph"/>
      </w:pPr>
      <w:r>
        <w:t>If you use a reporting checklist, remember to include it as a supplement when publishing so that readers can easily find information and see how you have interpreted the guidance.</w:t>
      </w:r>
    </w:p>
    <w:p w14:paraId="555903DB" w14:textId="77777777" w:rsidR="00530970" w:rsidRDefault="00000000">
      <w:pPr>
        <w:pStyle w:val="Bibliografia"/>
      </w:pPr>
      <w:bookmarkStart w:id="2" w:name="ref-Citation"/>
      <w:bookmarkStart w:id="3" w:name="refs"/>
      <w:r>
        <w:t xml:space="preserve">1. </w:t>
      </w:r>
      <w:r>
        <w:tab/>
        <w:t xml:space="preserve">Hopewell S, Chan AW, Collins GS, Hróbjartsson A, Moher D, Schulz KF, et al. CONSORT 2025 statement: Updated guideline for reporting randomised trials. The BMJ [Internet]. 2025 Apr;389:e081123. Available from: </w:t>
      </w:r>
      <w:hyperlink r:id="rId53">
        <w:r w:rsidR="00530970">
          <w:rPr>
            <w:rStyle w:val="Hiperligao"/>
          </w:rPr>
          <w:t>https://www.ncbi.nlm.nih.gov/pmc/articles/PMC11995449/</w:t>
        </w:r>
      </w:hyperlink>
    </w:p>
    <w:p w14:paraId="52F5C146" w14:textId="77777777" w:rsidR="00530970" w:rsidRDefault="00000000">
      <w:pPr>
        <w:pStyle w:val="Bibliografia"/>
      </w:pPr>
      <w:bookmarkStart w:id="4" w:name="ref-Checklist"/>
      <w:bookmarkEnd w:id="2"/>
      <w:r>
        <w:t xml:space="preserve">2. </w:t>
      </w:r>
      <w:r>
        <w:tab/>
        <w:t xml:space="preserve">Hopewell S, Chan AW, Collins GS, Hróbjartsson A, Moher D, Schulz KF, et al. The CONSORT reporting checklist. In: Harwood J, Albury C, Beyer J de, Schlüssel M, Collins G, editors. The EQUATOR network reporting guideline platform [Internet]. The UK EQUATOR Centre; 2025. Available from: </w:t>
      </w:r>
      <w:hyperlink r:id="rId54">
        <w:r w:rsidR="00530970">
          <w:rPr>
            <w:rStyle w:val="Hiperligao"/>
          </w:rPr>
          <w:t>https:/resources.equator-network.org/reporting-guidelines/consort/consort-checklist.docx</w:t>
        </w:r>
      </w:hyperlink>
      <w:bookmarkEnd w:id="1"/>
      <w:bookmarkEnd w:id="3"/>
      <w:bookmarkEnd w:id="4"/>
    </w:p>
    <w:p w14:paraId="390476AB" w14:textId="77777777" w:rsidR="00F91A53" w:rsidRDefault="00F91A53"/>
    <w:p w14:paraId="7B494899" w14:textId="77777777" w:rsidR="006F2583" w:rsidRDefault="00000000">
      <w:r>
        <w:rPr>
          <w:b/>
          <w:sz w:val="20"/>
        </w:rPr>
        <w:t>Notes on this checklist</w:t>
      </w:r>
    </w:p>
    <w:p w14:paraId="4573048D" w14:textId="77777777" w:rsidR="006F2583" w:rsidRDefault="00000000">
      <w:r>
        <w:rPr>
          <w:sz w:val="18"/>
        </w:rPr>
        <w:t>Locations refer to the submitted version of the manuscript. Paragraph numbers count only the paragraphs of text within each named subsection, excluding headings.</w:t>
      </w:r>
    </w:p>
    <w:p w14:paraId="68826F82" w14:textId="77777777" w:rsidR="006F2583" w:rsidRDefault="00000000">
      <w:r>
        <w:rPr>
          <w:sz w:val="18"/>
        </w:rPr>
        <w:t>No outcome was designated as primary in the study protocol or in the registration record. All outcomes are therefore reported as exploratory and no correction for multiple testing was applied, as stated in Methods, Instruments and variables under study, and in Discussion, Limitations.</w:t>
      </w:r>
    </w:p>
    <w:p w14:paraId="6EFCC9B5" w14:textId="77777777" w:rsidR="006F2583" w:rsidRDefault="00000000">
      <w:r>
        <w:rPr>
          <w:sz w:val="18"/>
        </w:rPr>
        <w:t>Randomisation was at the level of the individual professional. The intervention was delivered to teams constituted after allocation, so participants are clustered within teams inside each study setting. Item 21d records the post hoc sensitivity analysis at team level and the estimation of the intraclass correlation coefficient.</w:t>
      </w:r>
    </w:p>
    <w:p w14:paraId="72D30BC7" w14:textId="77777777" w:rsidR="006F2583" w:rsidRDefault="00000000">
      <w:r>
        <w:rPr>
          <w:sz w:val="18"/>
        </w:rPr>
        <w:t>Items 20b, 24b and any item marked not applicable are explained in the corresponding row. The simulation-specific extensions of Cheng and colleagues are reported in Additional File 8.</w:t>
      </w:r>
    </w:p>
    <w:sectPr w:rsidR="006F2583" w:rsidSect="002A13D1">
      <w:headerReference w:type="first" r:id="rId55"/>
      <w:footnotePr>
        <w:numRestart w:val="eachSect"/>
      </w:footnotePr>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A720DA" w14:textId="77777777" w:rsidR="00792C25" w:rsidRDefault="00792C25">
      <w:pPr>
        <w:spacing w:after="0"/>
      </w:pPr>
      <w:r>
        <w:separator/>
      </w:r>
    </w:p>
  </w:endnote>
  <w:endnote w:type="continuationSeparator" w:id="0">
    <w:p w14:paraId="2C6F3683" w14:textId="77777777" w:rsidR="00792C25" w:rsidRDefault="00792C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DA96D4" w14:textId="77777777" w:rsidR="00792C25" w:rsidRDefault="00792C25">
      <w:pPr>
        <w:spacing w:after="0"/>
      </w:pPr>
      <w:r>
        <w:separator/>
      </w:r>
    </w:p>
  </w:footnote>
  <w:footnote w:type="continuationSeparator" w:id="0">
    <w:p w14:paraId="17634FB2" w14:textId="77777777" w:rsidR="00792C25" w:rsidRDefault="00792C2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9DE289" w14:textId="77777777" w:rsidR="002A13D1" w:rsidRPr="002A13D1" w:rsidRDefault="00DA45FA" w:rsidP="0008745B">
    <w:pPr>
      <w:pStyle w:val="Cabealho"/>
      <w:jc w:val="right"/>
      <w:rPr>
        <w:lang w:val="en-GB"/>
      </w:rPr>
    </w:pPr>
    <w:r>
      <w:rPr>
        <w:noProof/>
        <w:lang w:val="en-GB"/>
      </w:rPr>
      <w:drawing>
        <wp:inline distT="0" distB="0" distL="0" distR="0" wp14:anchorId="41C2A949" wp14:editId="22FF80A1">
          <wp:extent cx="1576070" cy="457569"/>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noProof/>
        <w:lang w:val="en-GB"/>
      </w:rPr>
      <w:drawing>
        <wp:inline distT="0" distB="0" distL="0" distR="0" wp14:anchorId="7181E048" wp14:editId="11755790">
          <wp:extent cx="146794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1205638713"/>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98D82B0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ED879A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F9BEB58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70CD2DE"/>
    <w:multiLevelType w:val="multilevel"/>
    <w:tmpl w:val="7068AD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27412441">
    <w:abstractNumId w:val="3"/>
  </w:num>
  <w:num w:numId="2" w16cid:durableId="1511986590">
    <w:abstractNumId w:val="0"/>
  </w:num>
  <w:num w:numId="3" w16cid:durableId="12726663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1268010">
    <w:abstractNumId w:val="1"/>
  </w:num>
  <w:num w:numId="5" w16cid:durableId="5724728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2D4A"/>
    <w:rsid w:val="00013ACA"/>
    <w:rsid w:val="00022633"/>
    <w:rsid w:val="0008745B"/>
    <w:rsid w:val="000876FD"/>
    <w:rsid w:val="000B6852"/>
    <w:rsid w:val="002A13D1"/>
    <w:rsid w:val="00367A90"/>
    <w:rsid w:val="003D3234"/>
    <w:rsid w:val="00445E58"/>
    <w:rsid w:val="00513D26"/>
    <w:rsid w:val="00530970"/>
    <w:rsid w:val="005C7F64"/>
    <w:rsid w:val="005E199A"/>
    <w:rsid w:val="00622D4A"/>
    <w:rsid w:val="006F2583"/>
    <w:rsid w:val="00792C25"/>
    <w:rsid w:val="00794F65"/>
    <w:rsid w:val="007B48D3"/>
    <w:rsid w:val="007D1BBD"/>
    <w:rsid w:val="008E7C59"/>
    <w:rsid w:val="00901047"/>
    <w:rsid w:val="00915861"/>
    <w:rsid w:val="009223CF"/>
    <w:rsid w:val="00957564"/>
    <w:rsid w:val="009B6688"/>
    <w:rsid w:val="009C620F"/>
    <w:rsid w:val="009D620D"/>
    <w:rsid w:val="00A05ED7"/>
    <w:rsid w:val="00A475A0"/>
    <w:rsid w:val="00AB6D9F"/>
    <w:rsid w:val="00AF6F97"/>
    <w:rsid w:val="00B14236"/>
    <w:rsid w:val="00B31C7A"/>
    <w:rsid w:val="00B55A02"/>
    <w:rsid w:val="00BA662C"/>
    <w:rsid w:val="00BF41D5"/>
    <w:rsid w:val="00C712FC"/>
    <w:rsid w:val="00C739A6"/>
    <w:rsid w:val="00CF77C1"/>
    <w:rsid w:val="00D25964"/>
    <w:rsid w:val="00DA06BA"/>
    <w:rsid w:val="00DA140F"/>
    <w:rsid w:val="00DA45FA"/>
    <w:rsid w:val="00E209B4"/>
    <w:rsid w:val="00E96647"/>
    <w:rsid w:val="00F6011D"/>
    <w:rsid w:val="00F91A53"/>
    <w:rsid w:val="00FD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185FF"/>
  <w15:docId w15:val="{C457B36A-E80F-B845-8D60-3BB8C9EE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ED7"/>
    <w:rPr>
      <w:rFonts w:ascii="Calibri" w:hAnsi="Calibri"/>
    </w:rPr>
  </w:style>
  <w:style w:type="paragraph" w:styleId="Ttulo1">
    <w:name w:val="heading 1"/>
    <w:basedOn w:val="Normal"/>
    <w:next w:val="Corpodetexto"/>
    <w:link w:val="Ttulo1Carte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Corpodetexto"/>
    <w:link w:val="Ttulo2Carte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Corpodetexto"/>
    <w:link w:val="Ttulo3Carte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Corpodetexto"/>
    <w:link w:val="Ttulo4Carte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Corpodetexto"/>
    <w:link w:val="Ttulo5Carte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Corpodetexto"/>
    <w:link w:val="Ttulo6Carte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Corpodetexto"/>
    <w:link w:val="Ttulo7Carte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Corpodetexto"/>
    <w:link w:val="Ttulo8Carte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Corpodetexto"/>
    <w:link w:val="Ttulo9Carte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qFormat/>
    <w:pPr>
      <w:spacing w:before="180" w:after="180"/>
    </w:pPr>
  </w:style>
  <w:style w:type="paragraph" w:customStyle="1" w:styleId="FirstParagraph">
    <w:name w:val="First Paragraph"/>
    <w:basedOn w:val="Corpodetexto"/>
    <w:next w:val="Corpodetexto"/>
    <w:qFormat/>
  </w:style>
  <w:style w:type="paragraph" w:customStyle="1" w:styleId="Compact">
    <w:name w:val="Compact"/>
    <w:basedOn w:val="Corpodetexto"/>
    <w:qFormat/>
    <w:pPr>
      <w:spacing w:before="36" w:after="36"/>
    </w:pPr>
  </w:style>
  <w:style w:type="paragraph" w:styleId="Ttulo">
    <w:name w:val="Title"/>
    <w:basedOn w:val="Normal"/>
    <w:next w:val="Corpodetexto"/>
    <w:link w:val="TtuloCarter"/>
    <w:uiPriority w:val="10"/>
    <w:qFormat/>
    <w:rsid w:val="00A05ED7"/>
    <w:pPr>
      <w:spacing w:after="80"/>
      <w:contextualSpacing/>
    </w:pPr>
    <w:rPr>
      <w:rFonts w:eastAsiaTheme="majorEastAsia" w:cstheme="majorBidi"/>
      <w:spacing w:val="-10"/>
      <w:kern w:val="28"/>
      <w:sz w:val="56"/>
      <w:szCs w:val="56"/>
    </w:rPr>
  </w:style>
  <w:style w:type="character" w:customStyle="1" w:styleId="TtuloCarter">
    <w:name w:val="Título Caráter"/>
    <w:basedOn w:val="Tipodeletrapredefinidodopargrafo"/>
    <w:link w:val="Ttulo"/>
    <w:uiPriority w:val="10"/>
    <w:rsid w:val="00A05ED7"/>
    <w:rPr>
      <w:rFonts w:ascii="Calibri" w:eastAsiaTheme="majorEastAsia" w:hAnsi="Calibri" w:cstheme="majorBidi"/>
      <w:spacing w:val="-10"/>
      <w:kern w:val="28"/>
      <w:sz w:val="56"/>
      <w:szCs w:val="56"/>
    </w:rPr>
  </w:style>
  <w:style w:type="paragraph" w:styleId="Subttulo">
    <w:name w:val="Subtitle"/>
    <w:basedOn w:val="Ttulo"/>
    <w:next w:val="Corpodetexto"/>
    <w:link w:val="SubttuloCarter"/>
    <w:uiPriority w:val="11"/>
    <w:qFormat/>
    <w:rsid w:val="00A05ED7"/>
    <w:pPr>
      <w:numPr>
        <w:ilvl w:val="1"/>
      </w:numPr>
    </w:pPr>
    <w:rPr>
      <w:color w:val="ADADAD" w:themeColor="background2" w:themeShade="BF"/>
      <w:spacing w:val="15"/>
      <w:sz w:val="28"/>
      <w:szCs w:val="28"/>
    </w:rPr>
  </w:style>
  <w:style w:type="character" w:customStyle="1" w:styleId="SubttuloCarter">
    <w:name w:val="Subtítulo Caráter"/>
    <w:basedOn w:val="Tipodeletrapredefinidodopargrafo"/>
    <w:link w:val="Subttulo"/>
    <w:uiPriority w:val="11"/>
    <w:rsid w:val="00A05ED7"/>
    <w:rPr>
      <w:rFonts w:ascii="Calibri" w:eastAsiaTheme="majorEastAsia" w:hAnsi="Calibri" w:cstheme="majorBidi"/>
      <w:color w:val="ADADAD" w:themeColor="background2" w:themeShade="BF"/>
      <w:spacing w:val="15"/>
      <w:kern w:val="28"/>
      <w:sz w:val="28"/>
      <w:szCs w:val="28"/>
    </w:rPr>
  </w:style>
  <w:style w:type="paragraph" w:customStyle="1" w:styleId="Author">
    <w:name w:val="Author"/>
    <w:next w:val="Corpodetexto"/>
    <w:qFormat/>
    <w:rsid w:val="00A05ED7"/>
    <w:pPr>
      <w:keepNext/>
      <w:keepLines/>
    </w:pPr>
    <w:rPr>
      <w:rFonts w:ascii="Calibri" w:hAnsi="Calibri"/>
    </w:rPr>
  </w:style>
  <w:style w:type="paragraph" w:styleId="Data">
    <w:name w:val="Date"/>
    <w:next w:val="Corpodetexto"/>
    <w:qFormat/>
    <w:rsid w:val="00A05ED7"/>
    <w:pPr>
      <w:keepNext/>
      <w:keepLines/>
    </w:pPr>
    <w:rPr>
      <w:rFonts w:ascii="Calibri" w:hAnsi="Calibri"/>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odetexto"/>
    <w:qFormat/>
    <w:pPr>
      <w:keepNext/>
      <w:keepLines/>
      <w:spacing w:before="100" w:after="300"/>
    </w:pPr>
    <w:rPr>
      <w:sz w:val="20"/>
      <w:szCs w:val="20"/>
    </w:rPr>
  </w:style>
  <w:style w:type="paragraph" w:styleId="Bibliografia">
    <w:name w:val="Bibliography"/>
    <w:basedOn w:val="Normal"/>
    <w:qFormat/>
  </w:style>
  <w:style w:type="character" w:customStyle="1" w:styleId="Ttulo1Carter">
    <w:name w:val="Título 1 Caráter"/>
    <w:basedOn w:val="Tipodeletrapredefinidodopargrafo"/>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A10FD9"/>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A10FD9"/>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A10FD9"/>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A10FD9"/>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A10FD9"/>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A10FD9"/>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A10FD9"/>
    <w:rPr>
      <w:rFonts w:eastAsiaTheme="majorEastAsia" w:cstheme="majorBidi"/>
      <w:color w:val="272727" w:themeColor="text1" w:themeTint="D8"/>
    </w:rPr>
  </w:style>
  <w:style w:type="paragraph" w:styleId="Textodebloco">
    <w:name w:val="Block Text"/>
    <w:basedOn w:val="Corpodetexto"/>
    <w:next w:val="Corpodetexto"/>
    <w:uiPriority w:val="9"/>
    <w:unhideWhenUsed/>
    <w:qFormat/>
    <w:pPr>
      <w:spacing w:before="100" w:after="100"/>
      <w:ind w:left="480" w:right="480"/>
    </w:pPr>
  </w:style>
  <w:style w:type="paragraph" w:styleId="Textodenotaderodap">
    <w:name w:val="footnote text"/>
    <w:basedOn w:val="Normal"/>
    <w:uiPriority w:val="9"/>
    <w:unhideWhenUsed/>
    <w:qFormat/>
  </w:style>
  <w:style w:type="paragraph" w:customStyle="1" w:styleId="FootnoteBlockText">
    <w:name w:val="Footnote Block Text"/>
    <w:basedOn w:val="Textodenotaderodap"/>
    <w:next w:val="Textodenotaderodap"/>
    <w:uiPriority w:val="9"/>
    <w:unhideWhenUsed/>
    <w:qFormat/>
    <w:pPr>
      <w:spacing w:before="100" w:after="100"/>
      <w:ind w:left="480" w:right="480"/>
    </w:pPr>
  </w:style>
  <w:style w:type="table" w:customStyle="1" w:styleId="Table">
    <w:name w:val="Table"/>
    <w:basedOn w:val="Tabelanormal"/>
    <w:semiHidden/>
    <w:unhideWhenUsed/>
    <w:qFormat/>
    <w:rsid w:val="009D620D"/>
    <w:tblPr>
      <w:tblStyleRowBandSize w:val="1"/>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Pr>
    <w:tcPr>
      <w:shd w:val="clear" w:color="auto" w:fill="auto"/>
    </w:tcPr>
    <w:tblStylePr w:type="firstRow">
      <w:pPr>
        <w:spacing w:before="0" w:after="0" w:line="240" w:lineRule="auto"/>
      </w:pPr>
      <w:rPr>
        <w:rFonts w:asciiTheme="majorHAnsi" w:eastAsiaTheme="majorEastAsia" w:hAnsiTheme="majorHAnsi" w:cstheme="majorBidi"/>
        <w:b/>
        <w:bCs/>
        <w:color w:val="FFFFFF" w:themeColor="background1"/>
      </w:rPr>
      <w:tblPr>
        <w:jc w:val="left"/>
      </w:tblPr>
      <w:trPr>
        <w:jc w:val="left"/>
      </w:trPr>
      <w:tcPr>
        <w:tcBorders>
          <w:top w:val="single" w:sz="4" w:space="0" w:color="4EA72E" w:themeColor="accent6"/>
          <w:left w:val="single" w:sz="4" w:space="0" w:color="4EA72E" w:themeColor="accent6"/>
          <w:bottom w:val="single" w:sz="0" w:space="0" w:color="auto"/>
          <w:right w:val="single" w:sz="4" w:space="0" w:color="4EA72E" w:themeColor="accent6"/>
          <w:insideH w:val="nil"/>
          <w:insideV w:val="single" w:sz="8" w:space="0" w:color="A02B93" w:themeColor="accent5"/>
        </w:tcBorders>
        <w:shd w:val="clear" w:color="auto" w:fill="4EA72E" w:themeFill="accent6"/>
        <w:vAlign w:val="bottom"/>
      </w:tcPr>
    </w:tblStylePr>
    <w:tblStylePr w:type="lastRow">
      <w:pPr>
        <w:spacing w:before="0" w:after="0" w:line="240" w:lineRule="auto"/>
      </w:pPr>
      <w:rPr>
        <w:rFonts w:asciiTheme="majorHAnsi" w:eastAsiaTheme="majorEastAsia" w:hAnsiTheme="majorHAnsi" w:cstheme="majorBidi"/>
        <w:b w:val="0"/>
        <w:bCs/>
      </w:rPr>
      <w:tblPr/>
      <w:tcPr>
        <w:tcBorders>
          <w:top w:val="nil"/>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shd w:val="clear" w:color="auto" w:fill="F2F2F2" w:themeFill="background1" w:themeFillShade="F2"/>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egenda">
    <w:name w:val="caption"/>
    <w:basedOn w:val="Normal"/>
    <w:link w:val="LegendaCarter"/>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arter">
    <w:name w:val="Legenda Caráter"/>
    <w:basedOn w:val="Tipodeletrapredefinidodopargrafo"/>
    <w:link w:val="Legenda"/>
  </w:style>
  <w:style w:type="character" w:customStyle="1" w:styleId="VerbatimChar">
    <w:name w:val="Verbatim Char"/>
    <w:basedOn w:val="LegendaCarter"/>
    <w:link w:val="SourceCode"/>
    <w:rPr>
      <w:rFonts w:ascii="Consolas" w:hAnsi="Consolas"/>
      <w:sz w:val="22"/>
    </w:rPr>
  </w:style>
  <w:style w:type="character" w:customStyle="1" w:styleId="SectionNumber">
    <w:name w:val="Section Number"/>
    <w:basedOn w:val="LegendaCarter"/>
  </w:style>
  <w:style w:type="character" w:styleId="Refdenotaderodap">
    <w:name w:val="footnote reference"/>
    <w:basedOn w:val="LegendaCarter"/>
    <w:rPr>
      <w:vertAlign w:val="superscript"/>
    </w:rPr>
  </w:style>
  <w:style w:type="character" w:styleId="Hiperligao">
    <w:name w:val="Hyperlink"/>
    <w:basedOn w:val="LegendaCarter"/>
    <w:rsid w:val="00E209B4"/>
    <w:rPr>
      <w:color w:val="0070C0"/>
    </w:rPr>
  </w:style>
  <w:style w:type="paragraph" w:styleId="Cabealhodondice">
    <w:name w:val="TOC Heading"/>
    <w:basedOn w:val="Ttulo1"/>
    <w:next w:val="Corpodetexto"/>
    <w:uiPriority w:val="39"/>
    <w:unhideWhenUsed/>
    <w:qFormat/>
    <w:pPr>
      <w:spacing w:before="240" w:line="259" w:lineRule="auto"/>
      <w:outlineLvl w:val="9"/>
    </w:pPr>
  </w:style>
  <w:style w:type="paragraph" w:styleId="Cabealho">
    <w:name w:val="header"/>
    <w:basedOn w:val="Normal"/>
    <w:link w:val="CabealhoCarter"/>
    <w:rsid w:val="002A13D1"/>
    <w:pPr>
      <w:tabs>
        <w:tab w:val="center" w:pos="4513"/>
        <w:tab w:val="right" w:pos="9026"/>
      </w:tabs>
      <w:spacing w:after="0"/>
    </w:pPr>
  </w:style>
  <w:style w:type="character" w:customStyle="1" w:styleId="CabealhoCarter">
    <w:name w:val="Cabeçalho Caráter"/>
    <w:basedOn w:val="Tipodeletrapredefinidodopargrafo"/>
    <w:link w:val="Cabealho"/>
    <w:rsid w:val="002A13D1"/>
    <w:rPr>
      <w:rFonts w:ascii="Calibri" w:hAnsi="Calibri"/>
    </w:rPr>
  </w:style>
  <w:style w:type="paragraph" w:styleId="Rodap">
    <w:name w:val="footer"/>
    <w:basedOn w:val="Normal"/>
    <w:link w:val="RodapCarter"/>
    <w:rsid w:val="002A13D1"/>
    <w:pPr>
      <w:tabs>
        <w:tab w:val="center" w:pos="4513"/>
        <w:tab w:val="right" w:pos="9026"/>
      </w:tabs>
      <w:spacing w:after="0"/>
    </w:pPr>
  </w:style>
  <w:style w:type="character" w:customStyle="1" w:styleId="RodapCarter">
    <w:name w:val="Rodapé Caráter"/>
    <w:basedOn w:val="Tipodeletrapredefinidodopargrafo"/>
    <w:link w:val="Rodap"/>
    <w:rsid w:val="002A13D1"/>
    <w:rPr>
      <w:rFonts w:ascii="Calibri" w:hAnsi="Calibri"/>
    </w:rPr>
  </w:style>
  <w:style w:type="table" w:styleId="TabeladeLista4-Destaque6">
    <w:name w:val="List Table 4 Accent 6"/>
    <w:basedOn w:val="Tabelanormal"/>
    <w:uiPriority w:val="49"/>
    <w:rsid w:val="00E209B4"/>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elhaClara-Cor5">
    <w:name w:val="Light Grid Accent 5"/>
    <w:basedOn w:val="Tabelanormal"/>
    <w:semiHidden/>
    <w:unhideWhenUsed/>
    <w:rsid w:val="000B6852"/>
    <w:pPr>
      <w:spacing w:after="0"/>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ources.equator-network.org/reporting-guidelines/consort/items/trial-registration.html?utm_source=consort&amp;utm_medium=checklist&amp;utm_campaign=CONSORT_2025_v1_1" TargetMode="External"/><Relationship Id="rId18" Type="http://schemas.openxmlformats.org/officeDocument/2006/relationships/hyperlink" Target="https:/resources.equator-network.org/reporting-guidelines/consort/items/background-and-rationale.html?utm_source=consort&amp;utm_medium=checklist&amp;utm_campaign=CONSORT_2025_v1_1" TargetMode="External"/><Relationship Id="rId26" Type="http://schemas.openxmlformats.org/officeDocument/2006/relationships/hyperlink" Target="https:/resources.equator-network.org/reporting-guidelines/consort/items/intervention-and-comparator.html?utm_source=consort&amp;utm_medium=checklist&amp;utm_campaign=CONSORT_2025_v1_1" TargetMode="External"/><Relationship Id="rId39" Type="http://schemas.openxmlformats.org/officeDocument/2006/relationships/hyperlink" Target="https:/resources.equator-network.org/reporting-guidelines/consort/items/statistical-methods-missing-data.html?utm_source=consort&amp;utm_medium=checklist&amp;utm_campaign=CONSORT_2025_v1_1" TargetMode="External"/><Relationship Id="rId21" Type="http://schemas.openxmlformats.org/officeDocument/2006/relationships/hyperlink" Target="https:/resources.equator-network.org/reporting-guidelines/consort/items/trial-design.html?utm_source=consort&amp;utm_medium=checklist&amp;utm_campaign=CONSORT_2025_v1_1" TargetMode="External"/><Relationship Id="rId34" Type="http://schemas.openxmlformats.org/officeDocument/2006/relationships/hyperlink" Target="https:/resources.equator-network.org/reporting-guidelines/consort/items/implementation.html?utm_source=consort&amp;utm_medium=checklist&amp;utm_campaign=CONSORT_2025_v1_1" TargetMode="External"/><Relationship Id="rId42" Type="http://schemas.openxmlformats.org/officeDocument/2006/relationships/hyperlink" Target="https:/resources.equator-network.org/reporting-guidelines/consort/items/participant-flow-losses-and-exclusions.html?utm_source=consort&amp;utm_medium=checklist&amp;utm_campaign=CONSORT_2025_v1_1" TargetMode="External"/><Relationship Id="rId47" Type="http://schemas.openxmlformats.org/officeDocument/2006/relationships/hyperlink" Target="https:/resources.equator-network.org/reporting-guidelines/consort/items/baseline-data.html?utm_source=consort&amp;utm_medium=checklist&amp;utm_campaign=CONSORT_2025_v1_1" TargetMode="External"/><Relationship Id="rId50" Type="http://schemas.openxmlformats.org/officeDocument/2006/relationships/hyperlink" Target="https:/resources.equator-network.org/reporting-guidelines/consort/items/ancillary-analyses.html?utm_source=consort&amp;utm_medium=checklist&amp;utm_campaign=CONSORT_2025_v1_1" TargetMode="External"/><Relationship Id="rId55" Type="http://schemas.openxmlformats.org/officeDocument/2006/relationships/header" Target="header1.xml"/><Relationship Id="rId7" Type="http://schemas.openxmlformats.org/officeDocument/2006/relationships/hyperlink" Target="https:/resources.equator-network.org/reporting-guidelines/consort/index.html" TargetMode="External"/><Relationship Id="rId2" Type="http://schemas.openxmlformats.org/officeDocument/2006/relationships/styles" Target="styles.xml"/><Relationship Id="rId16" Type="http://schemas.openxmlformats.org/officeDocument/2006/relationships/hyperlink" Target="https:/resources.equator-network.org/reporting-guidelines/consort/items/funding.html?utm_source=consort&amp;utm_medium=checklist&amp;utm_campaign=CONSORT_2025_v1_1" TargetMode="External"/><Relationship Id="rId29" Type="http://schemas.openxmlformats.org/officeDocument/2006/relationships/hyperlink" Target="https:/resources.equator-network.org/reporting-guidelines/consort/items/sample-size-determination.html?utm_source=consort&amp;utm_medium=checklist&amp;utm_campaign=CONSORT_2025_v1_1" TargetMode="External"/><Relationship Id="rId11" Type="http://schemas.openxmlformats.org/officeDocument/2006/relationships/hyperlink" Target="https:/resources.equator-network.org/reporting-guidelines/consort/items/title.html?utm_source=consort&amp;utm_medium=checklist&amp;utm_campaign=CONSORT_2025_v1_1" TargetMode="External"/><Relationship Id="rId24" Type="http://schemas.openxmlformats.org/officeDocument/2006/relationships/hyperlink" Target="https:/resources.equator-network.org/reporting-guidelines/consort/items/eligibility-criteria-participants.html?utm_source=consort&amp;utm_medium=checklist&amp;utm_campaign=CONSORT_2025_v1_1" TargetMode="External"/><Relationship Id="rId32" Type="http://schemas.openxmlformats.org/officeDocument/2006/relationships/hyperlink" Target="https:/resources.equator-network.org/reporting-guidelines/consort/items/randomisation-type-of-randomisation.html?utm_source=consort&amp;utm_medium=checklist&amp;utm_campaign=CONSORT_2025_v1_1" TargetMode="External"/><Relationship Id="rId37" Type="http://schemas.openxmlformats.org/officeDocument/2006/relationships/hyperlink" Target="https:/resources.equator-network.org/reporting-guidelines/consort/items/statistical-methods-comparing-groups-primary-secondary-outcomes-harms.html?utm_source=consort&amp;utm_medium=checklist&amp;utm_campaign=CONSORT_2025_v1_1" TargetMode="External"/><Relationship Id="rId40" Type="http://schemas.openxmlformats.org/officeDocument/2006/relationships/hyperlink" Target="https:/resources.equator-network.org/reporting-guidelines/consort/items/statistical-methods-additional-analyses.html?utm_source=consort&amp;utm_medium=checklist&amp;utm_campaign=CONSORT_2025_v1_1" TargetMode="External"/><Relationship Id="rId45" Type="http://schemas.openxmlformats.org/officeDocument/2006/relationships/hyperlink" Target="https:/resources.equator-network.org/reporting-guidelines/consort/items/intervention-comparator-delivery-as-administered.html?utm_source=consort&amp;utm_medium=checklist&amp;utm_campaign=CONSORT_2025_v1_1" TargetMode="External"/><Relationship Id="rId53" Type="http://schemas.openxmlformats.org/officeDocument/2006/relationships/hyperlink" Target="https://www.ncbi.nlm.nih.gov/pmc/articles/PMC11995449/" TargetMode="External"/><Relationship Id="rId5" Type="http://schemas.openxmlformats.org/officeDocument/2006/relationships/footnotes" Target="footnotes.xml"/><Relationship Id="rId19" Type="http://schemas.openxmlformats.org/officeDocument/2006/relationships/hyperlink" Target="https:/resources.equator-network.org/reporting-guidelines/consort/items/objectives.html?utm_source=consort&amp;utm_medium=checklist&amp;utm_campaign=CONSORT_2025_v1_1" TargetMode="External"/><Relationship Id="rId4" Type="http://schemas.openxmlformats.org/officeDocument/2006/relationships/webSettings" Target="webSettings.xml"/><Relationship Id="rId9" Type="http://schemas.openxmlformats.org/officeDocument/2006/relationships/hyperlink" Target="https:/resources.equator-network.org/reporting-guidelines/consort/index.html?" TargetMode="External"/><Relationship Id="rId14" Type="http://schemas.openxmlformats.org/officeDocument/2006/relationships/hyperlink" Target="https:/resources.equator-network.org/reporting-guidelines/consort/items/protocol-and-statistical-analysis-plan.html?utm_source=consort&amp;utm_medium=checklist&amp;utm_campaign=CONSORT_2025_v1_1" TargetMode="External"/><Relationship Id="rId22" Type="http://schemas.openxmlformats.org/officeDocument/2006/relationships/hyperlink" Target="https:/resources.equator-network.org/reporting-guidelines/consort/items/changes-to-trial-protocol.html?utm_source=consort&amp;utm_medium=checklist&amp;utm_campaign=CONSORT_2025_v1_1" TargetMode="External"/><Relationship Id="rId27" Type="http://schemas.openxmlformats.org/officeDocument/2006/relationships/hyperlink" Target="https:/resources.equator-network.org/reporting-guidelines/consort/items/outcomes.html?utm_source=consort&amp;utm_medium=checklist&amp;utm_campaign=CONSORT_2025_v1_1" TargetMode="External"/><Relationship Id="rId30" Type="http://schemas.openxmlformats.org/officeDocument/2006/relationships/hyperlink" Target="https:/resources.equator-network.org/reporting-guidelines/consort/items/sample-size-interim-analyses-and-stopping-guidelines.html?utm_source=consort&amp;utm_medium=checklist&amp;utm_campaign=CONSORT_2025_v1_1" TargetMode="External"/><Relationship Id="rId35" Type="http://schemas.openxmlformats.org/officeDocument/2006/relationships/hyperlink" Target="https:/resources.equator-network.org/reporting-guidelines/consort/items/blinding-who.html?utm_source=consort&amp;utm_medium=checklist&amp;utm_campaign=CONSORT_2025_v1_1" TargetMode="External"/><Relationship Id="rId43" Type="http://schemas.openxmlformats.org/officeDocument/2006/relationships/hyperlink" Target="https:/resources.equator-network.org/reporting-guidelines/consort/items/recruitment-dates.html?utm_source=consort&amp;utm_medium=checklist&amp;utm_campaign=CONSORT_2025_v1_1" TargetMode="External"/><Relationship Id="rId48" Type="http://schemas.openxmlformats.org/officeDocument/2006/relationships/hyperlink" Target="https:/resources.equator-network.org/reporting-guidelines/consort/items/numbers-analysed-outcomes-estimation.html?utm_source=consort&amp;utm_medium=checklist&amp;utm_campaign=CONSORT_2025_v1_1" TargetMode="External"/><Relationship Id="rId56" Type="http://schemas.openxmlformats.org/officeDocument/2006/relationships/fontTable" Target="fontTable.xml"/><Relationship Id="rId8" Type="http://schemas.openxmlformats.org/officeDocument/2006/relationships/hyperlink" Target="https:/resources.equator-network.org/about/reporting-guidelines.html" TargetMode="External"/><Relationship Id="rId51" Type="http://schemas.openxmlformats.org/officeDocument/2006/relationships/hyperlink" Target="https:/resources.equator-network.org/reporting-guidelines/consort/items/interpretation.html?utm_source=consort&amp;utm_medium=checklist&amp;utm_campaign=CONSORT_2025_v1_1" TargetMode="External"/><Relationship Id="rId3" Type="http://schemas.openxmlformats.org/officeDocument/2006/relationships/settings" Target="settings.xml"/><Relationship Id="rId12" Type="http://schemas.openxmlformats.org/officeDocument/2006/relationships/hyperlink" Target="https:/resources.equator-network.org/reporting-guidelines/consort/items/structured-abstract.html?utm_source=consort&amp;utm_medium=checklist&amp;utm_campaign=CONSORT_2025_v1_1" TargetMode="External"/><Relationship Id="rId17" Type="http://schemas.openxmlformats.org/officeDocument/2006/relationships/hyperlink" Target="https:/resources.equator-network.org/reporting-guidelines/consort/items/conflicts-of-interest.html?utm_source=consort&amp;utm_medium=checklist&amp;utm_campaign=CONSORT_2025_v1_1" TargetMode="External"/><Relationship Id="rId25" Type="http://schemas.openxmlformats.org/officeDocument/2006/relationships/hyperlink" Target="https:/resources.equator-network.org/reporting-guidelines/consort/items/eligibility-criteria-sites-individuals.html?utm_source=consort&amp;utm_medium=checklist&amp;utm_campaign=CONSORT_2025_v1_1" TargetMode="External"/><Relationship Id="rId33" Type="http://schemas.openxmlformats.org/officeDocument/2006/relationships/hyperlink" Target="https:/resources.equator-network.org/reporting-guidelines/consort/items/allocation-concealment-mechanism.html?utm_source=consort&amp;utm_medium=checklist&amp;utm_campaign=CONSORT_2025_v1_1" TargetMode="External"/><Relationship Id="rId38" Type="http://schemas.openxmlformats.org/officeDocument/2006/relationships/hyperlink" Target="https:/resources.equator-network.org/reporting-guidelines/consort/items/statistical-methods-definition-of-who-is-included-in-each-analysis.html?utm_source=consort&amp;utm_medium=checklist&amp;utm_campaign=CONSORT_2025_v1_1" TargetMode="External"/><Relationship Id="rId46" Type="http://schemas.openxmlformats.org/officeDocument/2006/relationships/hyperlink" Target="https:/resources.equator-network.org/reporting-guidelines/consort/items/intervention-comparator-delivery-concomitant-care.html?utm_source=consort&amp;utm_medium=checklist&amp;utm_campaign=CONSORT_2025_v1_1" TargetMode="External"/><Relationship Id="rId20" Type="http://schemas.openxmlformats.org/officeDocument/2006/relationships/hyperlink" Target="https:/resources.equator-network.org/reporting-guidelines/consort/items/patient-and-public-involvement.html?utm_source=consort&amp;utm_medium=checklist&amp;utm_campaign=CONSORT_2025_v1_1" TargetMode="External"/><Relationship Id="rId41" Type="http://schemas.openxmlformats.org/officeDocument/2006/relationships/hyperlink" Target="https:/resources.equator-network.org/reporting-guidelines/consort/items/participant-flow-numbers.html?utm_source=consort&amp;utm_medium=checklist&amp;utm_campaign=CONSORT_2025_v1_1" TargetMode="External"/><Relationship Id="rId54" Type="http://schemas.openxmlformats.org/officeDocument/2006/relationships/hyperlink" Target="https://https:/resources.equator-network.org/reporting-guidelines/consort/consort-checklist.doc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esources.equator-network.org/reporting-guidelines/consort/items/data-sharing.html?utm_source=consort&amp;utm_medium=checklist&amp;utm_campaign=CONSORT_2025_v1_1" TargetMode="External"/><Relationship Id="rId23" Type="http://schemas.openxmlformats.org/officeDocument/2006/relationships/hyperlink" Target="https:/resources.equator-network.org/reporting-guidelines/consort/items/trial-setting.html?utm_source=consort&amp;utm_medium=checklist&amp;utm_campaign=CONSORT_2025_v1_1" TargetMode="External"/><Relationship Id="rId28" Type="http://schemas.openxmlformats.org/officeDocument/2006/relationships/hyperlink" Target="https:/resources.equator-network.org/reporting-guidelines/consort/items/harms.html?utm_source=consort&amp;utm_medium=checklist&amp;utm_campaign=CONSORT_2025_v1_1" TargetMode="External"/><Relationship Id="rId36" Type="http://schemas.openxmlformats.org/officeDocument/2006/relationships/hyperlink" Target="https:/resources.equator-network.org/reporting-guidelines/consort/items/blinding-how.html?utm_source=consort&amp;utm_medium=checklist&amp;utm_campaign=CONSORT_2025_v1_1" TargetMode="External"/><Relationship Id="rId49" Type="http://schemas.openxmlformats.org/officeDocument/2006/relationships/hyperlink" Target="https:/resources.equator-network.org/reporting-guidelines/consort/items/harms.html?utm_source=consort&amp;utm_medium=checklist&amp;utm_campaign=CONSORT_2025_v1_1" TargetMode="External"/><Relationship Id="rId57" Type="http://schemas.openxmlformats.org/officeDocument/2006/relationships/theme" Target="theme/theme1.xml"/><Relationship Id="rId10" Type="http://schemas.openxmlformats.org/officeDocument/2006/relationships/hyperlink" Target="https:/resources.equator-network.org/reporting-guidelines/consort/index.html" TargetMode="External"/><Relationship Id="rId31" Type="http://schemas.openxmlformats.org/officeDocument/2006/relationships/hyperlink" Target="https:/resources.equator-network.org/reporting-guidelines/consort/items/randomisation-sequence-generation.html?utm_source=consort&amp;utm_medium=checklist&amp;utm_campaign=CONSORT_2025_v1_1" TargetMode="External"/><Relationship Id="rId44" Type="http://schemas.openxmlformats.org/officeDocument/2006/relationships/hyperlink" Target="https:/resources.equator-network.org/reporting-guidelines/consort/items/recruitment-why-stopped.html?utm_source=consort&amp;utm_medium=checklist&amp;utm_campaign=CONSORT_2025_v1_1" TargetMode="External"/><Relationship Id="rId52" Type="http://schemas.openxmlformats.org/officeDocument/2006/relationships/hyperlink" Target="https:/resources.equator-network.org/reporting-guidelines/consort/items/limitations.html?utm_source=consort&amp;utm_medium=checklist&amp;utm_campaign=CONSORT_2025_v1_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4786</Words>
  <Characters>25847</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The CONSORT reporting checklist</vt:lpstr>
    </vt:vector>
  </TitlesOfParts>
  <Company/>
  <LinksUpToDate>false</LinksUpToDate>
  <CharactersWithSpaces>30572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CONSORT reporting checklist</dc:title>
  <dc:creator>Maria Céu Campos</dc:creator>
  <cp:keywords/>
  <dc:description>CONSORT: Consolidated Standards of Reporting Trials</dc:description>
  <cp:lastModifiedBy>Maria Céu Campos</cp:lastModifiedBy>
  <cp:revision>2</cp:revision>
  <dcterms:created xsi:type="dcterms:W3CDTF">2026-09-25T13:00:00Z</dcterms:created>
  <dcterms:modified xsi:type="dcterms:W3CDTF">2026-09-25T13:00:00Z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CONSORT</vt:lpwstr>
  </property>
  <property fmtid="{D5CDD505-2E9C-101B-9397-08002B2CF9AE}" pid="4" name="acronym-definition">
    <vt:lpwstr>Consolidated Standards of Reporting Trials</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Sally Hopewell, An-Wen Chan, Gary S Collins, Asbjørn Hróbjartsson, David Moher, Kenneth F Schulz, Ruth Tunn, Rakesh Aggarwal, Michael Berkwits, Jesse A Berlin, Nita Bhandari, Nancy J Butcher, Marion K Campbell, Runcie C W Chidebe, Diana Elbourne, Andrew Farmer, Dean A Fergusson, Robert M Golub, Steven N Goodman, Tammy C Hoffmann, John P A Ioannidis, Brennan C Kahan, Rachel L Knowles, Sarah E Lamb, Steff Lewis, Elizabeth Loder, Martin Offringa, Philippe Ravaud, Dawn P Richards, Frank W Rockhold, David L Schriger, Nandi L Siegfried, Sophie Staniszewska, Rod S Taylor, Lehana Thabane, David Torgerson, Sunita Vohra, Ian R White, Isabelle Boutron</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itation-year-string">
    <vt:lpwstr>2025</vt:lpwstr>
  </property>
  <property fmtid="{D5CDD505-2E9C-101B-9397-08002B2CF9AE}" pid="13" name="crossref">
    <vt:lpwstr/>
  </property>
  <property fmtid="{D5CDD505-2E9C-101B-9397-08002B2CF9AE}" pid="14" name="csl">
    <vt:lpwstr>../../vancouver.csl</vt:lpwstr>
  </property>
  <property fmtid="{D5CDD505-2E9C-101B-9397-08002B2CF9AE}" pid="15" name="doi-bool">
    <vt:lpwstr>True</vt:lpwstr>
  </property>
  <property fmtid="{D5CDD505-2E9C-101B-9397-08002B2CF9AE}" pid="16" name="execute">
    <vt:lpwstr/>
  </property>
  <property fmtid="{D5CDD505-2E9C-101B-9397-08002B2CF9AE}" pid="17" name="footer">
    <vt:lpwstr>none</vt:lpwstr>
  </property>
  <property fmtid="{D5CDD505-2E9C-101B-9397-08002B2CF9AE}" pid="18" name="for-writing">
    <vt:lpwstr>reports of randomised trials</vt:lpwstr>
  </property>
  <property fmtid="{D5CDD505-2E9C-101B-9397-08002B2CF9AE}" pid="19" name="google-scholar">
    <vt:lpwstr>True</vt:lpwstr>
  </property>
  <property fmtid="{D5CDD505-2E9C-101B-9397-08002B2CF9AE}" pid="20" name="header-includes">
    <vt:lpwstr/>
  </property>
  <property fmtid="{D5CDD505-2E9C-101B-9397-08002B2CF9AE}" pid="21" name="id">
    <vt:lpwstr>consort</vt:lpwstr>
  </property>
  <property fmtid="{D5CDD505-2E9C-101B-9397-08002B2CF9AE}" pid="22" name="include-after">
    <vt:lpwstr/>
  </property>
  <property fmtid="{D5CDD505-2E9C-101B-9397-08002B2CF9AE}" pid="23" name="include-before">
    <vt:lpwstr/>
  </property>
  <property fmtid="{D5CDD505-2E9C-101B-9397-08002B2CF9AE}" pid="24" name="items">
    <vt:lpwstr/>
  </property>
  <property fmtid="{D5CDD505-2E9C-101B-9397-08002B2CF9AE}" pid="25" name="journal-endorsement-count">
    <vt:lpwstr>600+</vt:lpwstr>
  </property>
  <property fmtid="{D5CDD505-2E9C-101B-9397-08002B2CF9AE}" pid="26" name="journal-endorsement-count-bool">
    <vt:lpwstr>True</vt:lpwstr>
  </property>
  <property fmtid="{D5CDD505-2E9C-101B-9397-08002B2CF9AE}" pid="27" name="labels">
    <vt:lpwstr/>
  </property>
  <property fmtid="{D5CDD505-2E9C-101B-9397-08002B2CF9AE}" pid="28" name="license">
    <vt:lpwstr/>
  </property>
  <property fmtid="{D5CDD505-2E9C-101B-9397-08002B2CF9AE}" pid="29" name="paths">
    <vt:lpwstr/>
  </property>
  <property fmtid="{D5CDD505-2E9C-101B-9397-08002B2CF9AE}" pid="30" name="search">
    <vt:lpwstr>False</vt:lpwstr>
  </property>
  <property fmtid="{D5CDD505-2E9C-101B-9397-08002B2CF9AE}" pid="31" name="smooth-scroll">
    <vt:lpwstr>True</vt:lpwstr>
  </property>
  <property fmtid="{D5CDD505-2E9C-101B-9397-08002B2CF9AE}" pid="32" name="subtitle">
    <vt:lpwstr>For checking that reports of randomised trials can be understood and used by everyone</vt:lpwstr>
  </property>
  <property fmtid="{D5CDD505-2E9C-101B-9397-08002B2CF9AE}" pid="33" name="toc-title">
    <vt:lpwstr>Table of contents</vt:lpwstr>
  </property>
  <property fmtid="{D5CDD505-2E9C-101B-9397-08002B2CF9AE}" pid="34" name="translations">
    <vt:lpwstr/>
  </property>
  <property fmtid="{D5CDD505-2E9C-101B-9397-08002B2CF9AE}" pid="35" name="translations-bool">
    <vt:lpwstr>False</vt:lpwstr>
  </property>
  <property fmtid="{D5CDD505-2E9C-101B-9397-08002B2CF9AE}" pid="36" name="utm_campaign">
    <vt:lpwstr>CONSORT_2025_v1.1</vt:lpwstr>
  </property>
  <property fmtid="{D5CDD505-2E9C-101B-9397-08002B2CF9AE}" pid="37" name="version">
    <vt:lpwstr>CONSORT 2025 v1.1</vt:lpwstr>
  </property>
  <property fmtid="{D5CDD505-2E9C-101B-9397-08002B2CF9AE}" pid="38" name="MSIP_Label_e60328b2-cbbd-405e-b01b-32c4759a0ed0_Enabled">
    <vt:lpwstr>true</vt:lpwstr>
  </property>
  <property fmtid="{D5CDD505-2E9C-101B-9397-08002B2CF9AE}" pid="39" name="MSIP_Label_e60328b2-cbbd-405e-b01b-32c4759a0ed0_SetDate">
    <vt:lpwstr>2026-09-15T15:08:32Z</vt:lpwstr>
  </property>
  <property fmtid="{D5CDD505-2E9C-101B-9397-08002B2CF9AE}" pid="40" name="MSIP_Label_e60328b2-cbbd-405e-b01b-32c4759a0ed0_Method">
    <vt:lpwstr>Standard</vt:lpwstr>
  </property>
  <property fmtid="{D5CDD505-2E9C-101B-9397-08002B2CF9AE}" pid="41" name="MSIP_Label_e60328b2-cbbd-405e-b01b-32c4759a0ed0_Name">
    <vt:lpwstr>Public Label</vt:lpwstr>
  </property>
  <property fmtid="{D5CDD505-2E9C-101B-9397-08002B2CF9AE}" pid="42" name="MSIP_Label_e60328b2-cbbd-405e-b01b-32c4759a0ed0_SiteId">
    <vt:lpwstr>22c84608-f01d-46c5-8024-63cc962e5f51</vt:lpwstr>
  </property>
  <property fmtid="{D5CDD505-2E9C-101B-9397-08002B2CF9AE}" pid="43" name="MSIP_Label_e60328b2-cbbd-405e-b01b-32c4759a0ed0_ActionId">
    <vt:lpwstr>89784a08-7b96-4701-b233-8d5c880d440b</vt:lpwstr>
  </property>
  <property fmtid="{D5CDD505-2E9C-101B-9397-08002B2CF9AE}" pid="44" name="MSIP_Label_e60328b2-cbbd-405e-b01b-32c4759a0ed0_ContentBits">
    <vt:lpwstr>0</vt:lpwstr>
  </property>
  <property fmtid="{D5CDD505-2E9C-101B-9397-08002B2CF9AE}" pid="45" name="MSIP_Label_e60328b2-cbbd-405e-b01b-32c4759a0ed0_Tag">
    <vt:lpwstr>50, 3, 0, 1</vt:lpwstr>
  </property>
</Properties>
</file>