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47111A" w14:textId="1AE51943" w:rsidR="002E28E3" w:rsidRDefault="00000000">
      <w:pPr>
        <w:spacing w:after="80"/>
        <w:rPr>
          <w:rFonts w:ascii="Arial" w:hAnsi="Arial" w:cs="Arial"/>
          <w:b/>
          <w:sz w:val="24"/>
          <w:szCs w:val="24"/>
        </w:rPr>
      </w:pPr>
      <w:r w:rsidRPr="00FF72A0">
        <w:rPr>
          <w:rFonts w:ascii="Arial" w:hAnsi="Arial" w:cs="Arial"/>
          <w:b/>
          <w:sz w:val="24"/>
          <w:szCs w:val="24"/>
        </w:rPr>
        <w:t>Additional file</w:t>
      </w:r>
      <w:r w:rsidR="00C20BA9" w:rsidRPr="00FF72A0">
        <w:rPr>
          <w:rFonts w:ascii="Arial" w:hAnsi="Arial" w:cs="Arial"/>
          <w:b/>
          <w:sz w:val="24"/>
          <w:szCs w:val="24"/>
        </w:rPr>
        <w:t xml:space="preserve"> 8</w:t>
      </w:r>
      <w:r w:rsidRPr="00FF72A0">
        <w:rPr>
          <w:rFonts w:ascii="Arial" w:hAnsi="Arial" w:cs="Arial"/>
          <w:b/>
          <w:sz w:val="24"/>
          <w:szCs w:val="24"/>
        </w:rPr>
        <w:t xml:space="preserve">: </w:t>
      </w:r>
      <w:r w:rsidR="00DF3C52">
        <w:rPr>
          <w:rFonts w:ascii="Arial" w:hAnsi="Arial" w:cs="Arial"/>
          <w:b/>
          <w:sz w:val="24"/>
          <w:szCs w:val="24"/>
        </w:rPr>
        <w:t>R</w:t>
      </w:r>
      <w:r w:rsidRPr="00FF72A0">
        <w:rPr>
          <w:rFonts w:ascii="Arial" w:hAnsi="Arial" w:cs="Arial"/>
          <w:b/>
          <w:sz w:val="24"/>
          <w:szCs w:val="24"/>
        </w:rPr>
        <w:t>eporting of the simulation-based intervention</w:t>
      </w:r>
    </w:p>
    <w:p w14:paraId="675D3B4A" w14:textId="77777777" w:rsidR="00FF72A0" w:rsidRPr="00FF72A0" w:rsidRDefault="00FF72A0">
      <w:pPr>
        <w:spacing w:after="80"/>
        <w:rPr>
          <w:rFonts w:ascii="Arial" w:hAnsi="Arial" w:cs="Arial"/>
          <w:b/>
          <w:sz w:val="24"/>
          <w:szCs w:val="24"/>
        </w:rPr>
      </w:pPr>
    </w:p>
    <w:p w14:paraId="7A67B92E" w14:textId="77777777" w:rsidR="002E28E3" w:rsidRPr="00C20BA9" w:rsidRDefault="00000000">
      <w:pPr>
        <w:spacing w:after="80"/>
        <w:rPr>
          <w:rFonts w:ascii="Arial" w:hAnsi="Arial" w:cs="Arial"/>
          <w:sz w:val="24"/>
          <w:szCs w:val="24"/>
        </w:rPr>
      </w:pPr>
      <w:r w:rsidRPr="00C20BA9">
        <w:rPr>
          <w:rFonts w:ascii="Arial" w:hAnsi="Arial" w:cs="Arial"/>
          <w:i/>
          <w:sz w:val="24"/>
          <w:szCs w:val="24"/>
        </w:rPr>
        <w:t>Evaluating the impact of in situ simulation on interprofessional healthcare team training: a randomised controlled trial. ClinicalTrials.gov NCT07346937.</w:t>
      </w:r>
    </w:p>
    <w:p w14:paraId="78381663" w14:textId="77777777" w:rsidR="002E28E3" w:rsidRPr="00C20BA9" w:rsidRDefault="00000000">
      <w:pPr>
        <w:spacing w:after="80"/>
        <w:rPr>
          <w:rFonts w:ascii="Arial" w:hAnsi="Arial" w:cs="Arial"/>
          <w:sz w:val="24"/>
          <w:szCs w:val="24"/>
        </w:rPr>
      </w:pPr>
      <w:r w:rsidRPr="00C20BA9">
        <w:rPr>
          <w:rFonts w:ascii="Arial" w:hAnsi="Arial" w:cs="Arial"/>
          <w:sz w:val="24"/>
          <w:szCs w:val="24"/>
        </w:rPr>
        <w:t>Reported according to Table 3 of Cheng A, Kessler D, Mackinnon R, Chang TP, Nadkarni VM, Hunt EA, et al. Reporting guidelines for health care simulation research: extensions to the CONSORT and STROBE statements. Adv Simul (Lond). 2016;1:25.</w:t>
      </w:r>
    </w:p>
    <w:p w14:paraId="1ABFDDC3" w14:textId="77777777" w:rsidR="002E28E3" w:rsidRPr="00C20BA9" w:rsidRDefault="00000000">
      <w:pPr>
        <w:spacing w:before="200" w:after="80"/>
        <w:rPr>
          <w:rFonts w:ascii="Arial" w:hAnsi="Arial" w:cs="Arial"/>
          <w:sz w:val="24"/>
          <w:szCs w:val="24"/>
        </w:rPr>
      </w:pPr>
      <w:r w:rsidRPr="00C20BA9">
        <w:rPr>
          <w:rFonts w:ascii="Arial" w:hAnsi="Arial" w:cs="Arial"/>
          <w:b/>
          <w:sz w:val="24"/>
          <w:szCs w:val="24"/>
        </w:rPr>
        <w:t>Table 3. Key elements to report for simulation-based research</w:t>
      </w:r>
    </w:p>
    <w:tbl>
      <w:tblPr>
        <w:tblStyle w:val="TabelacomGrelha"/>
        <w:tblW w:w="0" w:type="auto"/>
        <w:jc w:val="center"/>
        <w:tblLayout w:type="fixed"/>
        <w:tblLook w:val="04A0" w:firstRow="1" w:lastRow="0" w:firstColumn="1" w:lastColumn="0" w:noHBand="0" w:noVBand="1"/>
      </w:tblPr>
      <w:tblGrid>
        <w:gridCol w:w="1814"/>
        <w:gridCol w:w="2041"/>
        <w:gridCol w:w="5783"/>
      </w:tblGrid>
      <w:tr w:rsidR="002E28E3" w:rsidRPr="00C20BA9" w14:paraId="1BE5D23D" w14:textId="77777777">
        <w:trPr>
          <w:jc w:val="center"/>
        </w:trPr>
        <w:tc>
          <w:tcPr>
            <w:tcW w:w="1814" w:type="dxa"/>
          </w:tcPr>
          <w:p w14:paraId="4DAB36D0" w14:textId="77777777" w:rsidR="002E28E3" w:rsidRPr="00C20BA9" w:rsidRDefault="00000000">
            <w:pPr>
              <w:rPr>
                <w:rFonts w:ascii="Arial" w:hAnsi="Arial" w:cs="Arial"/>
                <w:sz w:val="24"/>
                <w:szCs w:val="24"/>
              </w:rPr>
            </w:pPr>
            <w:r w:rsidRPr="00C20BA9">
              <w:rPr>
                <w:rFonts w:ascii="Arial" w:hAnsi="Arial" w:cs="Arial"/>
                <w:b/>
                <w:sz w:val="24"/>
                <w:szCs w:val="24"/>
              </w:rPr>
              <w:t>Element</w:t>
            </w:r>
          </w:p>
        </w:tc>
        <w:tc>
          <w:tcPr>
            <w:tcW w:w="2041" w:type="dxa"/>
          </w:tcPr>
          <w:p w14:paraId="3C62B383" w14:textId="77777777" w:rsidR="002E28E3" w:rsidRPr="00C20BA9" w:rsidRDefault="00000000">
            <w:pPr>
              <w:rPr>
                <w:rFonts w:ascii="Arial" w:hAnsi="Arial" w:cs="Arial"/>
                <w:sz w:val="24"/>
                <w:szCs w:val="24"/>
              </w:rPr>
            </w:pPr>
            <w:r w:rsidRPr="00C20BA9">
              <w:rPr>
                <w:rFonts w:ascii="Arial" w:hAnsi="Arial" w:cs="Arial"/>
                <w:b/>
                <w:sz w:val="24"/>
                <w:szCs w:val="24"/>
              </w:rPr>
              <w:t>Subelement</w:t>
            </w:r>
          </w:p>
        </w:tc>
        <w:tc>
          <w:tcPr>
            <w:tcW w:w="5783" w:type="dxa"/>
          </w:tcPr>
          <w:p w14:paraId="318D7C49" w14:textId="77777777" w:rsidR="002E28E3" w:rsidRPr="00C20BA9" w:rsidRDefault="00000000">
            <w:pPr>
              <w:rPr>
                <w:rFonts w:ascii="Arial" w:hAnsi="Arial" w:cs="Arial"/>
                <w:sz w:val="24"/>
                <w:szCs w:val="24"/>
              </w:rPr>
            </w:pPr>
            <w:r w:rsidRPr="00C20BA9">
              <w:rPr>
                <w:rFonts w:ascii="Arial" w:hAnsi="Arial" w:cs="Arial"/>
                <w:b/>
                <w:sz w:val="24"/>
                <w:szCs w:val="24"/>
              </w:rPr>
              <w:t>Reporting in this trial</w:t>
            </w:r>
          </w:p>
        </w:tc>
      </w:tr>
      <w:tr w:rsidR="002E28E3" w:rsidRPr="00C20BA9" w14:paraId="0D290E97" w14:textId="77777777">
        <w:trPr>
          <w:jc w:val="center"/>
        </w:trPr>
        <w:tc>
          <w:tcPr>
            <w:tcW w:w="1814" w:type="dxa"/>
          </w:tcPr>
          <w:p w14:paraId="5ABF4035" w14:textId="77777777" w:rsidR="002E28E3" w:rsidRPr="00C20BA9" w:rsidRDefault="00000000">
            <w:pPr>
              <w:rPr>
                <w:rFonts w:ascii="Arial" w:hAnsi="Arial" w:cs="Arial"/>
                <w:sz w:val="24"/>
                <w:szCs w:val="24"/>
              </w:rPr>
            </w:pPr>
            <w:r w:rsidRPr="00C20BA9">
              <w:rPr>
                <w:rFonts w:ascii="Arial" w:hAnsi="Arial" w:cs="Arial"/>
                <w:b/>
                <w:sz w:val="24"/>
                <w:szCs w:val="24"/>
              </w:rPr>
              <w:t>Participant orientation</w:t>
            </w:r>
          </w:p>
        </w:tc>
        <w:tc>
          <w:tcPr>
            <w:tcW w:w="2041" w:type="dxa"/>
          </w:tcPr>
          <w:p w14:paraId="760F071E" w14:textId="77777777" w:rsidR="002E28E3" w:rsidRPr="00C20BA9" w:rsidRDefault="00000000">
            <w:pPr>
              <w:rPr>
                <w:rFonts w:ascii="Arial" w:hAnsi="Arial" w:cs="Arial"/>
                <w:sz w:val="24"/>
                <w:szCs w:val="24"/>
              </w:rPr>
            </w:pPr>
            <w:r w:rsidRPr="00C20BA9">
              <w:rPr>
                <w:rFonts w:ascii="Arial" w:hAnsi="Arial" w:cs="Arial"/>
                <w:sz w:val="24"/>
                <w:szCs w:val="24"/>
              </w:rPr>
              <w:t>Orientation to the simulator</w:t>
            </w:r>
          </w:p>
        </w:tc>
        <w:tc>
          <w:tcPr>
            <w:tcW w:w="5783" w:type="dxa"/>
          </w:tcPr>
          <w:p w14:paraId="3991103F" w14:textId="77777777" w:rsidR="002E28E3" w:rsidRPr="00C20BA9" w:rsidRDefault="00000000">
            <w:pPr>
              <w:rPr>
                <w:rFonts w:ascii="Arial" w:hAnsi="Arial" w:cs="Arial"/>
                <w:sz w:val="24"/>
                <w:szCs w:val="24"/>
              </w:rPr>
            </w:pPr>
            <w:r w:rsidRPr="00C20BA9">
              <w:rPr>
                <w:rFonts w:ascii="Arial" w:hAnsi="Arial" w:cs="Arial"/>
                <w:sz w:val="24"/>
                <w:szCs w:val="24"/>
              </w:rPr>
              <w:t>Delivered in the environment briefing phase, with identical content in both settings. Participants were told what the manikin can do (monitoring of NIBP, ECG, heart rate, SpO2, respiratory rate and capnography; airway and ventilation manoeuvres; advanced life support; the airway requires lubrication before a laryngeal mask or tracheal tube) and what it cannot do (it does not seize, it may resist adequate ventilation, it does not speak, no fluids are to be infused into it and no invasive procedures are to be performed on it, only the pre-established lines being used). Participants were told that the patient's symptoms and answers would be given by the voice of the simulation technician and that vital signs would appear on the SimStart monitor.</w:t>
            </w:r>
          </w:p>
        </w:tc>
      </w:tr>
      <w:tr w:rsidR="002E28E3" w:rsidRPr="00C20BA9" w14:paraId="5B1E8CA4" w14:textId="77777777">
        <w:trPr>
          <w:jc w:val="center"/>
        </w:trPr>
        <w:tc>
          <w:tcPr>
            <w:tcW w:w="1814" w:type="dxa"/>
          </w:tcPr>
          <w:p w14:paraId="7B217831" w14:textId="77777777" w:rsidR="002E28E3" w:rsidRPr="00C20BA9" w:rsidRDefault="002E28E3">
            <w:pPr>
              <w:rPr>
                <w:rFonts w:ascii="Arial" w:hAnsi="Arial" w:cs="Arial"/>
                <w:sz w:val="24"/>
                <w:szCs w:val="24"/>
              </w:rPr>
            </w:pPr>
          </w:p>
        </w:tc>
        <w:tc>
          <w:tcPr>
            <w:tcW w:w="2041" w:type="dxa"/>
          </w:tcPr>
          <w:p w14:paraId="4E0CD8A0" w14:textId="77777777" w:rsidR="002E28E3" w:rsidRPr="00C20BA9" w:rsidRDefault="00000000">
            <w:pPr>
              <w:rPr>
                <w:rFonts w:ascii="Arial" w:hAnsi="Arial" w:cs="Arial"/>
                <w:sz w:val="24"/>
                <w:szCs w:val="24"/>
              </w:rPr>
            </w:pPr>
            <w:r w:rsidRPr="00C20BA9">
              <w:rPr>
                <w:rFonts w:ascii="Arial" w:hAnsi="Arial" w:cs="Arial"/>
                <w:sz w:val="24"/>
                <w:szCs w:val="24"/>
              </w:rPr>
              <w:t>Orientation to the environment</w:t>
            </w:r>
          </w:p>
        </w:tc>
        <w:tc>
          <w:tcPr>
            <w:tcW w:w="5783" w:type="dxa"/>
          </w:tcPr>
          <w:p w14:paraId="5DDF5075" w14:textId="77777777" w:rsidR="002E28E3" w:rsidRPr="00C20BA9" w:rsidRDefault="00000000">
            <w:pPr>
              <w:rPr>
                <w:rFonts w:ascii="Arial" w:hAnsi="Arial" w:cs="Arial"/>
                <w:sz w:val="24"/>
                <w:szCs w:val="24"/>
              </w:rPr>
            </w:pPr>
            <w:r w:rsidRPr="00C20BA9">
              <w:rPr>
                <w:rFonts w:ascii="Arial" w:hAnsi="Arial" w:cs="Arial"/>
                <w:sz w:val="24"/>
                <w:szCs w:val="24"/>
              </w:rPr>
              <w:t>Room briefing covering the location and function of the material: the anaesthesia trolley with real equipment and drugs, the kits for arterial catheterisation and central venous access, the material in the support room, the location of the LAST kit and of the 20% lipid emulsion, the defibrillator and its accessories, the blood gas analyser, the manual blood sampling procedure, and the disposal of material and drugs. The LAST protocol, the advanced life support algorithm and the list of emergency contacts were available in the room in both settings. In the simulation centre the room had been configured in advance to reproduce the layout and the functionality of the participants' own service (Figure 1 of the manuscript).</w:t>
            </w:r>
          </w:p>
        </w:tc>
      </w:tr>
      <w:tr w:rsidR="002E28E3" w:rsidRPr="00C20BA9" w14:paraId="11B85B10" w14:textId="77777777">
        <w:trPr>
          <w:jc w:val="center"/>
        </w:trPr>
        <w:tc>
          <w:tcPr>
            <w:tcW w:w="1814" w:type="dxa"/>
          </w:tcPr>
          <w:p w14:paraId="3E065E3F" w14:textId="77777777" w:rsidR="002E28E3" w:rsidRPr="00C20BA9" w:rsidRDefault="00000000">
            <w:pPr>
              <w:rPr>
                <w:rFonts w:ascii="Arial" w:hAnsi="Arial" w:cs="Arial"/>
                <w:sz w:val="24"/>
                <w:szCs w:val="24"/>
              </w:rPr>
            </w:pPr>
            <w:r w:rsidRPr="00C20BA9">
              <w:rPr>
                <w:rFonts w:ascii="Arial" w:hAnsi="Arial" w:cs="Arial"/>
                <w:b/>
                <w:sz w:val="24"/>
                <w:szCs w:val="24"/>
              </w:rPr>
              <w:t>Simulator type</w:t>
            </w:r>
          </w:p>
        </w:tc>
        <w:tc>
          <w:tcPr>
            <w:tcW w:w="2041" w:type="dxa"/>
          </w:tcPr>
          <w:p w14:paraId="155A7B98" w14:textId="77777777" w:rsidR="002E28E3" w:rsidRPr="00C20BA9" w:rsidRDefault="00000000">
            <w:pPr>
              <w:rPr>
                <w:rFonts w:ascii="Arial" w:hAnsi="Arial" w:cs="Arial"/>
                <w:sz w:val="24"/>
                <w:szCs w:val="24"/>
              </w:rPr>
            </w:pPr>
            <w:r w:rsidRPr="00C20BA9">
              <w:rPr>
                <w:rFonts w:ascii="Arial" w:hAnsi="Arial" w:cs="Arial"/>
                <w:sz w:val="24"/>
                <w:szCs w:val="24"/>
              </w:rPr>
              <w:t>Simulator make and model</w:t>
            </w:r>
          </w:p>
        </w:tc>
        <w:tc>
          <w:tcPr>
            <w:tcW w:w="5783" w:type="dxa"/>
          </w:tcPr>
          <w:p w14:paraId="4B442E7D" w14:textId="77777777" w:rsidR="002E28E3" w:rsidRPr="00C20BA9" w:rsidRDefault="00000000">
            <w:pPr>
              <w:rPr>
                <w:rFonts w:ascii="Arial" w:hAnsi="Arial" w:cs="Arial"/>
                <w:sz w:val="24"/>
                <w:szCs w:val="24"/>
              </w:rPr>
            </w:pPr>
            <w:r w:rsidRPr="00C20BA9">
              <w:rPr>
                <w:rFonts w:ascii="Arial" w:hAnsi="Arial" w:cs="Arial"/>
                <w:sz w:val="24"/>
                <w:szCs w:val="24"/>
              </w:rPr>
              <w:t xml:space="preserve">Medium-fidelity full-body manikin (Resusci Anne Simulator, Laerdal Medical, Stavanger, Norway), controlled with SimPad PLUS and a SimStart </w:t>
            </w:r>
            <w:r w:rsidRPr="00C20BA9">
              <w:rPr>
                <w:rFonts w:ascii="Arial" w:hAnsi="Arial" w:cs="Arial"/>
                <w:sz w:val="24"/>
                <w:szCs w:val="24"/>
              </w:rPr>
              <w:lastRenderedPageBreak/>
              <w:t>multiparameter monitor. The same manikin, control system and monitor were used in both settings.</w:t>
            </w:r>
          </w:p>
        </w:tc>
      </w:tr>
      <w:tr w:rsidR="002E28E3" w:rsidRPr="00C20BA9" w14:paraId="3CA200CE" w14:textId="77777777">
        <w:trPr>
          <w:jc w:val="center"/>
        </w:trPr>
        <w:tc>
          <w:tcPr>
            <w:tcW w:w="1814" w:type="dxa"/>
          </w:tcPr>
          <w:p w14:paraId="688A2CA2" w14:textId="77777777" w:rsidR="002E28E3" w:rsidRPr="00C20BA9" w:rsidRDefault="002E28E3">
            <w:pPr>
              <w:rPr>
                <w:rFonts w:ascii="Arial" w:hAnsi="Arial" w:cs="Arial"/>
                <w:sz w:val="24"/>
                <w:szCs w:val="24"/>
              </w:rPr>
            </w:pPr>
          </w:p>
        </w:tc>
        <w:tc>
          <w:tcPr>
            <w:tcW w:w="2041" w:type="dxa"/>
          </w:tcPr>
          <w:p w14:paraId="17DF290E" w14:textId="77777777" w:rsidR="002E28E3" w:rsidRPr="00C20BA9" w:rsidRDefault="00000000">
            <w:pPr>
              <w:rPr>
                <w:rFonts w:ascii="Arial" w:hAnsi="Arial" w:cs="Arial"/>
                <w:sz w:val="24"/>
                <w:szCs w:val="24"/>
              </w:rPr>
            </w:pPr>
            <w:r w:rsidRPr="00C20BA9">
              <w:rPr>
                <w:rFonts w:ascii="Arial" w:hAnsi="Arial" w:cs="Arial"/>
                <w:sz w:val="24"/>
                <w:szCs w:val="24"/>
              </w:rPr>
              <w:t>Simulator functionality</w:t>
            </w:r>
          </w:p>
        </w:tc>
        <w:tc>
          <w:tcPr>
            <w:tcW w:w="5783" w:type="dxa"/>
          </w:tcPr>
          <w:p w14:paraId="6736CEA2" w14:textId="77777777" w:rsidR="002E28E3" w:rsidRPr="00C20BA9" w:rsidRDefault="00000000">
            <w:pPr>
              <w:rPr>
                <w:rFonts w:ascii="Arial" w:hAnsi="Arial" w:cs="Arial"/>
                <w:sz w:val="24"/>
                <w:szCs w:val="24"/>
              </w:rPr>
            </w:pPr>
            <w:r w:rsidRPr="00C20BA9">
              <w:rPr>
                <w:rFonts w:ascii="Arial" w:hAnsi="Arial" w:cs="Arial"/>
                <w:sz w:val="24"/>
                <w:szCs w:val="24"/>
              </w:rPr>
              <w:t>Operator control of the vital signs displayed on the monitor (NIBP, ECG, heart rate, SpO2, respiratory rate, capnography), airway and ventilation manoeuvres and advanced life support, including defibrillation. No modifications were made to the manikin. Limitations relevant to the research question: the manikin does not reproduce seizure activity and does not speak. The neurological prodrome of local anaesthetic systemic toxicity (perioral numbness, metallic taste, tinnitus, dizziness, agitation and confusion) was therefore conveyed by scripted speech lines delivered by the simulation technician, and the scripted escalation moved from the neurological to the cardiovascular phase because seizure could not be represented. Skin colour, sensation, temperature and capillary glucose were given on request by the same voice. Arterial blood gas results were released only after the sampling had been simulated. Fluids were not infused into the manikin and no invasive procedure was performed on it. The method was identical in both settings.</w:t>
            </w:r>
          </w:p>
        </w:tc>
      </w:tr>
      <w:tr w:rsidR="002E28E3" w:rsidRPr="00C20BA9" w14:paraId="10417F05" w14:textId="77777777">
        <w:trPr>
          <w:jc w:val="center"/>
        </w:trPr>
        <w:tc>
          <w:tcPr>
            <w:tcW w:w="1814" w:type="dxa"/>
          </w:tcPr>
          <w:p w14:paraId="2E05C484" w14:textId="77777777" w:rsidR="002E28E3" w:rsidRPr="00C20BA9" w:rsidRDefault="00000000">
            <w:pPr>
              <w:rPr>
                <w:rFonts w:ascii="Arial" w:hAnsi="Arial" w:cs="Arial"/>
                <w:sz w:val="24"/>
                <w:szCs w:val="24"/>
              </w:rPr>
            </w:pPr>
            <w:r w:rsidRPr="00C20BA9">
              <w:rPr>
                <w:rFonts w:ascii="Arial" w:hAnsi="Arial" w:cs="Arial"/>
                <w:b/>
                <w:sz w:val="24"/>
                <w:szCs w:val="24"/>
              </w:rPr>
              <w:t>Simulation environment</w:t>
            </w:r>
          </w:p>
        </w:tc>
        <w:tc>
          <w:tcPr>
            <w:tcW w:w="2041" w:type="dxa"/>
          </w:tcPr>
          <w:p w14:paraId="2E50C216" w14:textId="77777777" w:rsidR="002E28E3" w:rsidRPr="00C20BA9" w:rsidRDefault="00000000">
            <w:pPr>
              <w:rPr>
                <w:rFonts w:ascii="Arial" w:hAnsi="Arial" w:cs="Arial"/>
                <w:sz w:val="24"/>
                <w:szCs w:val="24"/>
              </w:rPr>
            </w:pPr>
            <w:r w:rsidRPr="00C20BA9">
              <w:rPr>
                <w:rFonts w:ascii="Arial" w:hAnsi="Arial" w:cs="Arial"/>
                <w:sz w:val="24"/>
                <w:szCs w:val="24"/>
              </w:rPr>
              <w:t>Location</w:t>
            </w:r>
          </w:p>
        </w:tc>
        <w:tc>
          <w:tcPr>
            <w:tcW w:w="5783" w:type="dxa"/>
          </w:tcPr>
          <w:p w14:paraId="6B32A06E" w14:textId="77777777" w:rsidR="002E28E3" w:rsidRPr="00C20BA9" w:rsidRDefault="00000000">
            <w:pPr>
              <w:rPr>
                <w:rFonts w:ascii="Arial" w:hAnsi="Arial" w:cs="Arial"/>
                <w:sz w:val="24"/>
                <w:szCs w:val="24"/>
              </w:rPr>
            </w:pPr>
            <w:r w:rsidRPr="00C20BA9">
              <w:rPr>
                <w:rFonts w:ascii="Arial" w:hAnsi="Arial" w:cs="Arial"/>
                <w:sz w:val="24"/>
                <w:szCs w:val="24"/>
              </w:rPr>
              <w:t>In situ setting: Operating Theatre of Unidade Local de Saúde de Matosinhos, Hospital Pedro Hispano, and Post-Anaesthesia Care Unit of Unidade Local de Saúde de São João. Comparison setting: Simulation Centre of the Faculty of Medicine of the University of Porto, in rooms configured to replicate the two clinical services. The in situ sessions were held during working hours, in a room withdrawn from clinical activity, and no session was interrupted by clinical demand. At the time of the study the ULSM operating theatre was undergoing building work, with only the emergency theatre in use and the electronic record system unavailable, so that all records were made on paper. These circumstances were written into the case and applied identically at every study site, in situ and at the simulation centre.</w:t>
            </w:r>
          </w:p>
        </w:tc>
      </w:tr>
      <w:tr w:rsidR="002E28E3" w:rsidRPr="00C20BA9" w14:paraId="43927073" w14:textId="77777777">
        <w:trPr>
          <w:jc w:val="center"/>
        </w:trPr>
        <w:tc>
          <w:tcPr>
            <w:tcW w:w="1814" w:type="dxa"/>
          </w:tcPr>
          <w:p w14:paraId="3BB29B3D" w14:textId="77777777" w:rsidR="002E28E3" w:rsidRPr="00C20BA9" w:rsidRDefault="002E28E3">
            <w:pPr>
              <w:rPr>
                <w:rFonts w:ascii="Arial" w:hAnsi="Arial" w:cs="Arial"/>
                <w:sz w:val="24"/>
                <w:szCs w:val="24"/>
              </w:rPr>
            </w:pPr>
          </w:p>
        </w:tc>
        <w:tc>
          <w:tcPr>
            <w:tcW w:w="2041" w:type="dxa"/>
          </w:tcPr>
          <w:p w14:paraId="4DFA4462" w14:textId="77777777" w:rsidR="002E28E3" w:rsidRPr="00C20BA9" w:rsidRDefault="00000000">
            <w:pPr>
              <w:rPr>
                <w:rFonts w:ascii="Arial" w:hAnsi="Arial" w:cs="Arial"/>
                <w:sz w:val="24"/>
                <w:szCs w:val="24"/>
              </w:rPr>
            </w:pPr>
            <w:r w:rsidRPr="00C20BA9">
              <w:rPr>
                <w:rFonts w:ascii="Arial" w:hAnsi="Arial" w:cs="Arial"/>
                <w:sz w:val="24"/>
                <w:szCs w:val="24"/>
              </w:rPr>
              <w:t>Equipment</w:t>
            </w:r>
          </w:p>
        </w:tc>
        <w:tc>
          <w:tcPr>
            <w:tcW w:w="5783" w:type="dxa"/>
          </w:tcPr>
          <w:p w14:paraId="151E398C" w14:textId="77777777" w:rsidR="002E28E3" w:rsidRPr="00C20BA9" w:rsidRDefault="00000000">
            <w:pPr>
              <w:rPr>
                <w:rFonts w:ascii="Arial" w:hAnsi="Arial" w:cs="Arial"/>
                <w:sz w:val="24"/>
                <w:szCs w:val="24"/>
              </w:rPr>
            </w:pPr>
            <w:r w:rsidRPr="00C20BA9">
              <w:rPr>
                <w:rFonts w:ascii="Arial" w:hAnsi="Arial" w:cs="Arial"/>
                <w:sz w:val="24"/>
                <w:szCs w:val="24"/>
              </w:rPr>
              <w:t xml:space="preserve">All equipment and drugs required for the response to local anaesthetic systemic toxicity were available and functional in both settings, in the same layout: anaesthesia trolley, multiparameter monitoring, airway material, real and functional infusion pumps, defibrillator with accessories, kits for arterial and </w:t>
            </w:r>
            <w:r w:rsidRPr="00C20BA9">
              <w:rPr>
                <w:rFonts w:ascii="Arial" w:hAnsi="Arial" w:cs="Arial"/>
                <w:sz w:val="24"/>
                <w:szCs w:val="24"/>
              </w:rPr>
              <w:lastRenderedPageBreak/>
              <w:t>central venous access, and the institutional LAST kit. In both settings the defibrillator was kept in the corridor and operated without mains power. The drugs pre-prepared in the scenario were not real; any additional drug requested by the team was the real product available on the anaesthesia trolley, and the 20% lipid emulsion was real, from expired stock. Residual differences between the two settings were confined to equipment with no part in the LAST algorithm, namely the ventilator and the functions of the operating table, neither of which was used during the scenario.</w:t>
            </w:r>
          </w:p>
        </w:tc>
      </w:tr>
      <w:tr w:rsidR="002E28E3" w:rsidRPr="00C20BA9" w14:paraId="5E823B7B" w14:textId="77777777">
        <w:trPr>
          <w:jc w:val="center"/>
        </w:trPr>
        <w:tc>
          <w:tcPr>
            <w:tcW w:w="1814" w:type="dxa"/>
          </w:tcPr>
          <w:p w14:paraId="63F0B548" w14:textId="77777777" w:rsidR="002E28E3" w:rsidRPr="00C20BA9" w:rsidRDefault="002E28E3">
            <w:pPr>
              <w:rPr>
                <w:rFonts w:ascii="Arial" w:hAnsi="Arial" w:cs="Arial"/>
                <w:sz w:val="24"/>
                <w:szCs w:val="24"/>
              </w:rPr>
            </w:pPr>
          </w:p>
        </w:tc>
        <w:tc>
          <w:tcPr>
            <w:tcW w:w="2041" w:type="dxa"/>
          </w:tcPr>
          <w:p w14:paraId="24676C44" w14:textId="77777777" w:rsidR="002E28E3" w:rsidRPr="00C20BA9" w:rsidRDefault="00000000">
            <w:pPr>
              <w:rPr>
                <w:rFonts w:ascii="Arial" w:hAnsi="Arial" w:cs="Arial"/>
                <w:sz w:val="24"/>
                <w:szCs w:val="24"/>
              </w:rPr>
            </w:pPr>
            <w:r w:rsidRPr="00C20BA9">
              <w:rPr>
                <w:rFonts w:ascii="Arial" w:hAnsi="Arial" w:cs="Arial"/>
                <w:sz w:val="24"/>
                <w:szCs w:val="24"/>
              </w:rPr>
              <w:t>External stimuli</w:t>
            </w:r>
          </w:p>
        </w:tc>
        <w:tc>
          <w:tcPr>
            <w:tcW w:w="5783" w:type="dxa"/>
          </w:tcPr>
          <w:p w14:paraId="2EB12FC4" w14:textId="77777777" w:rsidR="002E28E3" w:rsidRPr="00C20BA9" w:rsidRDefault="00000000">
            <w:pPr>
              <w:rPr>
                <w:rFonts w:ascii="Arial" w:hAnsi="Arial" w:cs="Arial"/>
                <w:sz w:val="24"/>
                <w:szCs w:val="24"/>
              </w:rPr>
            </w:pPr>
            <w:r w:rsidRPr="00C20BA9">
              <w:rPr>
                <w:rFonts w:ascii="Arial" w:hAnsi="Arial" w:cs="Arial"/>
                <w:sz w:val="24"/>
                <w:szCs w:val="24"/>
              </w:rPr>
              <w:t xml:space="preserve">In the in situ setting, ambient clinical noise, telephone calls and staff movement were present and were not controlled; in the simulation centre they were absent. This is the one element that the equivalence matrix cannot hold constant, because it is intrinsic to the independent variable under study. No session was interrupted by clinical </w:t>
            </w:r>
            <w:proofErr w:type="gramStart"/>
            <w:r w:rsidRPr="00C20BA9">
              <w:rPr>
                <w:rFonts w:ascii="Arial" w:hAnsi="Arial" w:cs="Arial"/>
                <w:sz w:val="24"/>
                <w:szCs w:val="24"/>
              </w:rPr>
              <w:t>demand</w:t>
            </w:r>
            <w:proofErr w:type="gramEnd"/>
            <w:r w:rsidRPr="00C20BA9">
              <w:rPr>
                <w:rFonts w:ascii="Arial" w:hAnsi="Arial" w:cs="Arial"/>
                <w:sz w:val="24"/>
                <w:szCs w:val="24"/>
              </w:rPr>
              <w:t xml:space="preserve"> and none was suspended.</w:t>
            </w:r>
          </w:p>
        </w:tc>
      </w:tr>
      <w:tr w:rsidR="002E28E3" w:rsidRPr="00C20BA9" w14:paraId="0B52E435" w14:textId="77777777">
        <w:trPr>
          <w:jc w:val="center"/>
        </w:trPr>
        <w:tc>
          <w:tcPr>
            <w:tcW w:w="1814" w:type="dxa"/>
          </w:tcPr>
          <w:p w14:paraId="4530D040" w14:textId="77777777" w:rsidR="002E28E3" w:rsidRPr="00C20BA9" w:rsidRDefault="00000000">
            <w:pPr>
              <w:rPr>
                <w:rFonts w:ascii="Arial" w:hAnsi="Arial" w:cs="Arial"/>
                <w:sz w:val="24"/>
                <w:szCs w:val="24"/>
              </w:rPr>
            </w:pPr>
            <w:r w:rsidRPr="00C20BA9">
              <w:rPr>
                <w:rFonts w:ascii="Arial" w:hAnsi="Arial" w:cs="Arial"/>
                <w:b/>
                <w:sz w:val="24"/>
                <w:szCs w:val="24"/>
              </w:rPr>
              <w:t>Simulation event / scenario</w:t>
            </w:r>
          </w:p>
        </w:tc>
        <w:tc>
          <w:tcPr>
            <w:tcW w:w="2041" w:type="dxa"/>
          </w:tcPr>
          <w:p w14:paraId="7CB1F6AC" w14:textId="77777777" w:rsidR="002E28E3" w:rsidRPr="00C20BA9" w:rsidRDefault="00000000">
            <w:pPr>
              <w:rPr>
                <w:rFonts w:ascii="Arial" w:hAnsi="Arial" w:cs="Arial"/>
                <w:sz w:val="24"/>
                <w:szCs w:val="24"/>
              </w:rPr>
            </w:pPr>
            <w:r w:rsidRPr="00C20BA9">
              <w:rPr>
                <w:rFonts w:ascii="Arial" w:hAnsi="Arial" w:cs="Arial"/>
                <w:sz w:val="24"/>
                <w:szCs w:val="24"/>
              </w:rPr>
              <w:t>Event description</w:t>
            </w:r>
          </w:p>
        </w:tc>
        <w:tc>
          <w:tcPr>
            <w:tcW w:w="5783" w:type="dxa"/>
          </w:tcPr>
          <w:p w14:paraId="52511301" w14:textId="77777777" w:rsidR="002E28E3" w:rsidRPr="00C20BA9" w:rsidRDefault="00000000">
            <w:pPr>
              <w:rPr>
                <w:rFonts w:ascii="Arial" w:hAnsi="Arial" w:cs="Arial"/>
                <w:sz w:val="24"/>
                <w:szCs w:val="24"/>
              </w:rPr>
            </w:pPr>
            <w:r w:rsidRPr="00C20BA9">
              <w:rPr>
                <w:rFonts w:ascii="Arial" w:hAnsi="Arial" w:cs="Arial"/>
                <w:sz w:val="24"/>
                <w:szCs w:val="24"/>
              </w:rPr>
              <w:t>Single scripted scenario of local anaesthetic systemic toxicity in a 79-year-old man undergoing ankle fracture fixation after popliteal sciatic and adductor canal blocks with ropivacaine 0.5% and spinal anaesthesia. The script was built from the institutional procedure of ULSM (no. 3402) and the 2020 ASRA LAST checklist, following the INACSL standard on simulation design, with programmed vital signs, physical signs, scripted speech lines and blood gas results for each state. Progression was contingent on the actions of the team, with time-based fallbacks: baseline for 2 minutes; neurological phase from minutes 2 to 7; without recognition or action, cardiovascular toxicity from minute 7; if the lipid emulsion bolus was given, precarious stabilisation, and if it was not, cardiac arrest in ventricular fibrillation; after advanced life support with a single shock, an advanced airway and maintenance of the lipid infusion, return of spontaneous circulation and a final stabilisation phase; if the arrest persisted, the case closed at minute 20. Duration 20 minutes, identical script in both settings. The full script is provided in Additional File 1.</w:t>
            </w:r>
          </w:p>
        </w:tc>
      </w:tr>
      <w:tr w:rsidR="002E28E3" w:rsidRPr="00C20BA9" w14:paraId="11675565" w14:textId="77777777">
        <w:trPr>
          <w:jc w:val="center"/>
        </w:trPr>
        <w:tc>
          <w:tcPr>
            <w:tcW w:w="1814" w:type="dxa"/>
          </w:tcPr>
          <w:p w14:paraId="06098CBD" w14:textId="77777777" w:rsidR="002E28E3" w:rsidRPr="00C20BA9" w:rsidRDefault="002E28E3">
            <w:pPr>
              <w:rPr>
                <w:rFonts w:ascii="Arial" w:hAnsi="Arial" w:cs="Arial"/>
                <w:sz w:val="24"/>
                <w:szCs w:val="24"/>
              </w:rPr>
            </w:pPr>
          </w:p>
        </w:tc>
        <w:tc>
          <w:tcPr>
            <w:tcW w:w="2041" w:type="dxa"/>
          </w:tcPr>
          <w:p w14:paraId="3768ED14" w14:textId="77777777" w:rsidR="002E28E3" w:rsidRPr="00C20BA9" w:rsidRDefault="00000000">
            <w:pPr>
              <w:rPr>
                <w:rFonts w:ascii="Arial" w:hAnsi="Arial" w:cs="Arial"/>
                <w:sz w:val="24"/>
                <w:szCs w:val="24"/>
              </w:rPr>
            </w:pPr>
            <w:r w:rsidRPr="00C20BA9">
              <w:rPr>
                <w:rFonts w:ascii="Arial" w:hAnsi="Arial" w:cs="Arial"/>
                <w:sz w:val="24"/>
                <w:szCs w:val="24"/>
              </w:rPr>
              <w:t>Learning objectives</w:t>
            </w:r>
          </w:p>
        </w:tc>
        <w:tc>
          <w:tcPr>
            <w:tcW w:w="5783" w:type="dxa"/>
          </w:tcPr>
          <w:p w14:paraId="4F5BD781" w14:textId="77777777" w:rsidR="002E28E3" w:rsidRPr="00C20BA9" w:rsidRDefault="00000000">
            <w:pPr>
              <w:rPr>
                <w:rFonts w:ascii="Arial" w:hAnsi="Arial" w:cs="Arial"/>
                <w:sz w:val="24"/>
                <w:szCs w:val="24"/>
              </w:rPr>
            </w:pPr>
            <w:r w:rsidRPr="00C20BA9">
              <w:rPr>
                <w:rFonts w:ascii="Arial" w:hAnsi="Arial" w:cs="Arial"/>
                <w:sz w:val="24"/>
                <w:szCs w:val="24"/>
              </w:rPr>
              <w:t xml:space="preserve">Technical: early identification of the neurological and cardiovascular features; structured call for help; </w:t>
            </w:r>
            <w:r w:rsidRPr="00C20BA9">
              <w:rPr>
                <w:rFonts w:ascii="Arial" w:hAnsi="Arial" w:cs="Arial"/>
                <w:sz w:val="24"/>
                <w:szCs w:val="24"/>
              </w:rPr>
              <w:lastRenderedPageBreak/>
              <w:t>priority administration of 20% lipid emulsion; avoidance of contraindicated agents; advanced airway management, invasive procedures and advanced life support in a shockable rhythm. Non-technical: closed-loop communication, clarity of leadership and role allocation, shared mental model and psychological safety to speak up. The objectives were made explicit in the pre-briefing and were the same in both settings (Table 1). They were incorporated into the event through triggers that required the active participation of every team member, including the healthcare assistant.</w:t>
            </w:r>
          </w:p>
        </w:tc>
      </w:tr>
      <w:tr w:rsidR="002E28E3" w:rsidRPr="00C20BA9" w14:paraId="5ED22436" w14:textId="77777777">
        <w:trPr>
          <w:jc w:val="center"/>
        </w:trPr>
        <w:tc>
          <w:tcPr>
            <w:tcW w:w="1814" w:type="dxa"/>
          </w:tcPr>
          <w:p w14:paraId="4443BBE3" w14:textId="77777777" w:rsidR="002E28E3" w:rsidRPr="00C20BA9" w:rsidRDefault="002E28E3">
            <w:pPr>
              <w:rPr>
                <w:rFonts w:ascii="Arial" w:hAnsi="Arial" w:cs="Arial"/>
                <w:sz w:val="24"/>
                <w:szCs w:val="24"/>
              </w:rPr>
            </w:pPr>
          </w:p>
        </w:tc>
        <w:tc>
          <w:tcPr>
            <w:tcW w:w="2041" w:type="dxa"/>
          </w:tcPr>
          <w:p w14:paraId="758BD624" w14:textId="77777777" w:rsidR="002E28E3" w:rsidRPr="00C20BA9" w:rsidRDefault="00000000">
            <w:pPr>
              <w:rPr>
                <w:rFonts w:ascii="Arial" w:hAnsi="Arial" w:cs="Arial"/>
                <w:sz w:val="24"/>
                <w:szCs w:val="24"/>
              </w:rPr>
            </w:pPr>
            <w:r w:rsidRPr="00C20BA9">
              <w:rPr>
                <w:rFonts w:ascii="Arial" w:hAnsi="Arial" w:cs="Arial"/>
                <w:sz w:val="24"/>
                <w:szCs w:val="24"/>
              </w:rPr>
              <w:t>Group vs. individual practice</w:t>
            </w:r>
          </w:p>
        </w:tc>
        <w:tc>
          <w:tcPr>
            <w:tcW w:w="5783" w:type="dxa"/>
          </w:tcPr>
          <w:p w14:paraId="10A32BC0" w14:textId="77777777" w:rsidR="002E28E3" w:rsidRPr="00C20BA9" w:rsidRDefault="00000000">
            <w:pPr>
              <w:rPr>
                <w:rFonts w:ascii="Arial" w:hAnsi="Arial" w:cs="Arial"/>
                <w:sz w:val="24"/>
                <w:szCs w:val="24"/>
              </w:rPr>
            </w:pPr>
            <w:r w:rsidRPr="00C20BA9">
              <w:rPr>
                <w:rFonts w:ascii="Arial" w:hAnsi="Arial" w:cs="Arial"/>
                <w:sz w:val="24"/>
                <w:szCs w:val="24"/>
              </w:rPr>
              <w:t>Group practice. Fourteen teams of seven members, each with the real functional composition of the response to an anaesthetic emergency: two anaesthetists, four perioperative nurses and one healthcare assistant. The first-line team of five received the initial clinical context; the remaining two members were called during the scenario, which preserved the realism of the call for help.</w:t>
            </w:r>
          </w:p>
        </w:tc>
      </w:tr>
      <w:tr w:rsidR="002E28E3" w:rsidRPr="00C20BA9" w14:paraId="4A600717" w14:textId="77777777">
        <w:trPr>
          <w:jc w:val="center"/>
        </w:trPr>
        <w:tc>
          <w:tcPr>
            <w:tcW w:w="1814" w:type="dxa"/>
          </w:tcPr>
          <w:p w14:paraId="3EC4260D" w14:textId="77777777" w:rsidR="002E28E3" w:rsidRPr="00C20BA9" w:rsidRDefault="002E28E3">
            <w:pPr>
              <w:rPr>
                <w:rFonts w:ascii="Arial" w:hAnsi="Arial" w:cs="Arial"/>
                <w:sz w:val="24"/>
                <w:szCs w:val="24"/>
              </w:rPr>
            </w:pPr>
          </w:p>
        </w:tc>
        <w:tc>
          <w:tcPr>
            <w:tcW w:w="2041" w:type="dxa"/>
          </w:tcPr>
          <w:p w14:paraId="05F492EC" w14:textId="77777777" w:rsidR="002E28E3" w:rsidRPr="00C20BA9" w:rsidRDefault="00000000">
            <w:pPr>
              <w:rPr>
                <w:rFonts w:ascii="Arial" w:hAnsi="Arial" w:cs="Arial"/>
                <w:sz w:val="24"/>
                <w:szCs w:val="24"/>
              </w:rPr>
            </w:pPr>
            <w:r w:rsidRPr="00C20BA9">
              <w:rPr>
                <w:rFonts w:ascii="Arial" w:hAnsi="Arial" w:cs="Arial"/>
                <w:sz w:val="24"/>
                <w:szCs w:val="24"/>
              </w:rPr>
              <w:t>Use of adjuncts</w:t>
            </w:r>
          </w:p>
        </w:tc>
        <w:tc>
          <w:tcPr>
            <w:tcW w:w="5783" w:type="dxa"/>
          </w:tcPr>
          <w:p w14:paraId="12B5252E" w14:textId="77777777" w:rsidR="002E28E3" w:rsidRPr="00C20BA9" w:rsidRDefault="00000000">
            <w:pPr>
              <w:rPr>
                <w:rFonts w:ascii="Arial" w:hAnsi="Arial" w:cs="Arial"/>
                <w:sz w:val="24"/>
                <w:szCs w:val="24"/>
              </w:rPr>
            </w:pPr>
            <w:r w:rsidRPr="00C20BA9">
              <w:rPr>
                <w:rFonts w:ascii="Arial" w:hAnsi="Arial" w:cs="Arial"/>
                <w:sz w:val="24"/>
                <w:szCs w:val="24"/>
              </w:rPr>
              <w:t>Clinical handover cards were given to participants during the case briefing to support retention of the information and were collected before they entered the scenario. The patient's clinical record, the institutional LAST protocol, the advanced life support algorithm and the list of emergency contacts were available in the room. The manikin was prepared in dorsal decubitus on the operating table with hospital gown, surgical cap, cotton head support and nappy. A plaster splint was applied to the right lower limb to lend realism to the diagnosis of trimalleolar fracture, and the limb to be operated on was identified according to the WHO safe surgery rules. The manikin also had an identification bracelet, an 18G peripheral line with crystalloid running, real oxygen by nasal cannula at 2 L/min and a forced-air warming blanket. The same preparation was used in both settings.</w:t>
            </w:r>
          </w:p>
        </w:tc>
      </w:tr>
      <w:tr w:rsidR="002E28E3" w:rsidRPr="00C20BA9" w14:paraId="00D6908F" w14:textId="77777777">
        <w:trPr>
          <w:jc w:val="center"/>
        </w:trPr>
        <w:tc>
          <w:tcPr>
            <w:tcW w:w="1814" w:type="dxa"/>
          </w:tcPr>
          <w:p w14:paraId="60FCCBBB" w14:textId="77777777" w:rsidR="002E28E3" w:rsidRPr="00C20BA9" w:rsidRDefault="002E28E3">
            <w:pPr>
              <w:rPr>
                <w:rFonts w:ascii="Arial" w:hAnsi="Arial" w:cs="Arial"/>
                <w:sz w:val="24"/>
                <w:szCs w:val="24"/>
              </w:rPr>
            </w:pPr>
          </w:p>
        </w:tc>
        <w:tc>
          <w:tcPr>
            <w:tcW w:w="2041" w:type="dxa"/>
          </w:tcPr>
          <w:p w14:paraId="5D209E9F" w14:textId="77777777" w:rsidR="002E28E3" w:rsidRPr="00C20BA9" w:rsidRDefault="00000000">
            <w:pPr>
              <w:rPr>
                <w:rFonts w:ascii="Arial" w:hAnsi="Arial" w:cs="Arial"/>
                <w:sz w:val="24"/>
                <w:szCs w:val="24"/>
              </w:rPr>
            </w:pPr>
            <w:r w:rsidRPr="00C20BA9">
              <w:rPr>
                <w:rFonts w:ascii="Arial" w:hAnsi="Arial" w:cs="Arial"/>
                <w:sz w:val="24"/>
                <w:szCs w:val="24"/>
              </w:rPr>
              <w:t>Facilitator / operator characteristics</w:t>
            </w:r>
          </w:p>
        </w:tc>
        <w:tc>
          <w:tcPr>
            <w:tcW w:w="5783" w:type="dxa"/>
          </w:tcPr>
          <w:p w14:paraId="477223DC" w14:textId="71734FD2" w:rsidR="002E28E3" w:rsidRPr="00C20BA9" w:rsidRDefault="00000000">
            <w:pPr>
              <w:rPr>
                <w:rFonts w:ascii="Arial" w:hAnsi="Arial" w:cs="Arial"/>
                <w:sz w:val="24"/>
                <w:szCs w:val="24"/>
              </w:rPr>
            </w:pPr>
            <w:r w:rsidRPr="00C20BA9">
              <w:rPr>
                <w:rFonts w:ascii="Arial" w:hAnsi="Arial" w:cs="Arial"/>
                <w:sz w:val="24"/>
                <w:szCs w:val="24"/>
              </w:rPr>
              <w:t xml:space="preserve">Two facilitators, the same in every session of both settings: the principal investigator, a female perioperative nurse, and a male anaesthetist. Both hold simulation instructor training and each had four years of experience as an instructor in interprofessional clinical simulation. The same pair conducted every debriefing. One simulation technician operated the manikin and provided the </w:t>
            </w:r>
            <w:r w:rsidRPr="00C20BA9">
              <w:rPr>
                <w:rFonts w:ascii="Arial" w:hAnsi="Arial" w:cs="Arial"/>
                <w:sz w:val="24"/>
                <w:szCs w:val="24"/>
              </w:rPr>
              <w:lastRenderedPageBreak/>
              <w:t>patient's voice in every session and took no part in the debriefing. The facilitators had no role within the scenario and acted only as observers.</w:t>
            </w:r>
          </w:p>
        </w:tc>
      </w:tr>
      <w:tr w:rsidR="002E28E3" w:rsidRPr="00C20BA9" w14:paraId="156FB57D" w14:textId="77777777">
        <w:trPr>
          <w:jc w:val="center"/>
        </w:trPr>
        <w:tc>
          <w:tcPr>
            <w:tcW w:w="1814" w:type="dxa"/>
          </w:tcPr>
          <w:p w14:paraId="42746510" w14:textId="77777777" w:rsidR="002E28E3" w:rsidRPr="00C20BA9" w:rsidRDefault="002E28E3">
            <w:pPr>
              <w:rPr>
                <w:rFonts w:ascii="Arial" w:hAnsi="Arial" w:cs="Arial"/>
                <w:sz w:val="24"/>
                <w:szCs w:val="24"/>
              </w:rPr>
            </w:pPr>
          </w:p>
        </w:tc>
        <w:tc>
          <w:tcPr>
            <w:tcW w:w="2041" w:type="dxa"/>
          </w:tcPr>
          <w:p w14:paraId="0655E99D" w14:textId="77777777" w:rsidR="002E28E3" w:rsidRPr="00C20BA9" w:rsidRDefault="00000000">
            <w:pPr>
              <w:rPr>
                <w:rFonts w:ascii="Arial" w:hAnsi="Arial" w:cs="Arial"/>
                <w:sz w:val="24"/>
                <w:szCs w:val="24"/>
              </w:rPr>
            </w:pPr>
            <w:r w:rsidRPr="00C20BA9">
              <w:rPr>
                <w:rFonts w:ascii="Arial" w:hAnsi="Arial" w:cs="Arial"/>
                <w:sz w:val="24"/>
                <w:szCs w:val="24"/>
              </w:rPr>
              <w:t>Pilot testing</w:t>
            </w:r>
          </w:p>
        </w:tc>
        <w:tc>
          <w:tcPr>
            <w:tcW w:w="5783" w:type="dxa"/>
          </w:tcPr>
          <w:p w14:paraId="28EFDFF6" w14:textId="77777777" w:rsidR="002E28E3" w:rsidRPr="00C20BA9" w:rsidRDefault="00000000">
            <w:pPr>
              <w:rPr>
                <w:rFonts w:ascii="Arial" w:hAnsi="Arial" w:cs="Arial"/>
                <w:sz w:val="24"/>
                <w:szCs w:val="24"/>
              </w:rPr>
            </w:pPr>
            <w:r w:rsidRPr="00C20BA9">
              <w:rPr>
                <w:rFonts w:ascii="Arial" w:hAnsi="Arial" w:cs="Arial"/>
                <w:sz w:val="24"/>
                <w:szCs w:val="24"/>
              </w:rPr>
              <w:t>Two pilot sessions before data collection, one in each setting, with professionals who were not part of the sample. They were used to confirm the scenario triggers, the timing of the seven phases and the electronic data collection. No data from these sessions were analysed, and none of the adjustments affected the scenario, the objectives, the timing or the instruments.</w:t>
            </w:r>
          </w:p>
        </w:tc>
      </w:tr>
      <w:tr w:rsidR="002E28E3" w:rsidRPr="00C20BA9" w14:paraId="4C01A6CC" w14:textId="77777777">
        <w:trPr>
          <w:jc w:val="center"/>
        </w:trPr>
        <w:tc>
          <w:tcPr>
            <w:tcW w:w="1814" w:type="dxa"/>
          </w:tcPr>
          <w:p w14:paraId="79923D12" w14:textId="77777777" w:rsidR="002E28E3" w:rsidRPr="00C20BA9" w:rsidRDefault="002E28E3">
            <w:pPr>
              <w:rPr>
                <w:rFonts w:ascii="Arial" w:hAnsi="Arial" w:cs="Arial"/>
                <w:sz w:val="24"/>
                <w:szCs w:val="24"/>
              </w:rPr>
            </w:pPr>
          </w:p>
        </w:tc>
        <w:tc>
          <w:tcPr>
            <w:tcW w:w="2041" w:type="dxa"/>
          </w:tcPr>
          <w:p w14:paraId="7A3DD25F" w14:textId="77777777" w:rsidR="002E28E3" w:rsidRPr="00C20BA9" w:rsidRDefault="00000000">
            <w:pPr>
              <w:rPr>
                <w:rFonts w:ascii="Arial" w:hAnsi="Arial" w:cs="Arial"/>
                <w:sz w:val="24"/>
                <w:szCs w:val="24"/>
              </w:rPr>
            </w:pPr>
            <w:r w:rsidRPr="00C20BA9">
              <w:rPr>
                <w:rFonts w:ascii="Arial" w:hAnsi="Arial" w:cs="Arial"/>
                <w:sz w:val="24"/>
                <w:szCs w:val="24"/>
              </w:rPr>
              <w:t>Actors / confederates / standardised patients</w:t>
            </w:r>
          </w:p>
        </w:tc>
        <w:tc>
          <w:tcPr>
            <w:tcW w:w="5783" w:type="dxa"/>
          </w:tcPr>
          <w:p w14:paraId="30BC89DD" w14:textId="77777777" w:rsidR="002E28E3" w:rsidRPr="00C20BA9" w:rsidRDefault="00000000">
            <w:pPr>
              <w:rPr>
                <w:rFonts w:ascii="Arial" w:hAnsi="Arial" w:cs="Arial"/>
                <w:sz w:val="24"/>
                <w:szCs w:val="24"/>
              </w:rPr>
            </w:pPr>
            <w:r w:rsidRPr="00C20BA9">
              <w:rPr>
                <w:rFonts w:ascii="Arial" w:hAnsi="Arial" w:cs="Arial"/>
                <w:sz w:val="24"/>
                <w:szCs w:val="24"/>
              </w:rPr>
              <w:t>No standardised patients or confederates took part in the team. The simulation technician provided the patient's voice and all cues from outside, following the scripted speech lines and operating the progression of the scenario with SimPad PLUS, and took no part in the debriefing. The facilitators had no role in the scenario and were present as observers, which was disclosed to participants in the case briefing.</w:t>
            </w:r>
          </w:p>
        </w:tc>
      </w:tr>
      <w:tr w:rsidR="002E28E3" w:rsidRPr="00C20BA9" w14:paraId="5D9FC1BB" w14:textId="77777777">
        <w:trPr>
          <w:jc w:val="center"/>
        </w:trPr>
        <w:tc>
          <w:tcPr>
            <w:tcW w:w="1814" w:type="dxa"/>
          </w:tcPr>
          <w:p w14:paraId="7668ACD5" w14:textId="77777777" w:rsidR="002E28E3" w:rsidRPr="00C20BA9" w:rsidRDefault="00000000">
            <w:pPr>
              <w:rPr>
                <w:rFonts w:ascii="Arial" w:hAnsi="Arial" w:cs="Arial"/>
                <w:sz w:val="24"/>
                <w:szCs w:val="24"/>
              </w:rPr>
            </w:pPr>
            <w:r w:rsidRPr="00C20BA9">
              <w:rPr>
                <w:rFonts w:ascii="Arial" w:hAnsi="Arial" w:cs="Arial"/>
                <w:b/>
                <w:sz w:val="24"/>
                <w:szCs w:val="24"/>
              </w:rPr>
              <w:t>Instructional design</w:t>
            </w:r>
          </w:p>
        </w:tc>
        <w:tc>
          <w:tcPr>
            <w:tcW w:w="2041" w:type="dxa"/>
          </w:tcPr>
          <w:p w14:paraId="28BB6795" w14:textId="77777777" w:rsidR="002E28E3" w:rsidRPr="00C20BA9" w:rsidRDefault="00000000">
            <w:pPr>
              <w:rPr>
                <w:rFonts w:ascii="Arial" w:hAnsi="Arial" w:cs="Arial"/>
                <w:sz w:val="24"/>
                <w:szCs w:val="24"/>
              </w:rPr>
            </w:pPr>
            <w:r w:rsidRPr="00C20BA9">
              <w:rPr>
                <w:rFonts w:ascii="Arial" w:hAnsi="Arial" w:cs="Arial"/>
                <w:sz w:val="24"/>
                <w:szCs w:val="24"/>
              </w:rPr>
              <w:t>Duration</w:t>
            </w:r>
          </w:p>
        </w:tc>
        <w:tc>
          <w:tcPr>
            <w:tcW w:w="5783" w:type="dxa"/>
          </w:tcPr>
          <w:p w14:paraId="388190E0" w14:textId="77777777" w:rsidR="002E28E3" w:rsidRPr="00C20BA9" w:rsidRDefault="00000000">
            <w:pPr>
              <w:rPr>
                <w:rFonts w:ascii="Arial" w:hAnsi="Arial" w:cs="Arial"/>
                <w:sz w:val="24"/>
                <w:szCs w:val="24"/>
              </w:rPr>
            </w:pPr>
            <w:r w:rsidRPr="00C20BA9">
              <w:rPr>
                <w:rFonts w:ascii="Arial" w:hAnsi="Arial" w:cs="Arial"/>
                <w:sz w:val="24"/>
                <w:szCs w:val="24"/>
              </w:rPr>
              <w:t>180 minutes per session, in seven phases of fixed duration always delivered in the same order: preparation of the technical and facilitation team without participants (15 min); reception and change into surgical scrubs (10 min); pre-briefing with eligibility check, consent, generation of anonymisation codes and pre-simulation questionnaires (30 min); environment and scenario briefing (30 min); scenario (20 min); debriefing (40 min); post-simulation assessment and closing (35 min). The session plan is provided in Additional File 2.</w:t>
            </w:r>
          </w:p>
        </w:tc>
      </w:tr>
      <w:tr w:rsidR="002E28E3" w:rsidRPr="00C20BA9" w14:paraId="3F1878B4" w14:textId="77777777">
        <w:trPr>
          <w:jc w:val="center"/>
        </w:trPr>
        <w:tc>
          <w:tcPr>
            <w:tcW w:w="1814" w:type="dxa"/>
          </w:tcPr>
          <w:p w14:paraId="54D81366" w14:textId="77777777" w:rsidR="002E28E3" w:rsidRPr="00C20BA9" w:rsidRDefault="002E28E3">
            <w:pPr>
              <w:rPr>
                <w:rFonts w:ascii="Arial" w:hAnsi="Arial" w:cs="Arial"/>
                <w:sz w:val="24"/>
                <w:szCs w:val="24"/>
              </w:rPr>
            </w:pPr>
          </w:p>
        </w:tc>
        <w:tc>
          <w:tcPr>
            <w:tcW w:w="2041" w:type="dxa"/>
          </w:tcPr>
          <w:p w14:paraId="006D228D" w14:textId="77777777" w:rsidR="002E28E3" w:rsidRPr="00C20BA9" w:rsidRDefault="00000000">
            <w:pPr>
              <w:rPr>
                <w:rFonts w:ascii="Arial" w:hAnsi="Arial" w:cs="Arial"/>
                <w:sz w:val="24"/>
                <w:szCs w:val="24"/>
              </w:rPr>
            </w:pPr>
            <w:r w:rsidRPr="00C20BA9">
              <w:rPr>
                <w:rFonts w:ascii="Arial" w:hAnsi="Arial" w:cs="Arial"/>
                <w:sz w:val="24"/>
                <w:szCs w:val="24"/>
              </w:rPr>
              <w:t>Timing</w:t>
            </w:r>
          </w:p>
        </w:tc>
        <w:tc>
          <w:tcPr>
            <w:tcW w:w="5783" w:type="dxa"/>
          </w:tcPr>
          <w:p w14:paraId="75D31D50" w14:textId="77777777" w:rsidR="002E28E3" w:rsidRPr="00C20BA9" w:rsidRDefault="00000000">
            <w:pPr>
              <w:rPr>
                <w:rFonts w:ascii="Arial" w:hAnsi="Arial" w:cs="Arial"/>
                <w:sz w:val="24"/>
                <w:szCs w:val="24"/>
              </w:rPr>
            </w:pPr>
            <w:r w:rsidRPr="00C20BA9">
              <w:rPr>
                <w:rFonts w:ascii="Arial" w:hAnsi="Arial" w:cs="Arial"/>
                <w:sz w:val="24"/>
                <w:szCs w:val="24"/>
              </w:rPr>
              <w:t>Single session. Knowledge, RIPLS and ICCAS were measured immediately before the scenario, during the pre-briefing phase; knowledge, ICCAS, SET-M, SDS and DASH were measured immediately after the debriefing, in the closing phase. There was no follow-up after the session.</w:t>
            </w:r>
          </w:p>
        </w:tc>
      </w:tr>
      <w:tr w:rsidR="002E28E3" w:rsidRPr="00C20BA9" w14:paraId="180F41A7" w14:textId="77777777">
        <w:trPr>
          <w:jc w:val="center"/>
        </w:trPr>
        <w:tc>
          <w:tcPr>
            <w:tcW w:w="1814" w:type="dxa"/>
          </w:tcPr>
          <w:p w14:paraId="28DB7353" w14:textId="77777777" w:rsidR="002E28E3" w:rsidRPr="00C20BA9" w:rsidRDefault="002E28E3">
            <w:pPr>
              <w:rPr>
                <w:rFonts w:ascii="Arial" w:hAnsi="Arial" w:cs="Arial"/>
                <w:sz w:val="24"/>
                <w:szCs w:val="24"/>
              </w:rPr>
            </w:pPr>
          </w:p>
        </w:tc>
        <w:tc>
          <w:tcPr>
            <w:tcW w:w="2041" w:type="dxa"/>
          </w:tcPr>
          <w:p w14:paraId="05E3FA24" w14:textId="77777777" w:rsidR="002E28E3" w:rsidRPr="00C20BA9" w:rsidRDefault="00000000">
            <w:pPr>
              <w:rPr>
                <w:rFonts w:ascii="Arial" w:hAnsi="Arial" w:cs="Arial"/>
                <w:sz w:val="24"/>
                <w:szCs w:val="24"/>
              </w:rPr>
            </w:pPr>
            <w:r w:rsidRPr="00C20BA9">
              <w:rPr>
                <w:rFonts w:ascii="Arial" w:hAnsi="Arial" w:cs="Arial"/>
                <w:sz w:val="24"/>
                <w:szCs w:val="24"/>
              </w:rPr>
              <w:t>Frequency / repetitions</w:t>
            </w:r>
          </w:p>
        </w:tc>
        <w:tc>
          <w:tcPr>
            <w:tcW w:w="5783" w:type="dxa"/>
          </w:tcPr>
          <w:p w14:paraId="15FFF964" w14:textId="77777777" w:rsidR="002E28E3" w:rsidRPr="00C20BA9" w:rsidRDefault="00000000">
            <w:pPr>
              <w:rPr>
                <w:rFonts w:ascii="Arial" w:hAnsi="Arial" w:cs="Arial"/>
                <w:sz w:val="24"/>
                <w:szCs w:val="24"/>
              </w:rPr>
            </w:pPr>
            <w:r w:rsidRPr="00C20BA9">
              <w:rPr>
                <w:rFonts w:ascii="Arial" w:hAnsi="Arial" w:cs="Arial"/>
                <w:sz w:val="24"/>
                <w:szCs w:val="24"/>
              </w:rPr>
              <w:t>Single exposure. The scenario was run once per team, with no repetition, no rapid-cycle deliberate practice and no second session.</w:t>
            </w:r>
          </w:p>
        </w:tc>
      </w:tr>
      <w:tr w:rsidR="002E28E3" w:rsidRPr="00C20BA9" w14:paraId="252421F1" w14:textId="77777777">
        <w:trPr>
          <w:jc w:val="center"/>
        </w:trPr>
        <w:tc>
          <w:tcPr>
            <w:tcW w:w="1814" w:type="dxa"/>
          </w:tcPr>
          <w:p w14:paraId="1C5672B8" w14:textId="77777777" w:rsidR="002E28E3" w:rsidRPr="00C20BA9" w:rsidRDefault="002E28E3">
            <w:pPr>
              <w:rPr>
                <w:rFonts w:ascii="Arial" w:hAnsi="Arial" w:cs="Arial"/>
                <w:sz w:val="24"/>
                <w:szCs w:val="24"/>
              </w:rPr>
            </w:pPr>
          </w:p>
        </w:tc>
        <w:tc>
          <w:tcPr>
            <w:tcW w:w="2041" w:type="dxa"/>
          </w:tcPr>
          <w:p w14:paraId="3B7BC886" w14:textId="77777777" w:rsidR="002E28E3" w:rsidRPr="00C20BA9" w:rsidRDefault="00000000">
            <w:pPr>
              <w:rPr>
                <w:rFonts w:ascii="Arial" w:hAnsi="Arial" w:cs="Arial"/>
                <w:sz w:val="24"/>
                <w:szCs w:val="24"/>
              </w:rPr>
            </w:pPr>
            <w:r w:rsidRPr="00C20BA9">
              <w:rPr>
                <w:rFonts w:ascii="Arial" w:hAnsi="Arial" w:cs="Arial"/>
                <w:sz w:val="24"/>
                <w:szCs w:val="24"/>
              </w:rPr>
              <w:t>Clinical variation</w:t>
            </w:r>
          </w:p>
        </w:tc>
        <w:tc>
          <w:tcPr>
            <w:tcW w:w="5783" w:type="dxa"/>
          </w:tcPr>
          <w:p w14:paraId="16C881B1" w14:textId="77777777" w:rsidR="002E28E3" w:rsidRPr="00C20BA9" w:rsidRDefault="00000000">
            <w:pPr>
              <w:rPr>
                <w:rFonts w:ascii="Arial" w:hAnsi="Arial" w:cs="Arial"/>
                <w:sz w:val="24"/>
                <w:szCs w:val="24"/>
              </w:rPr>
            </w:pPr>
            <w:r w:rsidRPr="00C20BA9">
              <w:rPr>
                <w:rFonts w:ascii="Arial" w:hAnsi="Arial" w:cs="Arial"/>
                <w:sz w:val="24"/>
                <w:szCs w:val="24"/>
              </w:rPr>
              <w:t>None. One clinical condition only, local anaesthetic systemic toxicity, with the same script and the same programmed course for every team in both settings.</w:t>
            </w:r>
          </w:p>
        </w:tc>
      </w:tr>
      <w:tr w:rsidR="002E28E3" w:rsidRPr="00C20BA9" w14:paraId="37F25225" w14:textId="77777777">
        <w:trPr>
          <w:jc w:val="center"/>
        </w:trPr>
        <w:tc>
          <w:tcPr>
            <w:tcW w:w="1814" w:type="dxa"/>
          </w:tcPr>
          <w:p w14:paraId="7636EEB1" w14:textId="77777777" w:rsidR="002E28E3" w:rsidRPr="00C20BA9" w:rsidRDefault="002E28E3">
            <w:pPr>
              <w:rPr>
                <w:rFonts w:ascii="Arial" w:hAnsi="Arial" w:cs="Arial"/>
                <w:sz w:val="24"/>
                <w:szCs w:val="24"/>
              </w:rPr>
            </w:pPr>
          </w:p>
        </w:tc>
        <w:tc>
          <w:tcPr>
            <w:tcW w:w="2041" w:type="dxa"/>
          </w:tcPr>
          <w:p w14:paraId="346FFBD4" w14:textId="77777777" w:rsidR="002E28E3" w:rsidRPr="00C20BA9" w:rsidRDefault="00000000">
            <w:pPr>
              <w:rPr>
                <w:rFonts w:ascii="Arial" w:hAnsi="Arial" w:cs="Arial"/>
                <w:sz w:val="24"/>
                <w:szCs w:val="24"/>
              </w:rPr>
            </w:pPr>
            <w:r w:rsidRPr="00C20BA9">
              <w:rPr>
                <w:rFonts w:ascii="Arial" w:hAnsi="Arial" w:cs="Arial"/>
                <w:sz w:val="24"/>
                <w:szCs w:val="24"/>
              </w:rPr>
              <w:t>Standards / assessment</w:t>
            </w:r>
          </w:p>
        </w:tc>
        <w:tc>
          <w:tcPr>
            <w:tcW w:w="5783" w:type="dxa"/>
          </w:tcPr>
          <w:p w14:paraId="471CD3B3" w14:textId="77777777" w:rsidR="002E28E3" w:rsidRPr="00C20BA9" w:rsidRDefault="00000000">
            <w:pPr>
              <w:rPr>
                <w:rFonts w:ascii="Arial" w:hAnsi="Arial" w:cs="Arial"/>
                <w:sz w:val="24"/>
                <w:szCs w:val="24"/>
              </w:rPr>
            </w:pPr>
            <w:r w:rsidRPr="00C20BA9">
              <w:rPr>
                <w:rFonts w:ascii="Arial" w:hAnsi="Arial" w:cs="Arial"/>
                <w:sz w:val="24"/>
                <w:szCs w:val="24"/>
              </w:rPr>
              <w:t xml:space="preserve">No predefined standard of performance and no mastery threshold were set, and team performance </w:t>
            </w:r>
            <w:r w:rsidRPr="00C20BA9">
              <w:rPr>
                <w:rFonts w:ascii="Arial" w:hAnsi="Arial" w:cs="Arial"/>
                <w:sz w:val="24"/>
                <w:szCs w:val="24"/>
              </w:rPr>
              <w:lastRenderedPageBreak/>
              <w:t>was not scored. Assessment was limited to a 15-item knowledge questionnaire and to participant-reported instruments (ICCAS, SET-M, SDS, DASH). The facilitators' observation grid (Additional File 4) was used to structure the debriefing and not as an outcome measure.</w:t>
            </w:r>
          </w:p>
        </w:tc>
      </w:tr>
      <w:tr w:rsidR="002E28E3" w:rsidRPr="00C20BA9" w14:paraId="6F35BF73" w14:textId="77777777">
        <w:trPr>
          <w:jc w:val="center"/>
        </w:trPr>
        <w:tc>
          <w:tcPr>
            <w:tcW w:w="1814" w:type="dxa"/>
          </w:tcPr>
          <w:p w14:paraId="6646204B" w14:textId="77777777" w:rsidR="002E28E3" w:rsidRPr="00C20BA9" w:rsidRDefault="002E28E3">
            <w:pPr>
              <w:rPr>
                <w:rFonts w:ascii="Arial" w:hAnsi="Arial" w:cs="Arial"/>
                <w:sz w:val="24"/>
                <w:szCs w:val="24"/>
              </w:rPr>
            </w:pPr>
          </w:p>
        </w:tc>
        <w:tc>
          <w:tcPr>
            <w:tcW w:w="2041" w:type="dxa"/>
          </w:tcPr>
          <w:p w14:paraId="2B51C8B2" w14:textId="77777777" w:rsidR="002E28E3" w:rsidRPr="00C20BA9" w:rsidRDefault="00000000">
            <w:pPr>
              <w:rPr>
                <w:rFonts w:ascii="Arial" w:hAnsi="Arial" w:cs="Arial"/>
                <w:sz w:val="24"/>
                <w:szCs w:val="24"/>
              </w:rPr>
            </w:pPr>
            <w:r w:rsidRPr="00C20BA9">
              <w:rPr>
                <w:rFonts w:ascii="Arial" w:hAnsi="Arial" w:cs="Arial"/>
                <w:sz w:val="24"/>
                <w:szCs w:val="24"/>
              </w:rPr>
              <w:t>Adaptability of intervention</w:t>
            </w:r>
          </w:p>
        </w:tc>
        <w:tc>
          <w:tcPr>
            <w:tcW w:w="5783" w:type="dxa"/>
          </w:tcPr>
          <w:p w14:paraId="7B8D1A45" w14:textId="77777777" w:rsidR="002E28E3" w:rsidRPr="00C20BA9" w:rsidRDefault="00000000">
            <w:pPr>
              <w:rPr>
                <w:rFonts w:ascii="Arial" w:hAnsi="Arial" w:cs="Arial"/>
                <w:sz w:val="24"/>
                <w:szCs w:val="24"/>
              </w:rPr>
            </w:pPr>
            <w:r w:rsidRPr="00C20BA9">
              <w:rPr>
                <w:rFonts w:ascii="Arial" w:hAnsi="Arial" w:cs="Arial"/>
                <w:sz w:val="24"/>
                <w:szCs w:val="24"/>
              </w:rPr>
              <w:t>The scenario was fixed and was not adapted to individual learners. Progression was contingent on the actions of the team against pre-defined triggers, with time-based fallbacks written into the script, so that the same decision rules applied in both settings.</w:t>
            </w:r>
          </w:p>
        </w:tc>
      </w:tr>
      <w:tr w:rsidR="002E28E3" w:rsidRPr="00C20BA9" w14:paraId="5C537787" w14:textId="77777777">
        <w:trPr>
          <w:jc w:val="center"/>
        </w:trPr>
        <w:tc>
          <w:tcPr>
            <w:tcW w:w="1814" w:type="dxa"/>
          </w:tcPr>
          <w:p w14:paraId="7BFE9EAD" w14:textId="77777777" w:rsidR="002E28E3" w:rsidRPr="00C20BA9" w:rsidRDefault="002E28E3">
            <w:pPr>
              <w:rPr>
                <w:rFonts w:ascii="Arial" w:hAnsi="Arial" w:cs="Arial"/>
                <w:sz w:val="24"/>
                <w:szCs w:val="24"/>
              </w:rPr>
            </w:pPr>
          </w:p>
        </w:tc>
        <w:tc>
          <w:tcPr>
            <w:tcW w:w="2041" w:type="dxa"/>
          </w:tcPr>
          <w:p w14:paraId="721A5572" w14:textId="77777777" w:rsidR="002E28E3" w:rsidRPr="00C20BA9" w:rsidRDefault="00000000">
            <w:pPr>
              <w:rPr>
                <w:rFonts w:ascii="Arial" w:hAnsi="Arial" w:cs="Arial"/>
                <w:sz w:val="24"/>
                <w:szCs w:val="24"/>
              </w:rPr>
            </w:pPr>
            <w:r w:rsidRPr="00C20BA9">
              <w:rPr>
                <w:rFonts w:ascii="Arial" w:hAnsi="Arial" w:cs="Arial"/>
                <w:sz w:val="24"/>
                <w:szCs w:val="24"/>
              </w:rPr>
              <w:t>Range of difficulty</w:t>
            </w:r>
          </w:p>
        </w:tc>
        <w:tc>
          <w:tcPr>
            <w:tcW w:w="5783" w:type="dxa"/>
          </w:tcPr>
          <w:p w14:paraId="774CE754" w14:textId="77777777" w:rsidR="002E28E3" w:rsidRPr="00C20BA9" w:rsidRDefault="00000000">
            <w:pPr>
              <w:rPr>
                <w:rFonts w:ascii="Arial" w:hAnsi="Arial" w:cs="Arial"/>
                <w:sz w:val="24"/>
                <w:szCs w:val="24"/>
              </w:rPr>
            </w:pPr>
            <w:r w:rsidRPr="00C20BA9">
              <w:rPr>
                <w:rFonts w:ascii="Arial" w:hAnsi="Arial" w:cs="Arial"/>
                <w:sz w:val="24"/>
                <w:szCs w:val="24"/>
              </w:rPr>
              <w:t>A single level of difficulty, with the clinical course progressing from the neurological and cardiovascular prodrome to cardiac arrest in a shockable rhythm, identical for all teams.</w:t>
            </w:r>
          </w:p>
        </w:tc>
      </w:tr>
      <w:tr w:rsidR="002E28E3" w:rsidRPr="00C20BA9" w14:paraId="6A8C23EF" w14:textId="77777777">
        <w:trPr>
          <w:jc w:val="center"/>
        </w:trPr>
        <w:tc>
          <w:tcPr>
            <w:tcW w:w="1814" w:type="dxa"/>
          </w:tcPr>
          <w:p w14:paraId="091D532F" w14:textId="77777777" w:rsidR="002E28E3" w:rsidRPr="00C20BA9" w:rsidRDefault="002E28E3">
            <w:pPr>
              <w:rPr>
                <w:rFonts w:ascii="Arial" w:hAnsi="Arial" w:cs="Arial"/>
                <w:sz w:val="24"/>
                <w:szCs w:val="24"/>
              </w:rPr>
            </w:pPr>
          </w:p>
        </w:tc>
        <w:tc>
          <w:tcPr>
            <w:tcW w:w="2041" w:type="dxa"/>
          </w:tcPr>
          <w:p w14:paraId="450CDD15" w14:textId="77777777" w:rsidR="002E28E3" w:rsidRPr="00C20BA9" w:rsidRDefault="00000000">
            <w:pPr>
              <w:rPr>
                <w:rFonts w:ascii="Arial" w:hAnsi="Arial" w:cs="Arial"/>
                <w:sz w:val="24"/>
                <w:szCs w:val="24"/>
              </w:rPr>
            </w:pPr>
            <w:r w:rsidRPr="00C20BA9">
              <w:rPr>
                <w:rFonts w:ascii="Arial" w:hAnsi="Arial" w:cs="Arial"/>
                <w:sz w:val="24"/>
                <w:szCs w:val="24"/>
              </w:rPr>
              <w:t>Nonsimulation interventions and adjuncts</w:t>
            </w:r>
          </w:p>
        </w:tc>
        <w:tc>
          <w:tcPr>
            <w:tcW w:w="5783" w:type="dxa"/>
          </w:tcPr>
          <w:p w14:paraId="198A5283" w14:textId="77777777" w:rsidR="002E28E3" w:rsidRPr="00C20BA9" w:rsidRDefault="00000000">
            <w:pPr>
              <w:rPr>
                <w:rFonts w:ascii="Arial" w:hAnsi="Arial" w:cs="Arial"/>
                <w:sz w:val="24"/>
                <w:szCs w:val="24"/>
              </w:rPr>
            </w:pPr>
            <w:r w:rsidRPr="00C20BA9">
              <w:rPr>
                <w:rFonts w:ascii="Arial" w:hAnsi="Arial" w:cs="Arial"/>
                <w:sz w:val="24"/>
                <w:szCs w:val="24"/>
              </w:rPr>
              <w:t>No non-simulation educational intervention formed part of the trial. Participants received no pre-course reading, lecture, video or teaching material on local anaesthetic systemic toxicity before the session, and no further training on the subject between the pre-session and post-session measurements, which were taken within the same session. Both institutions had their own written procedure for the management of LAST, available to staff as part of ordinary practice; prior familiarity with it was not standardised and was the same condition in both settings.</w:t>
            </w:r>
          </w:p>
        </w:tc>
      </w:tr>
      <w:tr w:rsidR="002E28E3" w:rsidRPr="00C20BA9" w14:paraId="2EB031A3" w14:textId="77777777">
        <w:trPr>
          <w:jc w:val="center"/>
        </w:trPr>
        <w:tc>
          <w:tcPr>
            <w:tcW w:w="1814" w:type="dxa"/>
          </w:tcPr>
          <w:p w14:paraId="1D4B7872" w14:textId="77777777" w:rsidR="002E28E3" w:rsidRPr="00C20BA9" w:rsidRDefault="002E28E3">
            <w:pPr>
              <w:rPr>
                <w:rFonts w:ascii="Arial" w:hAnsi="Arial" w:cs="Arial"/>
                <w:sz w:val="24"/>
                <w:szCs w:val="24"/>
              </w:rPr>
            </w:pPr>
          </w:p>
        </w:tc>
        <w:tc>
          <w:tcPr>
            <w:tcW w:w="2041" w:type="dxa"/>
          </w:tcPr>
          <w:p w14:paraId="7358611D" w14:textId="77777777" w:rsidR="002E28E3" w:rsidRPr="00C20BA9" w:rsidRDefault="00000000">
            <w:pPr>
              <w:rPr>
                <w:rFonts w:ascii="Arial" w:hAnsi="Arial" w:cs="Arial"/>
                <w:sz w:val="24"/>
                <w:szCs w:val="24"/>
              </w:rPr>
            </w:pPr>
            <w:r w:rsidRPr="00C20BA9">
              <w:rPr>
                <w:rFonts w:ascii="Arial" w:hAnsi="Arial" w:cs="Arial"/>
                <w:sz w:val="24"/>
                <w:szCs w:val="24"/>
              </w:rPr>
              <w:t>Integration</w:t>
            </w:r>
          </w:p>
        </w:tc>
        <w:tc>
          <w:tcPr>
            <w:tcW w:w="5783" w:type="dxa"/>
          </w:tcPr>
          <w:p w14:paraId="20927C1D" w14:textId="77777777" w:rsidR="002E28E3" w:rsidRPr="00C20BA9" w:rsidRDefault="00000000">
            <w:pPr>
              <w:rPr>
                <w:rFonts w:ascii="Arial" w:hAnsi="Arial" w:cs="Arial"/>
                <w:sz w:val="24"/>
                <w:szCs w:val="24"/>
              </w:rPr>
            </w:pPr>
            <w:r w:rsidRPr="00C20BA9">
              <w:rPr>
                <w:rFonts w:ascii="Arial" w:hAnsi="Arial" w:cs="Arial"/>
                <w:sz w:val="24"/>
                <w:szCs w:val="24"/>
              </w:rPr>
              <w:t>Stand-alone session, not part of a formal curriculum. It was delivered within the continuing education activity of the two services, outside any assessment of the participants, and this was made explicit at recruitment and again in the pre-briefing.</w:t>
            </w:r>
          </w:p>
        </w:tc>
      </w:tr>
      <w:tr w:rsidR="002E28E3" w:rsidRPr="00C20BA9" w14:paraId="3C80D658" w14:textId="77777777">
        <w:trPr>
          <w:jc w:val="center"/>
        </w:trPr>
        <w:tc>
          <w:tcPr>
            <w:tcW w:w="1814" w:type="dxa"/>
          </w:tcPr>
          <w:p w14:paraId="386D1088" w14:textId="77777777" w:rsidR="002E28E3" w:rsidRPr="00C20BA9" w:rsidRDefault="00000000">
            <w:pPr>
              <w:rPr>
                <w:rFonts w:ascii="Arial" w:hAnsi="Arial" w:cs="Arial"/>
                <w:sz w:val="24"/>
                <w:szCs w:val="24"/>
              </w:rPr>
            </w:pPr>
            <w:r w:rsidRPr="00C20BA9">
              <w:rPr>
                <w:rFonts w:ascii="Arial" w:hAnsi="Arial" w:cs="Arial"/>
                <w:b/>
                <w:sz w:val="24"/>
                <w:szCs w:val="24"/>
              </w:rPr>
              <w:t>Feedback and/or debriefing</w:t>
            </w:r>
          </w:p>
        </w:tc>
        <w:tc>
          <w:tcPr>
            <w:tcW w:w="2041" w:type="dxa"/>
          </w:tcPr>
          <w:p w14:paraId="4B2014D6" w14:textId="77777777" w:rsidR="002E28E3" w:rsidRPr="00C20BA9" w:rsidRDefault="00000000">
            <w:pPr>
              <w:rPr>
                <w:rFonts w:ascii="Arial" w:hAnsi="Arial" w:cs="Arial"/>
                <w:sz w:val="24"/>
                <w:szCs w:val="24"/>
              </w:rPr>
            </w:pPr>
            <w:r w:rsidRPr="00C20BA9">
              <w:rPr>
                <w:rFonts w:ascii="Arial" w:hAnsi="Arial" w:cs="Arial"/>
                <w:sz w:val="24"/>
                <w:szCs w:val="24"/>
              </w:rPr>
              <w:t>Source</w:t>
            </w:r>
          </w:p>
        </w:tc>
        <w:tc>
          <w:tcPr>
            <w:tcW w:w="5783" w:type="dxa"/>
          </w:tcPr>
          <w:p w14:paraId="28CC3102" w14:textId="77777777" w:rsidR="002E28E3" w:rsidRPr="00C20BA9" w:rsidRDefault="00000000">
            <w:pPr>
              <w:rPr>
                <w:rFonts w:ascii="Arial" w:hAnsi="Arial" w:cs="Arial"/>
                <w:sz w:val="24"/>
                <w:szCs w:val="24"/>
              </w:rPr>
            </w:pPr>
            <w:r w:rsidRPr="00C20BA9">
              <w:rPr>
                <w:rFonts w:ascii="Arial" w:hAnsi="Arial" w:cs="Arial"/>
                <w:sz w:val="24"/>
                <w:szCs w:val="24"/>
              </w:rPr>
              <w:t>Facilitator-led, face-to-face interprofessional co-debriefing. No computer-generated or simulator-generated feedback was used.</w:t>
            </w:r>
          </w:p>
        </w:tc>
      </w:tr>
      <w:tr w:rsidR="002E28E3" w:rsidRPr="00C20BA9" w14:paraId="2132652C" w14:textId="77777777">
        <w:trPr>
          <w:jc w:val="center"/>
        </w:trPr>
        <w:tc>
          <w:tcPr>
            <w:tcW w:w="1814" w:type="dxa"/>
          </w:tcPr>
          <w:p w14:paraId="35ABC5C9" w14:textId="77777777" w:rsidR="002E28E3" w:rsidRPr="00C20BA9" w:rsidRDefault="002E28E3">
            <w:pPr>
              <w:rPr>
                <w:rFonts w:ascii="Arial" w:hAnsi="Arial" w:cs="Arial"/>
                <w:sz w:val="24"/>
                <w:szCs w:val="24"/>
              </w:rPr>
            </w:pPr>
          </w:p>
        </w:tc>
        <w:tc>
          <w:tcPr>
            <w:tcW w:w="2041" w:type="dxa"/>
          </w:tcPr>
          <w:p w14:paraId="19CF855E" w14:textId="77777777" w:rsidR="002E28E3" w:rsidRPr="00C20BA9" w:rsidRDefault="00000000">
            <w:pPr>
              <w:rPr>
                <w:rFonts w:ascii="Arial" w:hAnsi="Arial" w:cs="Arial"/>
                <w:sz w:val="24"/>
                <w:szCs w:val="24"/>
              </w:rPr>
            </w:pPr>
            <w:r w:rsidRPr="00C20BA9">
              <w:rPr>
                <w:rFonts w:ascii="Arial" w:hAnsi="Arial" w:cs="Arial"/>
                <w:sz w:val="24"/>
                <w:szCs w:val="24"/>
              </w:rPr>
              <w:t>Duration</w:t>
            </w:r>
          </w:p>
        </w:tc>
        <w:tc>
          <w:tcPr>
            <w:tcW w:w="5783" w:type="dxa"/>
          </w:tcPr>
          <w:p w14:paraId="493C165A" w14:textId="77777777" w:rsidR="002E28E3" w:rsidRPr="00C20BA9" w:rsidRDefault="00000000">
            <w:pPr>
              <w:rPr>
                <w:rFonts w:ascii="Arial" w:hAnsi="Arial" w:cs="Arial"/>
                <w:sz w:val="24"/>
                <w:szCs w:val="24"/>
              </w:rPr>
            </w:pPr>
            <w:r w:rsidRPr="00C20BA9">
              <w:rPr>
                <w:rFonts w:ascii="Arial" w:hAnsi="Arial" w:cs="Arial"/>
                <w:sz w:val="24"/>
                <w:szCs w:val="24"/>
              </w:rPr>
              <w:t>40 minutes, identical in both settings and held immediately after the scenario (Table 1).</w:t>
            </w:r>
          </w:p>
        </w:tc>
      </w:tr>
      <w:tr w:rsidR="002E28E3" w:rsidRPr="00C20BA9" w14:paraId="67893576" w14:textId="77777777">
        <w:trPr>
          <w:jc w:val="center"/>
        </w:trPr>
        <w:tc>
          <w:tcPr>
            <w:tcW w:w="1814" w:type="dxa"/>
          </w:tcPr>
          <w:p w14:paraId="256000BC" w14:textId="77777777" w:rsidR="002E28E3" w:rsidRPr="00C20BA9" w:rsidRDefault="002E28E3">
            <w:pPr>
              <w:rPr>
                <w:rFonts w:ascii="Arial" w:hAnsi="Arial" w:cs="Arial"/>
                <w:sz w:val="24"/>
                <w:szCs w:val="24"/>
              </w:rPr>
            </w:pPr>
          </w:p>
        </w:tc>
        <w:tc>
          <w:tcPr>
            <w:tcW w:w="2041" w:type="dxa"/>
          </w:tcPr>
          <w:p w14:paraId="6F08E52A" w14:textId="77777777" w:rsidR="002E28E3" w:rsidRPr="00C20BA9" w:rsidRDefault="00000000">
            <w:pPr>
              <w:rPr>
                <w:rFonts w:ascii="Arial" w:hAnsi="Arial" w:cs="Arial"/>
                <w:sz w:val="24"/>
                <w:szCs w:val="24"/>
              </w:rPr>
            </w:pPr>
            <w:r w:rsidRPr="00C20BA9">
              <w:rPr>
                <w:rFonts w:ascii="Arial" w:hAnsi="Arial" w:cs="Arial"/>
                <w:sz w:val="24"/>
                <w:szCs w:val="24"/>
              </w:rPr>
              <w:t>Facilitator presence</w:t>
            </w:r>
          </w:p>
        </w:tc>
        <w:tc>
          <w:tcPr>
            <w:tcW w:w="5783" w:type="dxa"/>
          </w:tcPr>
          <w:p w14:paraId="434C774A" w14:textId="77777777" w:rsidR="002E28E3" w:rsidRPr="00C20BA9" w:rsidRDefault="00000000">
            <w:pPr>
              <w:rPr>
                <w:rFonts w:ascii="Arial" w:hAnsi="Arial" w:cs="Arial"/>
                <w:sz w:val="24"/>
                <w:szCs w:val="24"/>
              </w:rPr>
            </w:pPr>
            <w:r w:rsidRPr="00C20BA9">
              <w:rPr>
                <w:rFonts w:ascii="Arial" w:hAnsi="Arial" w:cs="Arial"/>
                <w:sz w:val="24"/>
                <w:szCs w:val="24"/>
              </w:rPr>
              <w:t>Yes. Two co-facilitators were present at every debriefing, and they were the same two in every session of both settings.</w:t>
            </w:r>
          </w:p>
        </w:tc>
      </w:tr>
      <w:tr w:rsidR="002E28E3" w:rsidRPr="00C20BA9" w14:paraId="6135CDB3" w14:textId="77777777">
        <w:trPr>
          <w:jc w:val="center"/>
        </w:trPr>
        <w:tc>
          <w:tcPr>
            <w:tcW w:w="1814" w:type="dxa"/>
          </w:tcPr>
          <w:p w14:paraId="15D4D912" w14:textId="77777777" w:rsidR="002E28E3" w:rsidRPr="00C20BA9" w:rsidRDefault="002E28E3">
            <w:pPr>
              <w:rPr>
                <w:rFonts w:ascii="Arial" w:hAnsi="Arial" w:cs="Arial"/>
                <w:sz w:val="24"/>
                <w:szCs w:val="24"/>
              </w:rPr>
            </w:pPr>
          </w:p>
        </w:tc>
        <w:tc>
          <w:tcPr>
            <w:tcW w:w="2041" w:type="dxa"/>
          </w:tcPr>
          <w:p w14:paraId="21983BEB" w14:textId="77777777" w:rsidR="002E28E3" w:rsidRPr="00C20BA9" w:rsidRDefault="00000000">
            <w:pPr>
              <w:rPr>
                <w:rFonts w:ascii="Arial" w:hAnsi="Arial" w:cs="Arial"/>
                <w:sz w:val="24"/>
                <w:szCs w:val="24"/>
              </w:rPr>
            </w:pPr>
            <w:r w:rsidRPr="00C20BA9">
              <w:rPr>
                <w:rFonts w:ascii="Arial" w:hAnsi="Arial" w:cs="Arial"/>
                <w:sz w:val="24"/>
                <w:szCs w:val="24"/>
              </w:rPr>
              <w:t>Facilitator characteristics</w:t>
            </w:r>
          </w:p>
        </w:tc>
        <w:tc>
          <w:tcPr>
            <w:tcW w:w="5783" w:type="dxa"/>
          </w:tcPr>
          <w:p w14:paraId="683F5892" w14:textId="77777777" w:rsidR="002E28E3" w:rsidRPr="00C20BA9" w:rsidRDefault="00000000">
            <w:pPr>
              <w:rPr>
                <w:rFonts w:ascii="Arial" w:hAnsi="Arial" w:cs="Arial"/>
                <w:sz w:val="24"/>
                <w:szCs w:val="24"/>
              </w:rPr>
            </w:pPr>
            <w:r w:rsidRPr="00C20BA9">
              <w:rPr>
                <w:rFonts w:ascii="Arial" w:hAnsi="Arial" w:cs="Arial"/>
                <w:sz w:val="24"/>
                <w:szCs w:val="24"/>
              </w:rPr>
              <w:t xml:space="preserve">One female perioperative nurse and simulation instructor (the principal investigator) and one male anaesthetist and simulation instructor, who also holds Teach the Airway Teacher (TAT) certification. Each had four years of experience in </w:t>
            </w:r>
            <w:r w:rsidRPr="00C20BA9">
              <w:rPr>
                <w:rFonts w:ascii="Arial" w:hAnsi="Arial" w:cs="Arial"/>
                <w:sz w:val="24"/>
                <w:szCs w:val="24"/>
              </w:rPr>
              <w:lastRenderedPageBreak/>
              <w:t>interprofessional clinical simulation. The interprofessional composition of the pair was deliberate, so that the co-facilitators acted as role models for the collaboration the intervention sought to develop.</w:t>
            </w:r>
          </w:p>
        </w:tc>
      </w:tr>
      <w:tr w:rsidR="002E28E3" w:rsidRPr="00C20BA9" w14:paraId="41B10D7D" w14:textId="77777777">
        <w:trPr>
          <w:jc w:val="center"/>
        </w:trPr>
        <w:tc>
          <w:tcPr>
            <w:tcW w:w="1814" w:type="dxa"/>
          </w:tcPr>
          <w:p w14:paraId="6821451C" w14:textId="77777777" w:rsidR="002E28E3" w:rsidRPr="00C20BA9" w:rsidRDefault="002E28E3">
            <w:pPr>
              <w:rPr>
                <w:rFonts w:ascii="Arial" w:hAnsi="Arial" w:cs="Arial"/>
                <w:sz w:val="24"/>
                <w:szCs w:val="24"/>
              </w:rPr>
            </w:pPr>
          </w:p>
        </w:tc>
        <w:tc>
          <w:tcPr>
            <w:tcW w:w="2041" w:type="dxa"/>
          </w:tcPr>
          <w:p w14:paraId="5F653164" w14:textId="77777777" w:rsidR="002E28E3" w:rsidRPr="00C20BA9" w:rsidRDefault="00000000">
            <w:pPr>
              <w:rPr>
                <w:rFonts w:ascii="Arial" w:hAnsi="Arial" w:cs="Arial"/>
                <w:sz w:val="24"/>
                <w:szCs w:val="24"/>
              </w:rPr>
            </w:pPr>
            <w:r w:rsidRPr="00C20BA9">
              <w:rPr>
                <w:rFonts w:ascii="Arial" w:hAnsi="Arial" w:cs="Arial"/>
                <w:sz w:val="24"/>
                <w:szCs w:val="24"/>
              </w:rPr>
              <w:t>Content</w:t>
            </w:r>
          </w:p>
        </w:tc>
        <w:tc>
          <w:tcPr>
            <w:tcW w:w="5783" w:type="dxa"/>
          </w:tcPr>
          <w:p w14:paraId="4824AA96" w14:textId="77777777" w:rsidR="002E28E3" w:rsidRPr="00C20BA9" w:rsidRDefault="00000000">
            <w:pPr>
              <w:rPr>
                <w:rFonts w:ascii="Arial" w:hAnsi="Arial" w:cs="Arial"/>
                <w:sz w:val="24"/>
                <w:szCs w:val="24"/>
              </w:rPr>
            </w:pPr>
            <w:r w:rsidRPr="00C20BA9">
              <w:rPr>
                <w:rFonts w:ascii="Arial" w:hAnsi="Arial" w:cs="Arial"/>
                <w:sz w:val="24"/>
                <w:szCs w:val="24"/>
              </w:rPr>
              <w:t>Clinical and technical management of local anaesthetic systemic toxicity together with teamwork and non-technical skills: closed-loop communication, leadership, role allocation and speaking up. In line with the INACSL Sim-IPE standard, the script included a structured phase devoted to the operational role of the healthcare assistant in managing the crisis. No quantitative performance data were fed back to the teams.</w:t>
            </w:r>
          </w:p>
        </w:tc>
      </w:tr>
      <w:tr w:rsidR="002E28E3" w:rsidRPr="00C20BA9" w14:paraId="60E0778D" w14:textId="77777777">
        <w:trPr>
          <w:jc w:val="center"/>
        </w:trPr>
        <w:tc>
          <w:tcPr>
            <w:tcW w:w="1814" w:type="dxa"/>
          </w:tcPr>
          <w:p w14:paraId="405F5BD0" w14:textId="77777777" w:rsidR="002E28E3" w:rsidRPr="00C20BA9" w:rsidRDefault="002E28E3">
            <w:pPr>
              <w:rPr>
                <w:rFonts w:ascii="Arial" w:hAnsi="Arial" w:cs="Arial"/>
                <w:sz w:val="24"/>
                <w:szCs w:val="24"/>
              </w:rPr>
            </w:pPr>
          </w:p>
        </w:tc>
        <w:tc>
          <w:tcPr>
            <w:tcW w:w="2041" w:type="dxa"/>
          </w:tcPr>
          <w:p w14:paraId="25520784" w14:textId="77777777" w:rsidR="002E28E3" w:rsidRPr="00C20BA9" w:rsidRDefault="00000000">
            <w:pPr>
              <w:rPr>
                <w:rFonts w:ascii="Arial" w:hAnsi="Arial" w:cs="Arial"/>
                <w:sz w:val="24"/>
                <w:szCs w:val="24"/>
              </w:rPr>
            </w:pPr>
            <w:r w:rsidRPr="00C20BA9">
              <w:rPr>
                <w:rFonts w:ascii="Arial" w:hAnsi="Arial" w:cs="Arial"/>
                <w:sz w:val="24"/>
                <w:szCs w:val="24"/>
              </w:rPr>
              <w:t>Structure / method</w:t>
            </w:r>
          </w:p>
        </w:tc>
        <w:tc>
          <w:tcPr>
            <w:tcW w:w="5783" w:type="dxa"/>
          </w:tcPr>
          <w:p w14:paraId="56F71B55" w14:textId="77777777" w:rsidR="002E28E3" w:rsidRPr="00C20BA9" w:rsidRDefault="00000000">
            <w:pPr>
              <w:rPr>
                <w:rFonts w:ascii="Arial" w:hAnsi="Arial" w:cs="Arial"/>
                <w:sz w:val="24"/>
                <w:szCs w:val="24"/>
              </w:rPr>
            </w:pPr>
            <w:r w:rsidRPr="00C20BA9">
              <w:rPr>
                <w:rFonts w:ascii="Arial" w:hAnsi="Arial" w:cs="Arial"/>
                <w:sz w:val="24"/>
                <w:szCs w:val="24"/>
              </w:rPr>
              <w:t>PEARLS, with its four sequential phases, delivered as interprofessional co-debriefing and organised around the records made on the facilitators' observation grid. PEARLS was chosen because it brings self-assessment, focused facilitation and directive feedback together in a single framework and is therefore easier to standardise across settings than models based on appreciative inquiry alone.</w:t>
            </w:r>
          </w:p>
        </w:tc>
      </w:tr>
      <w:tr w:rsidR="002E28E3" w:rsidRPr="00C20BA9" w14:paraId="7CFC9BBC" w14:textId="77777777">
        <w:trPr>
          <w:jc w:val="center"/>
        </w:trPr>
        <w:tc>
          <w:tcPr>
            <w:tcW w:w="1814" w:type="dxa"/>
          </w:tcPr>
          <w:p w14:paraId="1E5736BD" w14:textId="77777777" w:rsidR="002E28E3" w:rsidRPr="00C20BA9" w:rsidRDefault="002E28E3">
            <w:pPr>
              <w:rPr>
                <w:rFonts w:ascii="Arial" w:hAnsi="Arial" w:cs="Arial"/>
                <w:sz w:val="24"/>
                <w:szCs w:val="24"/>
              </w:rPr>
            </w:pPr>
          </w:p>
        </w:tc>
        <w:tc>
          <w:tcPr>
            <w:tcW w:w="2041" w:type="dxa"/>
          </w:tcPr>
          <w:p w14:paraId="12DBB453" w14:textId="77777777" w:rsidR="002E28E3" w:rsidRPr="00C20BA9" w:rsidRDefault="00000000">
            <w:pPr>
              <w:rPr>
                <w:rFonts w:ascii="Arial" w:hAnsi="Arial" w:cs="Arial"/>
                <w:sz w:val="24"/>
                <w:szCs w:val="24"/>
              </w:rPr>
            </w:pPr>
            <w:r w:rsidRPr="00C20BA9">
              <w:rPr>
                <w:rFonts w:ascii="Arial" w:hAnsi="Arial" w:cs="Arial"/>
                <w:sz w:val="24"/>
                <w:szCs w:val="24"/>
              </w:rPr>
              <w:t>Timing</w:t>
            </w:r>
          </w:p>
        </w:tc>
        <w:tc>
          <w:tcPr>
            <w:tcW w:w="5783" w:type="dxa"/>
          </w:tcPr>
          <w:p w14:paraId="11A18875" w14:textId="77777777" w:rsidR="002E28E3" w:rsidRPr="00C20BA9" w:rsidRDefault="00000000">
            <w:pPr>
              <w:rPr>
                <w:rFonts w:ascii="Arial" w:hAnsi="Arial" w:cs="Arial"/>
                <w:sz w:val="24"/>
                <w:szCs w:val="24"/>
              </w:rPr>
            </w:pPr>
            <w:r w:rsidRPr="00C20BA9">
              <w:rPr>
                <w:rFonts w:ascii="Arial" w:hAnsi="Arial" w:cs="Arial"/>
                <w:sz w:val="24"/>
                <w:szCs w:val="24"/>
              </w:rPr>
              <w:t>Terminal. The debriefing took place after the scenario had ended, not concurrently with it.</w:t>
            </w:r>
          </w:p>
        </w:tc>
      </w:tr>
      <w:tr w:rsidR="002E28E3" w:rsidRPr="00C20BA9" w14:paraId="7C53B807" w14:textId="77777777">
        <w:trPr>
          <w:jc w:val="center"/>
        </w:trPr>
        <w:tc>
          <w:tcPr>
            <w:tcW w:w="1814" w:type="dxa"/>
          </w:tcPr>
          <w:p w14:paraId="01EF7416" w14:textId="77777777" w:rsidR="002E28E3" w:rsidRPr="00C20BA9" w:rsidRDefault="002E28E3">
            <w:pPr>
              <w:rPr>
                <w:rFonts w:ascii="Arial" w:hAnsi="Arial" w:cs="Arial"/>
                <w:sz w:val="24"/>
                <w:szCs w:val="24"/>
              </w:rPr>
            </w:pPr>
          </w:p>
        </w:tc>
        <w:tc>
          <w:tcPr>
            <w:tcW w:w="2041" w:type="dxa"/>
          </w:tcPr>
          <w:p w14:paraId="5A451BF9" w14:textId="77777777" w:rsidR="002E28E3" w:rsidRPr="00C20BA9" w:rsidRDefault="00000000">
            <w:pPr>
              <w:rPr>
                <w:rFonts w:ascii="Arial" w:hAnsi="Arial" w:cs="Arial"/>
                <w:sz w:val="24"/>
                <w:szCs w:val="24"/>
              </w:rPr>
            </w:pPr>
            <w:r w:rsidRPr="00C20BA9">
              <w:rPr>
                <w:rFonts w:ascii="Arial" w:hAnsi="Arial" w:cs="Arial"/>
                <w:sz w:val="24"/>
                <w:szCs w:val="24"/>
              </w:rPr>
              <w:t>Video</w:t>
            </w:r>
          </w:p>
        </w:tc>
        <w:tc>
          <w:tcPr>
            <w:tcW w:w="5783" w:type="dxa"/>
          </w:tcPr>
          <w:p w14:paraId="284F1134" w14:textId="77777777" w:rsidR="002E28E3" w:rsidRPr="00C20BA9" w:rsidRDefault="00000000">
            <w:pPr>
              <w:rPr>
                <w:rFonts w:ascii="Arial" w:hAnsi="Arial" w:cs="Arial"/>
                <w:sz w:val="24"/>
                <w:szCs w:val="24"/>
              </w:rPr>
            </w:pPr>
            <w:r w:rsidRPr="00C20BA9">
              <w:rPr>
                <w:rFonts w:ascii="Arial" w:hAnsi="Arial" w:cs="Arial"/>
                <w:sz w:val="24"/>
                <w:szCs w:val="24"/>
              </w:rPr>
              <w:t>No video recording and no video-assisted debriefing were used in either setting. The debriefing was structured around the facilitators' direct observation, recorded on the observation grid (Additional File 4).</w:t>
            </w:r>
          </w:p>
        </w:tc>
      </w:tr>
      <w:tr w:rsidR="002E28E3" w:rsidRPr="00C20BA9" w14:paraId="03CA9FB2" w14:textId="77777777">
        <w:trPr>
          <w:jc w:val="center"/>
        </w:trPr>
        <w:tc>
          <w:tcPr>
            <w:tcW w:w="1814" w:type="dxa"/>
          </w:tcPr>
          <w:p w14:paraId="32C7D0F7" w14:textId="77777777" w:rsidR="002E28E3" w:rsidRPr="00C20BA9" w:rsidRDefault="002E28E3">
            <w:pPr>
              <w:rPr>
                <w:rFonts w:ascii="Arial" w:hAnsi="Arial" w:cs="Arial"/>
                <w:sz w:val="24"/>
                <w:szCs w:val="24"/>
              </w:rPr>
            </w:pPr>
          </w:p>
        </w:tc>
        <w:tc>
          <w:tcPr>
            <w:tcW w:w="2041" w:type="dxa"/>
          </w:tcPr>
          <w:p w14:paraId="36A86747" w14:textId="77777777" w:rsidR="002E28E3" w:rsidRPr="00C20BA9" w:rsidRDefault="00000000">
            <w:pPr>
              <w:rPr>
                <w:rFonts w:ascii="Arial" w:hAnsi="Arial" w:cs="Arial"/>
                <w:sz w:val="24"/>
                <w:szCs w:val="24"/>
              </w:rPr>
            </w:pPr>
            <w:r w:rsidRPr="00C20BA9">
              <w:rPr>
                <w:rFonts w:ascii="Arial" w:hAnsi="Arial" w:cs="Arial"/>
                <w:sz w:val="24"/>
                <w:szCs w:val="24"/>
              </w:rPr>
              <w:t>Scripting</w:t>
            </w:r>
          </w:p>
        </w:tc>
        <w:tc>
          <w:tcPr>
            <w:tcW w:w="5783" w:type="dxa"/>
          </w:tcPr>
          <w:p w14:paraId="758ED692" w14:textId="77777777" w:rsidR="002E28E3" w:rsidRPr="00C20BA9" w:rsidRDefault="00000000">
            <w:pPr>
              <w:rPr>
                <w:rFonts w:ascii="Arial" w:hAnsi="Arial" w:cs="Arial"/>
                <w:sz w:val="24"/>
                <w:szCs w:val="24"/>
              </w:rPr>
            </w:pPr>
            <w:r w:rsidRPr="00C20BA9">
              <w:rPr>
                <w:rFonts w:ascii="Arial" w:hAnsi="Arial" w:cs="Arial"/>
                <w:sz w:val="24"/>
                <w:szCs w:val="24"/>
              </w:rPr>
              <w:t>Yes. A standardised debriefing script based on the PEARLS healthcare debriefing tool was used in every session of both settings and is provided in Additional File 3.</w:t>
            </w:r>
          </w:p>
        </w:tc>
      </w:tr>
    </w:tbl>
    <w:p w14:paraId="0F5D1E7F" w14:textId="77777777" w:rsidR="002E28E3" w:rsidRPr="00C20BA9" w:rsidRDefault="002E28E3">
      <w:pPr>
        <w:rPr>
          <w:rFonts w:ascii="Arial" w:hAnsi="Arial" w:cs="Arial"/>
          <w:sz w:val="24"/>
          <w:szCs w:val="24"/>
        </w:rPr>
      </w:pPr>
    </w:p>
    <w:p w14:paraId="0267B5C6" w14:textId="77777777" w:rsidR="002E28E3" w:rsidRPr="00C20BA9" w:rsidRDefault="00000000">
      <w:pPr>
        <w:spacing w:before="200" w:after="80"/>
        <w:rPr>
          <w:rFonts w:ascii="Arial" w:hAnsi="Arial" w:cs="Arial"/>
          <w:sz w:val="24"/>
          <w:szCs w:val="24"/>
        </w:rPr>
      </w:pPr>
      <w:r w:rsidRPr="00C20BA9">
        <w:rPr>
          <w:rFonts w:ascii="Arial" w:hAnsi="Arial" w:cs="Arial"/>
          <w:b/>
          <w:sz w:val="24"/>
          <w:szCs w:val="24"/>
        </w:rPr>
        <w:t>CONSORT extensions for simulation-based research (Cheng et al., Table 1)</w:t>
      </w:r>
    </w:p>
    <w:p w14:paraId="5FB512EB" w14:textId="77777777" w:rsidR="002E28E3" w:rsidRPr="00C20BA9" w:rsidRDefault="00000000">
      <w:pPr>
        <w:spacing w:after="80"/>
        <w:rPr>
          <w:rFonts w:ascii="Arial" w:hAnsi="Arial" w:cs="Arial"/>
          <w:sz w:val="24"/>
          <w:szCs w:val="24"/>
        </w:rPr>
      </w:pPr>
      <w:r w:rsidRPr="00C20BA9">
        <w:rPr>
          <w:rFonts w:ascii="Arial" w:hAnsi="Arial" w:cs="Arial"/>
          <w:sz w:val="24"/>
          <w:szCs w:val="24"/>
        </w:rPr>
        <w:t>Mapping of the eleven simulation-specific extensions onto the manuscript. The CONSORT 2025 item number is given in brackets for cross-reference with the completed CONSORT checklist.</w:t>
      </w:r>
    </w:p>
    <w:tbl>
      <w:tblPr>
        <w:tblStyle w:val="TabelacomGrelha"/>
        <w:tblW w:w="0" w:type="auto"/>
        <w:tblLayout w:type="fixed"/>
        <w:tblLook w:val="04A0" w:firstRow="1" w:lastRow="0" w:firstColumn="1" w:lastColumn="0" w:noHBand="0" w:noVBand="1"/>
      </w:tblPr>
      <w:tblGrid>
        <w:gridCol w:w="2041"/>
        <w:gridCol w:w="2948"/>
        <w:gridCol w:w="4649"/>
      </w:tblGrid>
      <w:tr w:rsidR="002E28E3" w:rsidRPr="00C20BA9" w14:paraId="3997299F" w14:textId="77777777">
        <w:tc>
          <w:tcPr>
            <w:tcW w:w="2041" w:type="dxa"/>
          </w:tcPr>
          <w:p w14:paraId="40A39EBC" w14:textId="77777777" w:rsidR="002E28E3" w:rsidRPr="00C20BA9" w:rsidRDefault="00000000">
            <w:pPr>
              <w:rPr>
                <w:rFonts w:ascii="Arial" w:hAnsi="Arial" w:cs="Arial"/>
                <w:sz w:val="24"/>
                <w:szCs w:val="24"/>
              </w:rPr>
            </w:pPr>
            <w:r w:rsidRPr="00C20BA9">
              <w:rPr>
                <w:rFonts w:ascii="Arial" w:hAnsi="Arial" w:cs="Arial"/>
                <w:b/>
                <w:sz w:val="24"/>
                <w:szCs w:val="24"/>
              </w:rPr>
              <w:t>Extension item</w:t>
            </w:r>
          </w:p>
        </w:tc>
        <w:tc>
          <w:tcPr>
            <w:tcW w:w="2948" w:type="dxa"/>
          </w:tcPr>
          <w:p w14:paraId="600D6936" w14:textId="77777777" w:rsidR="002E28E3" w:rsidRPr="00C20BA9" w:rsidRDefault="00000000">
            <w:pPr>
              <w:rPr>
                <w:rFonts w:ascii="Arial" w:hAnsi="Arial" w:cs="Arial"/>
                <w:sz w:val="24"/>
                <w:szCs w:val="24"/>
              </w:rPr>
            </w:pPr>
            <w:r w:rsidRPr="00C20BA9">
              <w:rPr>
                <w:rFonts w:ascii="Arial" w:hAnsi="Arial" w:cs="Arial"/>
                <w:b/>
                <w:sz w:val="24"/>
                <w:szCs w:val="24"/>
              </w:rPr>
              <w:t>What the guideline requires</w:t>
            </w:r>
          </w:p>
        </w:tc>
        <w:tc>
          <w:tcPr>
            <w:tcW w:w="4649" w:type="dxa"/>
          </w:tcPr>
          <w:p w14:paraId="7D8A316D" w14:textId="77777777" w:rsidR="002E28E3" w:rsidRPr="00C20BA9" w:rsidRDefault="00000000">
            <w:pPr>
              <w:rPr>
                <w:rFonts w:ascii="Arial" w:hAnsi="Arial" w:cs="Arial"/>
                <w:sz w:val="24"/>
                <w:szCs w:val="24"/>
              </w:rPr>
            </w:pPr>
            <w:r w:rsidRPr="00C20BA9">
              <w:rPr>
                <w:rFonts w:ascii="Arial" w:hAnsi="Arial" w:cs="Arial"/>
                <w:b/>
                <w:sz w:val="24"/>
                <w:szCs w:val="24"/>
              </w:rPr>
              <w:t>Status in this manuscript</w:t>
            </w:r>
          </w:p>
        </w:tc>
      </w:tr>
      <w:tr w:rsidR="002E28E3" w:rsidRPr="00C20BA9" w14:paraId="4704C1A4" w14:textId="77777777">
        <w:tc>
          <w:tcPr>
            <w:tcW w:w="2041" w:type="dxa"/>
          </w:tcPr>
          <w:p w14:paraId="7724785F" w14:textId="77777777" w:rsidR="002E28E3" w:rsidRPr="00C20BA9" w:rsidRDefault="00000000">
            <w:pPr>
              <w:rPr>
                <w:rFonts w:ascii="Arial" w:hAnsi="Arial" w:cs="Arial"/>
                <w:sz w:val="24"/>
                <w:szCs w:val="24"/>
              </w:rPr>
            </w:pPr>
            <w:r w:rsidRPr="00C20BA9">
              <w:rPr>
                <w:rFonts w:ascii="Arial" w:hAnsi="Arial" w:cs="Arial"/>
                <w:b/>
                <w:sz w:val="24"/>
                <w:szCs w:val="24"/>
              </w:rPr>
              <w:t>1. Title and abstract [1a, 1b]</w:t>
            </w:r>
          </w:p>
        </w:tc>
        <w:tc>
          <w:tcPr>
            <w:tcW w:w="2948" w:type="dxa"/>
          </w:tcPr>
          <w:p w14:paraId="4D2ADCE1" w14:textId="77777777" w:rsidR="002E28E3" w:rsidRPr="00C20BA9" w:rsidRDefault="00000000">
            <w:pPr>
              <w:rPr>
                <w:rFonts w:ascii="Arial" w:hAnsi="Arial" w:cs="Arial"/>
                <w:sz w:val="24"/>
                <w:szCs w:val="24"/>
              </w:rPr>
            </w:pPr>
            <w:r w:rsidRPr="00C20BA9">
              <w:rPr>
                <w:rFonts w:ascii="Arial" w:hAnsi="Arial" w:cs="Arial"/>
                <w:sz w:val="24"/>
                <w:szCs w:val="24"/>
              </w:rPr>
              <w:t>In abstract or key terms, the searchable keyword must include 'simulation' or 'simulated'.</w:t>
            </w:r>
          </w:p>
        </w:tc>
        <w:tc>
          <w:tcPr>
            <w:tcW w:w="4649" w:type="dxa"/>
          </w:tcPr>
          <w:p w14:paraId="0068940F" w14:textId="77777777" w:rsidR="002E28E3" w:rsidRPr="00C20BA9" w:rsidRDefault="00000000">
            <w:pPr>
              <w:rPr>
                <w:rFonts w:ascii="Arial" w:hAnsi="Arial" w:cs="Arial"/>
                <w:sz w:val="24"/>
                <w:szCs w:val="24"/>
              </w:rPr>
            </w:pPr>
            <w:r w:rsidRPr="00C20BA9">
              <w:rPr>
                <w:rFonts w:ascii="Arial" w:hAnsi="Arial" w:cs="Arial"/>
                <w:sz w:val="24"/>
                <w:szCs w:val="24"/>
              </w:rPr>
              <w:t>Met. The title, the abstract and the keywords contain 'simulation' and 'in situ simulation'.</w:t>
            </w:r>
          </w:p>
        </w:tc>
      </w:tr>
      <w:tr w:rsidR="002E28E3" w:rsidRPr="00C20BA9" w14:paraId="758EB9F5" w14:textId="77777777">
        <w:tc>
          <w:tcPr>
            <w:tcW w:w="2041" w:type="dxa"/>
          </w:tcPr>
          <w:p w14:paraId="1C858148" w14:textId="77777777" w:rsidR="002E28E3" w:rsidRPr="00C20BA9" w:rsidRDefault="00000000">
            <w:pPr>
              <w:rPr>
                <w:rFonts w:ascii="Arial" w:hAnsi="Arial" w:cs="Arial"/>
                <w:sz w:val="24"/>
                <w:szCs w:val="24"/>
              </w:rPr>
            </w:pPr>
            <w:r w:rsidRPr="00C20BA9">
              <w:rPr>
                <w:rFonts w:ascii="Arial" w:hAnsi="Arial" w:cs="Arial"/>
                <w:b/>
                <w:sz w:val="24"/>
                <w:szCs w:val="24"/>
              </w:rPr>
              <w:lastRenderedPageBreak/>
              <w:t>2. Background [6]</w:t>
            </w:r>
          </w:p>
        </w:tc>
        <w:tc>
          <w:tcPr>
            <w:tcW w:w="2948" w:type="dxa"/>
          </w:tcPr>
          <w:p w14:paraId="48BD5AB5" w14:textId="77777777" w:rsidR="002E28E3" w:rsidRPr="00C20BA9" w:rsidRDefault="00000000">
            <w:pPr>
              <w:rPr>
                <w:rFonts w:ascii="Arial" w:hAnsi="Arial" w:cs="Arial"/>
                <w:sz w:val="24"/>
                <w:szCs w:val="24"/>
              </w:rPr>
            </w:pPr>
            <w:r w:rsidRPr="00C20BA9">
              <w:rPr>
                <w:rFonts w:ascii="Arial" w:hAnsi="Arial" w:cs="Arial"/>
                <w:sz w:val="24"/>
                <w:szCs w:val="24"/>
              </w:rPr>
              <w:t>Clarify whether simulation is the subject of the research or the investigational method.</w:t>
            </w:r>
          </w:p>
        </w:tc>
        <w:tc>
          <w:tcPr>
            <w:tcW w:w="4649" w:type="dxa"/>
          </w:tcPr>
          <w:p w14:paraId="234DAA65" w14:textId="77777777" w:rsidR="002E28E3" w:rsidRPr="00C20BA9" w:rsidRDefault="00000000">
            <w:pPr>
              <w:rPr>
                <w:rFonts w:ascii="Arial" w:hAnsi="Arial" w:cs="Arial"/>
                <w:sz w:val="24"/>
                <w:szCs w:val="24"/>
              </w:rPr>
            </w:pPr>
            <w:r w:rsidRPr="00C20BA9">
              <w:rPr>
                <w:rFonts w:ascii="Arial" w:hAnsi="Arial" w:cs="Arial"/>
                <w:sz w:val="24"/>
                <w:szCs w:val="24"/>
              </w:rPr>
              <w:t>Met. Background, final paragraph: simulation is the subject of the research and not only its method, the independent variable being the physical setting in which an otherwise identical simulation-based intervention is delivered.</w:t>
            </w:r>
          </w:p>
        </w:tc>
      </w:tr>
      <w:tr w:rsidR="002E28E3" w:rsidRPr="00C20BA9" w14:paraId="377C8BFC" w14:textId="77777777">
        <w:tc>
          <w:tcPr>
            <w:tcW w:w="2041" w:type="dxa"/>
          </w:tcPr>
          <w:p w14:paraId="7F80E0F7" w14:textId="77777777" w:rsidR="002E28E3" w:rsidRPr="00C20BA9" w:rsidRDefault="00000000">
            <w:pPr>
              <w:rPr>
                <w:rFonts w:ascii="Arial" w:hAnsi="Arial" w:cs="Arial"/>
                <w:sz w:val="24"/>
                <w:szCs w:val="24"/>
              </w:rPr>
            </w:pPr>
            <w:r w:rsidRPr="00C20BA9">
              <w:rPr>
                <w:rFonts w:ascii="Arial" w:hAnsi="Arial" w:cs="Arial"/>
                <w:b/>
                <w:sz w:val="24"/>
                <w:szCs w:val="24"/>
              </w:rPr>
              <w:t>5. Interventions [13]</w:t>
            </w:r>
          </w:p>
        </w:tc>
        <w:tc>
          <w:tcPr>
            <w:tcW w:w="2948" w:type="dxa"/>
          </w:tcPr>
          <w:p w14:paraId="0E435267" w14:textId="77777777" w:rsidR="002E28E3" w:rsidRPr="00C20BA9" w:rsidRDefault="00000000">
            <w:pPr>
              <w:rPr>
                <w:rFonts w:ascii="Arial" w:hAnsi="Arial" w:cs="Arial"/>
                <w:sz w:val="24"/>
                <w:szCs w:val="24"/>
              </w:rPr>
            </w:pPr>
            <w:r w:rsidRPr="00C20BA9">
              <w:rPr>
                <w:rFonts w:ascii="Arial" w:hAnsi="Arial" w:cs="Arial"/>
                <w:sz w:val="24"/>
                <w:szCs w:val="24"/>
              </w:rPr>
              <w:t>Theoretical or conceptual rationale for the design of each intervention; all simulation-specific exposures, potential confounders and effect modifiers.</w:t>
            </w:r>
          </w:p>
        </w:tc>
        <w:tc>
          <w:tcPr>
            <w:tcW w:w="4649" w:type="dxa"/>
          </w:tcPr>
          <w:p w14:paraId="47BCF7D5" w14:textId="77777777" w:rsidR="002E28E3" w:rsidRPr="00C20BA9" w:rsidRDefault="00000000">
            <w:pPr>
              <w:rPr>
                <w:rFonts w:ascii="Arial" w:hAnsi="Arial" w:cs="Arial"/>
                <w:sz w:val="24"/>
                <w:szCs w:val="24"/>
              </w:rPr>
            </w:pPr>
            <w:r w:rsidRPr="00C20BA9">
              <w:rPr>
                <w:rFonts w:ascii="Arial" w:hAnsi="Arial" w:cs="Arial"/>
                <w:sz w:val="24"/>
                <w:szCs w:val="24"/>
              </w:rPr>
              <w:t>Met. The rationale is given (INACSL simulation design standard, PEARLS and the INACSL Sim-IPE standard) and the eleven standardised parameters are in Table 1 of the manuscript. Methods, Equivalence matrix of the settings, paragraph 3, lists the simulation-specific exposures that could not be standardised in situ: continuing clinical activity and the noise that it entails, the participants' familiarity with the space, and the presence of their line managers in the service. The same paragraph identifies professional category and previous simulation experience as potential effect modifiers, the first balanced by the allocation procedure and the second recorded at baseline.</w:t>
            </w:r>
          </w:p>
        </w:tc>
      </w:tr>
      <w:tr w:rsidR="002E28E3" w:rsidRPr="00C20BA9" w14:paraId="78339959" w14:textId="77777777">
        <w:tc>
          <w:tcPr>
            <w:tcW w:w="2041" w:type="dxa"/>
          </w:tcPr>
          <w:p w14:paraId="401301B6" w14:textId="77777777" w:rsidR="002E28E3" w:rsidRPr="00C20BA9" w:rsidRDefault="00000000">
            <w:pPr>
              <w:rPr>
                <w:rFonts w:ascii="Arial" w:hAnsi="Arial" w:cs="Arial"/>
                <w:sz w:val="24"/>
                <w:szCs w:val="24"/>
              </w:rPr>
            </w:pPr>
            <w:r w:rsidRPr="00C20BA9">
              <w:rPr>
                <w:rFonts w:ascii="Arial" w:hAnsi="Arial" w:cs="Arial"/>
                <w:b/>
                <w:sz w:val="24"/>
                <w:szCs w:val="24"/>
              </w:rPr>
              <w:t>6. Outcomes [14]</w:t>
            </w:r>
          </w:p>
        </w:tc>
        <w:tc>
          <w:tcPr>
            <w:tcW w:w="2948" w:type="dxa"/>
          </w:tcPr>
          <w:p w14:paraId="343581AE" w14:textId="77777777" w:rsidR="002E28E3" w:rsidRPr="00C20BA9" w:rsidRDefault="00000000">
            <w:pPr>
              <w:rPr>
                <w:rFonts w:ascii="Arial" w:hAnsi="Arial" w:cs="Arial"/>
                <w:sz w:val="24"/>
                <w:szCs w:val="24"/>
              </w:rPr>
            </w:pPr>
            <w:r w:rsidRPr="00C20BA9">
              <w:rPr>
                <w:rFonts w:ascii="Arial" w:hAnsi="Arial" w:cs="Arial"/>
                <w:sz w:val="24"/>
                <w:szCs w:val="24"/>
              </w:rPr>
              <w:t>Setting, instrument, simulator type and timing of each assessment; evidence of validity and reliability of the assessment tools in this context.</w:t>
            </w:r>
          </w:p>
        </w:tc>
        <w:tc>
          <w:tcPr>
            <w:tcW w:w="4649" w:type="dxa"/>
          </w:tcPr>
          <w:p w14:paraId="03BCAC88" w14:textId="77777777" w:rsidR="002E28E3" w:rsidRPr="00C20BA9" w:rsidRDefault="00000000">
            <w:pPr>
              <w:rPr>
                <w:rFonts w:ascii="Arial" w:hAnsi="Arial" w:cs="Arial"/>
                <w:sz w:val="24"/>
                <w:szCs w:val="24"/>
              </w:rPr>
            </w:pPr>
            <w:r w:rsidRPr="00C20BA9">
              <w:rPr>
                <w:rFonts w:ascii="Arial" w:hAnsi="Arial" w:cs="Arial"/>
                <w:sz w:val="24"/>
                <w:szCs w:val="24"/>
              </w:rPr>
              <w:t xml:space="preserve">Partly met. The instruments, their timing and the absence of a European Portuguese validation are described in Methods, Instruments and variables under study, and in Table 2 of the manuscript. Content validation of the purpose-built knowledge questionnaire is documented: a panel of seven independent experts with perioperative experience (two anaesthetists, two nurses, two healthcare assistants and one simulation specialist), none of whom took part in the trial, appraised the instrument in a structured focus group led by an independent moderator, in four stages, with the principal investigator present only as an observer; the suggestions were incorporated and consensus was reached. No Content Validity Index was computed. Internal consistency in this sample was not computed for any of the scales, and no </w:t>
            </w:r>
            <w:r w:rsidRPr="00C20BA9">
              <w:rPr>
                <w:rFonts w:ascii="Arial" w:hAnsi="Arial" w:cs="Arial"/>
                <w:sz w:val="24"/>
                <w:szCs w:val="24"/>
              </w:rPr>
              <w:lastRenderedPageBreak/>
              <w:t>KR-20 coefficient, item difficulty index or discrimination index was computed for the knowledge questionnaire; the Limitations state this.</w:t>
            </w:r>
          </w:p>
        </w:tc>
      </w:tr>
      <w:tr w:rsidR="002E28E3" w:rsidRPr="00C20BA9" w14:paraId="1A40DFBE" w14:textId="77777777">
        <w:tc>
          <w:tcPr>
            <w:tcW w:w="2041" w:type="dxa"/>
          </w:tcPr>
          <w:p w14:paraId="6E8ED128" w14:textId="77777777" w:rsidR="002E28E3" w:rsidRPr="00C20BA9" w:rsidRDefault="00000000">
            <w:pPr>
              <w:rPr>
                <w:rFonts w:ascii="Arial" w:hAnsi="Arial" w:cs="Arial"/>
                <w:sz w:val="24"/>
                <w:szCs w:val="24"/>
              </w:rPr>
            </w:pPr>
            <w:r w:rsidRPr="00C20BA9">
              <w:rPr>
                <w:rFonts w:ascii="Arial" w:hAnsi="Arial" w:cs="Arial"/>
                <w:b/>
                <w:sz w:val="24"/>
                <w:szCs w:val="24"/>
              </w:rPr>
              <w:lastRenderedPageBreak/>
              <w:t>11. Blinding [20a, 20b]</w:t>
            </w:r>
          </w:p>
        </w:tc>
        <w:tc>
          <w:tcPr>
            <w:tcW w:w="2948" w:type="dxa"/>
          </w:tcPr>
          <w:p w14:paraId="77FAE609" w14:textId="77777777" w:rsidR="002E28E3" w:rsidRPr="00C20BA9" w:rsidRDefault="00000000">
            <w:pPr>
              <w:rPr>
                <w:rFonts w:ascii="Arial" w:hAnsi="Arial" w:cs="Arial"/>
                <w:sz w:val="24"/>
                <w:szCs w:val="24"/>
              </w:rPr>
            </w:pPr>
            <w:r w:rsidRPr="00C20BA9">
              <w:rPr>
                <w:rFonts w:ascii="Arial" w:hAnsi="Arial" w:cs="Arial"/>
                <w:sz w:val="24"/>
                <w:szCs w:val="24"/>
              </w:rPr>
              <w:t>Describe strategies to decrease the risk of bias when blinding is not possible.</w:t>
            </w:r>
          </w:p>
        </w:tc>
        <w:tc>
          <w:tcPr>
            <w:tcW w:w="4649" w:type="dxa"/>
          </w:tcPr>
          <w:p w14:paraId="6F57E6DF" w14:textId="77777777" w:rsidR="002E28E3" w:rsidRPr="00C20BA9" w:rsidRDefault="00000000">
            <w:pPr>
              <w:rPr>
                <w:rFonts w:ascii="Arial" w:hAnsi="Arial" w:cs="Arial"/>
                <w:sz w:val="24"/>
                <w:szCs w:val="24"/>
              </w:rPr>
            </w:pPr>
            <w:r w:rsidRPr="00C20BA9">
              <w:rPr>
                <w:rFonts w:ascii="Arial" w:hAnsi="Arial" w:cs="Arial"/>
                <w:sz w:val="24"/>
                <w:szCs w:val="24"/>
              </w:rPr>
              <w:t>Met. No blinding was implemented, and the manuscript states so. Allocation was concealed until the teams were formally constituted; the scenario, the debriefing script, the timing of the phases and the instruments were fixed in advance and identical in the two settings; the knowledge questionnaire was scored automatically; and the analysis was performed on files pseudonymised through the participant-generated codes, although the analyst was not blinded to the setting.</w:t>
            </w:r>
          </w:p>
        </w:tc>
      </w:tr>
      <w:tr w:rsidR="002E28E3" w:rsidRPr="00C20BA9" w14:paraId="53B32C6B" w14:textId="77777777">
        <w:tc>
          <w:tcPr>
            <w:tcW w:w="2041" w:type="dxa"/>
          </w:tcPr>
          <w:p w14:paraId="45D430B3" w14:textId="77777777" w:rsidR="002E28E3" w:rsidRPr="00C20BA9" w:rsidRDefault="00000000">
            <w:pPr>
              <w:rPr>
                <w:rFonts w:ascii="Arial" w:hAnsi="Arial" w:cs="Arial"/>
                <w:sz w:val="24"/>
                <w:szCs w:val="24"/>
              </w:rPr>
            </w:pPr>
            <w:r w:rsidRPr="00C20BA9">
              <w:rPr>
                <w:rFonts w:ascii="Arial" w:hAnsi="Arial" w:cs="Arial"/>
                <w:b/>
                <w:sz w:val="24"/>
                <w:szCs w:val="24"/>
              </w:rPr>
              <w:t>12. Statistical methods [21a, 21d]</w:t>
            </w:r>
          </w:p>
        </w:tc>
        <w:tc>
          <w:tcPr>
            <w:tcW w:w="2948" w:type="dxa"/>
          </w:tcPr>
          <w:p w14:paraId="785D1119" w14:textId="77777777" w:rsidR="002E28E3" w:rsidRPr="00C20BA9" w:rsidRDefault="00000000">
            <w:pPr>
              <w:rPr>
                <w:rFonts w:ascii="Arial" w:hAnsi="Arial" w:cs="Arial"/>
                <w:sz w:val="24"/>
                <w:szCs w:val="24"/>
              </w:rPr>
            </w:pPr>
            <w:r w:rsidRPr="00C20BA9">
              <w:rPr>
                <w:rFonts w:ascii="Arial" w:hAnsi="Arial" w:cs="Arial"/>
                <w:sz w:val="24"/>
                <w:szCs w:val="24"/>
              </w:rPr>
              <w:t>Clearly indicate the unit of analysis, identify repeated measures and describe how these issues were addressed.</w:t>
            </w:r>
          </w:p>
        </w:tc>
        <w:tc>
          <w:tcPr>
            <w:tcW w:w="4649" w:type="dxa"/>
          </w:tcPr>
          <w:p w14:paraId="2565F6A0" w14:textId="77777777" w:rsidR="002E28E3" w:rsidRPr="00C20BA9" w:rsidRDefault="00000000">
            <w:pPr>
              <w:rPr>
                <w:rFonts w:ascii="Arial" w:hAnsi="Arial" w:cs="Arial"/>
                <w:sz w:val="24"/>
                <w:szCs w:val="24"/>
              </w:rPr>
            </w:pPr>
            <w:r w:rsidRPr="00C20BA9">
              <w:rPr>
                <w:rFonts w:ascii="Arial" w:hAnsi="Arial" w:cs="Arial"/>
                <w:sz w:val="24"/>
                <w:szCs w:val="24"/>
              </w:rPr>
              <w:t>Met. Methods, Sample size and statistical analysis, paragraph 3, declares that allocation was individual while the intervention was delivered in teams, and that the responses of participants who trained together are therefore not strictly independent. The analysis was computed on individual responses, without multilevel modelling, because seven teams per setting would give limited precision to linear mixed models, and the Limitations state the consequence for the p values. Change within each setting was analysed with the Wilcoxon signed-rank test and comparisons between settings with the Mann-Whitney U test.</w:t>
            </w:r>
          </w:p>
        </w:tc>
      </w:tr>
      <w:tr w:rsidR="002E28E3" w:rsidRPr="00C20BA9" w14:paraId="069C390C" w14:textId="77777777">
        <w:tc>
          <w:tcPr>
            <w:tcW w:w="2041" w:type="dxa"/>
          </w:tcPr>
          <w:p w14:paraId="1BBBEBFA" w14:textId="77777777" w:rsidR="002E28E3" w:rsidRPr="00C20BA9" w:rsidRDefault="00000000">
            <w:pPr>
              <w:rPr>
                <w:rFonts w:ascii="Arial" w:hAnsi="Arial" w:cs="Arial"/>
                <w:sz w:val="24"/>
                <w:szCs w:val="24"/>
              </w:rPr>
            </w:pPr>
            <w:r w:rsidRPr="00C20BA9">
              <w:rPr>
                <w:rFonts w:ascii="Arial" w:hAnsi="Arial" w:cs="Arial"/>
                <w:b/>
                <w:sz w:val="24"/>
                <w:szCs w:val="24"/>
              </w:rPr>
              <w:t>15. Baseline data [25]</w:t>
            </w:r>
          </w:p>
        </w:tc>
        <w:tc>
          <w:tcPr>
            <w:tcW w:w="2948" w:type="dxa"/>
          </w:tcPr>
          <w:p w14:paraId="135886E7" w14:textId="77777777" w:rsidR="002E28E3" w:rsidRPr="00C20BA9" w:rsidRDefault="00000000">
            <w:pPr>
              <w:rPr>
                <w:rFonts w:ascii="Arial" w:hAnsi="Arial" w:cs="Arial"/>
                <w:sz w:val="24"/>
                <w:szCs w:val="24"/>
              </w:rPr>
            </w:pPr>
            <w:r w:rsidRPr="00C20BA9">
              <w:rPr>
                <w:rFonts w:ascii="Arial" w:hAnsi="Arial" w:cs="Arial"/>
                <w:sz w:val="24"/>
                <w:szCs w:val="24"/>
              </w:rPr>
              <w:t>Include previous experience with simulation and other features relevant to the intervention.</w:t>
            </w:r>
          </w:p>
        </w:tc>
        <w:tc>
          <w:tcPr>
            <w:tcW w:w="4649" w:type="dxa"/>
          </w:tcPr>
          <w:p w14:paraId="463BFE6B" w14:textId="77777777" w:rsidR="002E28E3" w:rsidRPr="00C20BA9" w:rsidRDefault="00000000">
            <w:pPr>
              <w:rPr>
                <w:rFonts w:ascii="Arial" w:hAnsi="Arial" w:cs="Arial"/>
                <w:sz w:val="24"/>
                <w:szCs w:val="24"/>
              </w:rPr>
            </w:pPr>
            <w:r w:rsidRPr="00C20BA9">
              <w:rPr>
                <w:rFonts w:ascii="Arial" w:hAnsi="Arial" w:cs="Arial"/>
                <w:sz w:val="24"/>
                <w:szCs w:val="24"/>
              </w:rPr>
              <w:t>Met. Previous experience with clinical simulation was recorded at baseline as a dichotomous variable for all 98 participants and is reported in Table 3 of the manuscript. It was balanced between settings (24 of 49 in situ, 49.0%, and 23 of 49 in the centre, 46.9%; p = 0.841) and differed between professional categories (25 of 28 anaesthetists, 89.3%; 22 of 56 nurses, 39.3%; none of the 14 healthcare assistants; p &lt; 0.001), a difference that also holds within each setting.</w:t>
            </w:r>
          </w:p>
        </w:tc>
      </w:tr>
      <w:tr w:rsidR="002E28E3" w:rsidRPr="00C20BA9" w14:paraId="00EA2BBB" w14:textId="77777777">
        <w:tc>
          <w:tcPr>
            <w:tcW w:w="2041" w:type="dxa"/>
          </w:tcPr>
          <w:p w14:paraId="32454399" w14:textId="77777777" w:rsidR="002E28E3" w:rsidRPr="00C20BA9" w:rsidRDefault="00000000">
            <w:pPr>
              <w:rPr>
                <w:rFonts w:ascii="Arial" w:hAnsi="Arial" w:cs="Arial"/>
                <w:sz w:val="24"/>
                <w:szCs w:val="24"/>
              </w:rPr>
            </w:pPr>
            <w:r w:rsidRPr="00C20BA9">
              <w:rPr>
                <w:rFonts w:ascii="Arial" w:hAnsi="Arial" w:cs="Arial"/>
                <w:b/>
                <w:sz w:val="24"/>
                <w:szCs w:val="24"/>
              </w:rPr>
              <w:t xml:space="preserve">17. Outcomes </w:t>
            </w:r>
            <w:r w:rsidRPr="00C20BA9">
              <w:rPr>
                <w:rFonts w:ascii="Arial" w:hAnsi="Arial" w:cs="Arial"/>
                <w:b/>
                <w:sz w:val="24"/>
                <w:szCs w:val="24"/>
              </w:rPr>
              <w:lastRenderedPageBreak/>
              <w:t>and estimation [26]</w:t>
            </w:r>
          </w:p>
        </w:tc>
        <w:tc>
          <w:tcPr>
            <w:tcW w:w="2948" w:type="dxa"/>
          </w:tcPr>
          <w:p w14:paraId="263F0DF0" w14:textId="77777777" w:rsidR="002E28E3" w:rsidRPr="00C20BA9" w:rsidRDefault="00000000">
            <w:pPr>
              <w:rPr>
                <w:rFonts w:ascii="Arial" w:hAnsi="Arial" w:cs="Arial"/>
                <w:sz w:val="24"/>
                <w:szCs w:val="24"/>
              </w:rPr>
            </w:pPr>
            <w:r w:rsidRPr="00C20BA9">
              <w:rPr>
                <w:rFonts w:ascii="Arial" w:hAnsi="Arial" w:cs="Arial"/>
                <w:sz w:val="24"/>
                <w:szCs w:val="24"/>
              </w:rPr>
              <w:lastRenderedPageBreak/>
              <w:t xml:space="preserve">For assessments </w:t>
            </w:r>
            <w:r w:rsidRPr="00C20BA9">
              <w:rPr>
                <w:rFonts w:ascii="Arial" w:hAnsi="Arial" w:cs="Arial"/>
                <w:sz w:val="24"/>
                <w:szCs w:val="24"/>
              </w:rPr>
              <w:lastRenderedPageBreak/>
              <w:t>involving more than one rater, report interrater reliability.</w:t>
            </w:r>
          </w:p>
        </w:tc>
        <w:tc>
          <w:tcPr>
            <w:tcW w:w="4649" w:type="dxa"/>
          </w:tcPr>
          <w:p w14:paraId="5C06835B" w14:textId="77777777" w:rsidR="002E28E3" w:rsidRPr="00C20BA9" w:rsidRDefault="00000000">
            <w:pPr>
              <w:rPr>
                <w:rFonts w:ascii="Arial" w:hAnsi="Arial" w:cs="Arial"/>
                <w:sz w:val="24"/>
                <w:szCs w:val="24"/>
              </w:rPr>
            </w:pPr>
            <w:r w:rsidRPr="00C20BA9">
              <w:rPr>
                <w:rFonts w:ascii="Arial" w:hAnsi="Arial" w:cs="Arial"/>
                <w:sz w:val="24"/>
                <w:szCs w:val="24"/>
              </w:rPr>
              <w:lastRenderedPageBreak/>
              <w:t>Not applicable. All outcomes were self-</w:t>
            </w:r>
            <w:r w:rsidRPr="00C20BA9">
              <w:rPr>
                <w:rFonts w:ascii="Arial" w:hAnsi="Arial" w:cs="Arial"/>
                <w:sz w:val="24"/>
                <w:szCs w:val="24"/>
              </w:rPr>
              <w:lastRenderedPageBreak/>
              <w:t>reported by the participants or scored automatically, so no rater agreement is involved. The facilitators' observation grid was not used as an outcome measure.</w:t>
            </w:r>
          </w:p>
        </w:tc>
      </w:tr>
      <w:tr w:rsidR="002E28E3" w:rsidRPr="00C20BA9" w14:paraId="4AB4DAF6" w14:textId="77777777">
        <w:tc>
          <w:tcPr>
            <w:tcW w:w="2041" w:type="dxa"/>
          </w:tcPr>
          <w:p w14:paraId="329C471A" w14:textId="77777777" w:rsidR="002E28E3" w:rsidRPr="00C20BA9" w:rsidRDefault="00000000">
            <w:pPr>
              <w:rPr>
                <w:rFonts w:ascii="Arial" w:hAnsi="Arial" w:cs="Arial"/>
                <w:sz w:val="24"/>
                <w:szCs w:val="24"/>
              </w:rPr>
            </w:pPr>
            <w:r w:rsidRPr="00C20BA9">
              <w:rPr>
                <w:rFonts w:ascii="Arial" w:hAnsi="Arial" w:cs="Arial"/>
                <w:b/>
                <w:sz w:val="24"/>
                <w:szCs w:val="24"/>
              </w:rPr>
              <w:lastRenderedPageBreak/>
              <w:t>20. Limitations [30]</w:t>
            </w:r>
          </w:p>
        </w:tc>
        <w:tc>
          <w:tcPr>
            <w:tcW w:w="2948" w:type="dxa"/>
          </w:tcPr>
          <w:p w14:paraId="306083B1" w14:textId="77777777" w:rsidR="002E28E3" w:rsidRPr="00C20BA9" w:rsidRDefault="00000000">
            <w:pPr>
              <w:rPr>
                <w:rFonts w:ascii="Arial" w:hAnsi="Arial" w:cs="Arial"/>
                <w:sz w:val="24"/>
                <w:szCs w:val="24"/>
              </w:rPr>
            </w:pPr>
            <w:r w:rsidRPr="00C20BA9">
              <w:rPr>
                <w:rFonts w:ascii="Arial" w:hAnsi="Arial" w:cs="Arial"/>
                <w:sz w:val="24"/>
                <w:szCs w:val="24"/>
              </w:rPr>
              <w:t>Specifically discuss the limitations of simulation-based research.</w:t>
            </w:r>
          </w:p>
        </w:tc>
        <w:tc>
          <w:tcPr>
            <w:tcW w:w="4649" w:type="dxa"/>
          </w:tcPr>
          <w:p w14:paraId="01A8FB14" w14:textId="77777777" w:rsidR="002E28E3" w:rsidRPr="00C20BA9" w:rsidRDefault="00000000">
            <w:pPr>
              <w:rPr>
                <w:rFonts w:ascii="Arial" w:hAnsi="Arial" w:cs="Arial"/>
                <w:sz w:val="24"/>
                <w:szCs w:val="24"/>
              </w:rPr>
            </w:pPr>
            <w:r w:rsidRPr="00C20BA9">
              <w:rPr>
                <w:rFonts w:ascii="Arial" w:hAnsi="Arial" w:cs="Arial"/>
                <w:sz w:val="24"/>
                <w:szCs w:val="24"/>
              </w:rPr>
              <w:t>Met. Discussion, Limitations, paragraphs 3 to 5: reliance on self-report and on the first two Kirkpatrick levels, a single scenario and a single exposure, the absence of an observed measure of team performance, instruments without a European Portuguese validation and validated only in populations of doctors and nurses, and a comparator that was a simulation centre configured to replicate the workplace rather than a generic space.</w:t>
            </w:r>
          </w:p>
        </w:tc>
      </w:tr>
      <w:tr w:rsidR="002E28E3" w:rsidRPr="00C20BA9" w14:paraId="12F06824" w14:textId="77777777">
        <w:tc>
          <w:tcPr>
            <w:tcW w:w="2041" w:type="dxa"/>
          </w:tcPr>
          <w:p w14:paraId="1740E367" w14:textId="77777777" w:rsidR="002E28E3" w:rsidRPr="00C20BA9" w:rsidRDefault="00000000">
            <w:pPr>
              <w:rPr>
                <w:rFonts w:ascii="Arial" w:hAnsi="Arial" w:cs="Arial"/>
                <w:sz w:val="24"/>
                <w:szCs w:val="24"/>
              </w:rPr>
            </w:pPr>
            <w:r w:rsidRPr="00C20BA9">
              <w:rPr>
                <w:rFonts w:ascii="Arial" w:hAnsi="Arial" w:cs="Arial"/>
                <w:b/>
                <w:sz w:val="24"/>
                <w:szCs w:val="24"/>
              </w:rPr>
              <w:t>21. Generalisability [29]</w:t>
            </w:r>
          </w:p>
        </w:tc>
        <w:tc>
          <w:tcPr>
            <w:tcW w:w="2948" w:type="dxa"/>
          </w:tcPr>
          <w:p w14:paraId="2F60AD74" w14:textId="77777777" w:rsidR="002E28E3" w:rsidRPr="00C20BA9" w:rsidRDefault="00000000">
            <w:pPr>
              <w:rPr>
                <w:rFonts w:ascii="Arial" w:hAnsi="Arial" w:cs="Arial"/>
                <w:sz w:val="24"/>
                <w:szCs w:val="24"/>
              </w:rPr>
            </w:pPr>
            <w:r w:rsidRPr="00C20BA9">
              <w:rPr>
                <w:rFonts w:ascii="Arial" w:hAnsi="Arial" w:cs="Arial"/>
                <w:sz w:val="24"/>
                <w:szCs w:val="24"/>
              </w:rPr>
              <w:t>Describe the generalisability of simulation-based outcomes to patient-based outcomes.</w:t>
            </w:r>
          </w:p>
        </w:tc>
        <w:tc>
          <w:tcPr>
            <w:tcW w:w="4649" w:type="dxa"/>
          </w:tcPr>
          <w:p w14:paraId="2AEAF61C" w14:textId="77777777" w:rsidR="002E28E3" w:rsidRPr="00C20BA9" w:rsidRDefault="00000000">
            <w:pPr>
              <w:rPr>
                <w:rFonts w:ascii="Arial" w:hAnsi="Arial" w:cs="Arial"/>
                <w:sz w:val="24"/>
                <w:szCs w:val="24"/>
              </w:rPr>
            </w:pPr>
            <w:r w:rsidRPr="00C20BA9">
              <w:rPr>
                <w:rFonts w:ascii="Arial" w:hAnsi="Arial" w:cs="Arial"/>
                <w:sz w:val="24"/>
                <w:szCs w:val="24"/>
              </w:rPr>
              <w:t>Met in the Discussion, Translational simulation and optimisation of perioperative workflows, and in the Limitations, with the statement that the data do not extend beyond the first two Kirkpatrick levels.</w:t>
            </w:r>
          </w:p>
        </w:tc>
      </w:tr>
      <w:tr w:rsidR="002E28E3" w:rsidRPr="00C20BA9" w14:paraId="356D07EC" w14:textId="77777777">
        <w:tc>
          <w:tcPr>
            <w:tcW w:w="2041" w:type="dxa"/>
          </w:tcPr>
          <w:p w14:paraId="2BD7E9FF" w14:textId="77777777" w:rsidR="002E28E3" w:rsidRPr="00C20BA9" w:rsidRDefault="00000000">
            <w:pPr>
              <w:rPr>
                <w:rFonts w:ascii="Arial" w:hAnsi="Arial" w:cs="Arial"/>
                <w:sz w:val="24"/>
                <w:szCs w:val="24"/>
              </w:rPr>
            </w:pPr>
            <w:r w:rsidRPr="00C20BA9">
              <w:rPr>
                <w:rFonts w:ascii="Arial" w:hAnsi="Arial" w:cs="Arial"/>
                <w:b/>
                <w:sz w:val="24"/>
                <w:szCs w:val="24"/>
              </w:rPr>
              <w:t>25. Funding [5a, 5b]</w:t>
            </w:r>
          </w:p>
        </w:tc>
        <w:tc>
          <w:tcPr>
            <w:tcW w:w="2948" w:type="dxa"/>
          </w:tcPr>
          <w:p w14:paraId="1538A8F7" w14:textId="77777777" w:rsidR="002E28E3" w:rsidRPr="00C20BA9" w:rsidRDefault="00000000">
            <w:pPr>
              <w:rPr>
                <w:rFonts w:ascii="Arial" w:hAnsi="Arial" w:cs="Arial"/>
                <w:sz w:val="24"/>
                <w:szCs w:val="24"/>
              </w:rPr>
            </w:pPr>
            <w:r w:rsidRPr="00C20BA9">
              <w:rPr>
                <w:rFonts w:ascii="Arial" w:hAnsi="Arial" w:cs="Arial"/>
                <w:sz w:val="24"/>
                <w:szCs w:val="24"/>
              </w:rPr>
              <w:t>List the simulator brand and state whether any conflict of interest exists for intellectual property.</w:t>
            </w:r>
          </w:p>
        </w:tc>
        <w:tc>
          <w:tcPr>
            <w:tcW w:w="4649" w:type="dxa"/>
          </w:tcPr>
          <w:p w14:paraId="39B6D097" w14:textId="77777777" w:rsidR="002E28E3" w:rsidRPr="00C20BA9" w:rsidRDefault="00000000">
            <w:pPr>
              <w:rPr>
                <w:rFonts w:ascii="Arial" w:hAnsi="Arial" w:cs="Arial"/>
                <w:sz w:val="24"/>
                <w:szCs w:val="24"/>
              </w:rPr>
            </w:pPr>
            <w:r w:rsidRPr="00C20BA9">
              <w:rPr>
                <w:rFonts w:ascii="Arial" w:hAnsi="Arial" w:cs="Arial"/>
                <w:sz w:val="24"/>
                <w:szCs w:val="24"/>
              </w:rPr>
              <w:t>Met. The trial received no external funding and the authors declare no competing interests. The Competing interests statement records that no author has a financial or intellectual property interest in the simulator, in its control system or in any of the assessment instruments. The simulator is identified by make and model in Table 1 of the manuscript.</w:t>
            </w:r>
          </w:p>
        </w:tc>
      </w:tr>
    </w:tbl>
    <w:p w14:paraId="32D5C51F" w14:textId="77777777" w:rsidR="00FA36A6" w:rsidRPr="00C20BA9" w:rsidRDefault="00FA36A6">
      <w:pPr>
        <w:rPr>
          <w:rFonts w:ascii="Arial" w:hAnsi="Arial" w:cs="Arial"/>
          <w:sz w:val="24"/>
          <w:szCs w:val="24"/>
        </w:rPr>
      </w:pPr>
    </w:p>
    <w:sectPr w:rsidR="00FA36A6" w:rsidRPr="00C20BA9"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mmarc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mmarc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mmarcas"/>
      <w:lvlText w:val=""/>
      <w:lvlJc w:val="left"/>
      <w:pPr>
        <w:tabs>
          <w:tab w:val="num" w:pos="360"/>
        </w:tabs>
        <w:ind w:left="360" w:hanging="360"/>
      </w:pPr>
      <w:rPr>
        <w:rFonts w:ascii="Symbol" w:hAnsi="Symbol" w:hint="default"/>
      </w:rPr>
    </w:lvl>
  </w:abstractNum>
  <w:num w:numId="1" w16cid:durableId="218592478">
    <w:abstractNumId w:val="8"/>
  </w:num>
  <w:num w:numId="2" w16cid:durableId="1450736262">
    <w:abstractNumId w:val="6"/>
  </w:num>
  <w:num w:numId="3" w16cid:durableId="2128886815">
    <w:abstractNumId w:val="5"/>
  </w:num>
  <w:num w:numId="4" w16cid:durableId="1086028407">
    <w:abstractNumId w:val="4"/>
  </w:num>
  <w:num w:numId="5" w16cid:durableId="753821184">
    <w:abstractNumId w:val="7"/>
  </w:num>
  <w:num w:numId="6" w16cid:durableId="1424254556">
    <w:abstractNumId w:val="3"/>
  </w:num>
  <w:num w:numId="7" w16cid:durableId="1624995072">
    <w:abstractNumId w:val="2"/>
  </w:num>
  <w:num w:numId="8" w16cid:durableId="437257679">
    <w:abstractNumId w:val="1"/>
  </w:num>
  <w:num w:numId="9" w16cid:durableId="10296000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22E8"/>
    <w:rsid w:val="0015074B"/>
    <w:rsid w:val="001A1CAF"/>
    <w:rsid w:val="0029639D"/>
    <w:rsid w:val="002E28E3"/>
    <w:rsid w:val="00326F90"/>
    <w:rsid w:val="003F3EB6"/>
    <w:rsid w:val="006071D0"/>
    <w:rsid w:val="007D1BBD"/>
    <w:rsid w:val="008E7C59"/>
    <w:rsid w:val="00AA1D8D"/>
    <w:rsid w:val="00B14236"/>
    <w:rsid w:val="00B47730"/>
    <w:rsid w:val="00C20BA9"/>
    <w:rsid w:val="00CB0664"/>
    <w:rsid w:val="00DF3C52"/>
    <w:rsid w:val="00FA36A6"/>
    <w:rsid w:val="00FC693F"/>
    <w:rsid w:val="00FF72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EAFDDA"/>
  <w14:defaultImageDpi w14:val="300"/>
  <w15:docId w15:val="{611FBB8C-82C6-004B-BC13-9605DE2AF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0"/>
    </w:rPr>
  </w:style>
  <w:style w:type="paragraph" w:styleId="Ttulo1">
    <w:name w:val="heading 1"/>
    <w:basedOn w:val="Normal"/>
    <w:next w:val="Normal"/>
    <w:link w:val="Ttulo1Car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E618BF"/>
    <w:pPr>
      <w:tabs>
        <w:tab w:val="center" w:pos="4680"/>
        <w:tab w:val="right" w:pos="9360"/>
      </w:tabs>
      <w:spacing w:after="0" w:line="240" w:lineRule="auto"/>
    </w:pPr>
  </w:style>
  <w:style w:type="character" w:customStyle="1" w:styleId="CabealhoCarter">
    <w:name w:val="Cabeçalho Caráter"/>
    <w:basedOn w:val="Tipodeletrapredefinidodopargrafo"/>
    <w:link w:val="Cabealho"/>
    <w:uiPriority w:val="99"/>
    <w:rsid w:val="00E618BF"/>
  </w:style>
  <w:style w:type="paragraph" w:styleId="Rodap">
    <w:name w:val="footer"/>
    <w:basedOn w:val="Normal"/>
    <w:link w:val="RodapCarter"/>
    <w:uiPriority w:val="99"/>
    <w:unhideWhenUsed/>
    <w:rsid w:val="00E618BF"/>
    <w:pPr>
      <w:tabs>
        <w:tab w:val="center" w:pos="4680"/>
        <w:tab w:val="right" w:pos="9360"/>
      </w:tabs>
      <w:spacing w:after="0" w:line="240" w:lineRule="auto"/>
    </w:pPr>
  </w:style>
  <w:style w:type="character" w:customStyle="1" w:styleId="RodapCarter">
    <w:name w:val="Rodapé Caráter"/>
    <w:basedOn w:val="Tipodeletrapredefinidodopargraf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arter">
    <w:name w:val="Título 1 Caráter"/>
    <w:basedOn w:val="Tipodeletrapredefinidodopargraf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ter">
    <w:name w:val="Título 2 Caráter"/>
    <w:basedOn w:val="Tipodeletrapredefinidodopargraf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ter">
    <w:name w:val="Título 3 Caráter"/>
    <w:basedOn w:val="Tipodeletrapredefinidodopargraf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ter">
    <w:name w:val="Título Caráter"/>
    <w:basedOn w:val="Tipodeletrapredefinidodopargraf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ter">
    <w:name w:val="Subtítulo Caráter"/>
    <w:basedOn w:val="Tipodeletrapredefinidodopargraf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arter"/>
    <w:uiPriority w:val="99"/>
    <w:unhideWhenUsed/>
    <w:rsid w:val="00AA1D8D"/>
    <w:pPr>
      <w:spacing w:after="120"/>
    </w:pPr>
  </w:style>
  <w:style w:type="character" w:customStyle="1" w:styleId="CorpodetextoCarter">
    <w:name w:val="Corpo de texto Caráter"/>
    <w:basedOn w:val="Tipodeletrapredefinidodopargrafo"/>
    <w:link w:val="Corpodetexto"/>
    <w:uiPriority w:val="99"/>
    <w:rsid w:val="00AA1D8D"/>
  </w:style>
  <w:style w:type="paragraph" w:styleId="Corpodetexto2">
    <w:name w:val="Body Text 2"/>
    <w:basedOn w:val="Normal"/>
    <w:link w:val="Corpodetexto2Carter"/>
    <w:uiPriority w:val="99"/>
    <w:unhideWhenUsed/>
    <w:rsid w:val="00AA1D8D"/>
    <w:pPr>
      <w:spacing w:after="120" w:line="480" w:lineRule="auto"/>
    </w:pPr>
  </w:style>
  <w:style w:type="character" w:customStyle="1" w:styleId="Corpodetexto2Carter">
    <w:name w:val="Corpo de texto 2 Caráter"/>
    <w:basedOn w:val="Tipodeletrapredefinidodopargrafo"/>
    <w:link w:val="Corpodetexto2"/>
    <w:uiPriority w:val="99"/>
    <w:rsid w:val="00AA1D8D"/>
  </w:style>
  <w:style w:type="paragraph" w:styleId="Corpodetexto3">
    <w:name w:val="Body Text 3"/>
    <w:basedOn w:val="Normal"/>
    <w:link w:val="Corpodetexto3Carter"/>
    <w:uiPriority w:val="99"/>
    <w:unhideWhenUsed/>
    <w:rsid w:val="00AA1D8D"/>
    <w:pPr>
      <w:spacing w:after="120"/>
    </w:pPr>
    <w:rPr>
      <w:sz w:val="16"/>
      <w:szCs w:val="16"/>
    </w:rPr>
  </w:style>
  <w:style w:type="character" w:customStyle="1" w:styleId="Corpodetexto3Carter">
    <w:name w:val="Corpo de texto 3 Caráter"/>
    <w:basedOn w:val="Tipodeletrapredefinidodopargraf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mmarcas">
    <w:name w:val="List Bullet"/>
    <w:basedOn w:val="Normal"/>
    <w:uiPriority w:val="99"/>
    <w:unhideWhenUsed/>
    <w:rsid w:val="00326F90"/>
    <w:pPr>
      <w:numPr>
        <w:numId w:val="1"/>
      </w:numPr>
      <w:contextualSpacing/>
    </w:pPr>
  </w:style>
  <w:style w:type="paragraph" w:styleId="Listacommarcas2">
    <w:name w:val="List Bullet 2"/>
    <w:basedOn w:val="Normal"/>
    <w:uiPriority w:val="99"/>
    <w:unhideWhenUsed/>
    <w:rsid w:val="00326F90"/>
    <w:pPr>
      <w:numPr>
        <w:numId w:val="2"/>
      </w:numPr>
      <w:contextualSpacing/>
    </w:pPr>
  </w:style>
  <w:style w:type="paragraph" w:styleId="Listacommarcas3">
    <w:name w:val="List Bullet 3"/>
    <w:basedOn w:val="Normal"/>
    <w:uiPriority w:val="99"/>
    <w:unhideWhenUsed/>
    <w:rsid w:val="00326F90"/>
    <w:pPr>
      <w:numPr>
        <w:numId w:val="3"/>
      </w:numPr>
      <w:contextualSpacing/>
    </w:pPr>
  </w:style>
  <w:style w:type="paragraph" w:styleId="Listanumerada">
    <w:name w:val="List Number"/>
    <w:basedOn w:val="Normal"/>
    <w:uiPriority w:val="99"/>
    <w:unhideWhenUsed/>
    <w:rsid w:val="00326F90"/>
    <w:pPr>
      <w:numPr>
        <w:numId w:val="5"/>
      </w:numPr>
      <w:contextualSpacing/>
    </w:pPr>
  </w:style>
  <w:style w:type="paragraph" w:styleId="Listanumerada2">
    <w:name w:val="List Number 2"/>
    <w:basedOn w:val="Normal"/>
    <w:uiPriority w:val="99"/>
    <w:unhideWhenUsed/>
    <w:rsid w:val="0029639D"/>
    <w:pPr>
      <w:numPr>
        <w:numId w:val="6"/>
      </w:numPr>
      <w:contextualSpacing/>
    </w:pPr>
  </w:style>
  <w:style w:type="paragraph" w:styleId="Listanumerada3">
    <w:name w:val="List Number 3"/>
    <w:basedOn w:val="Normal"/>
    <w:uiPriority w:val="99"/>
    <w:unhideWhenUsed/>
    <w:rsid w:val="0029639D"/>
    <w:pPr>
      <w:numPr>
        <w:numId w:val="7"/>
      </w:numPr>
      <w:contextualSpacing/>
    </w:pPr>
  </w:style>
  <w:style w:type="paragraph" w:styleId="Listadecont">
    <w:name w:val="List Continue"/>
    <w:basedOn w:val="Normal"/>
    <w:uiPriority w:val="99"/>
    <w:unhideWhenUsed/>
    <w:rsid w:val="0029639D"/>
    <w:pPr>
      <w:spacing w:after="120"/>
      <w:ind w:left="360"/>
      <w:contextualSpacing/>
    </w:pPr>
  </w:style>
  <w:style w:type="paragraph" w:styleId="Listadecont2">
    <w:name w:val="List Continue 2"/>
    <w:basedOn w:val="Normal"/>
    <w:uiPriority w:val="99"/>
    <w:unhideWhenUsed/>
    <w:rsid w:val="0029639D"/>
    <w:pPr>
      <w:spacing w:after="120"/>
      <w:ind w:left="720"/>
      <w:contextualSpacing/>
    </w:pPr>
  </w:style>
  <w:style w:type="paragraph" w:styleId="Listadecont3">
    <w:name w:val="List Continue 3"/>
    <w:basedOn w:val="Normal"/>
    <w:uiPriority w:val="99"/>
    <w:unhideWhenUsed/>
    <w:rsid w:val="0029639D"/>
    <w:pPr>
      <w:spacing w:after="120"/>
      <w:ind w:left="1080"/>
      <w:contextualSpacing/>
    </w:pPr>
  </w:style>
  <w:style w:type="paragraph" w:styleId="Textodemacro">
    <w:name w:val="macro"/>
    <w:link w:val="TextodemacroCar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arter">
    <w:name w:val="Texto de macro Caráter"/>
    <w:basedOn w:val="Tipodeletrapredefinidodopargrafo"/>
    <w:link w:val="Textodemacro"/>
    <w:uiPriority w:val="99"/>
    <w:rsid w:val="0029639D"/>
    <w:rPr>
      <w:rFonts w:ascii="Courier" w:hAnsi="Courier"/>
      <w:sz w:val="20"/>
      <w:szCs w:val="20"/>
    </w:rPr>
  </w:style>
  <w:style w:type="paragraph" w:styleId="Citao">
    <w:name w:val="Quote"/>
    <w:basedOn w:val="Normal"/>
    <w:next w:val="Normal"/>
    <w:link w:val="CitaoCarter"/>
    <w:uiPriority w:val="29"/>
    <w:qFormat/>
    <w:rsid w:val="00FC693F"/>
    <w:rPr>
      <w:i/>
      <w:iCs/>
      <w:color w:val="000000" w:themeColor="text1"/>
    </w:rPr>
  </w:style>
  <w:style w:type="character" w:customStyle="1" w:styleId="CitaoCarter">
    <w:name w:val="Citação Caráter"/>
    <w:basedOn w:val="Tipodeletrapredefinidodopargrafo"/>
    <w:link w:val="Citao"/>
    <w:uiPriority w:val="29"/>
    <w:rsid w:val="00FC693F"/>
    <w:rPr>
      <w:i/>
      <w:iCs/>
      <w:color w:val="000000" w:themeColor="text1"/>
    </w:rPr>
  </w:style>
  <w:style w:type="character" w:customStyle="1" w:styleId="Ttulo4Carter">
    <w:name w:val="Título 4 Caráter"/>
    <w:basedOn w:val="Tipodeletrapredefinidodopargraf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ter">
    <w:name w:val="Título 5 Caráter"/>
    <w:basedOn w:val="Tipodeletrapredefinidodopargraf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ter">
    <w:name w:val="Título 6 Caráter"/>
    <w:basedOn w:val="Tipodeletrapredefinidodopargraf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ter">
    <w:name w:val="Título 7 Caráter"/>
    <w:basedOn w:val="Tipodeletrapredefinidodopargraf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ter">
    <w:name w:val="Título 8 Caráter"/>
    <w:basedOn w:val="Tipodeletrapredefinidodopargraf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ter">
    <w:name w:val="Título 9 Caráter"/>
    <w:basedOn w:val="Tipodeletrapredefinidodopargraf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Tipodeletrapredefinidodopargrafo"/>
    <w:uiPriority w:val="22"/>
    <w:qFormat/>
    <w:rsid w:val="00FC693F"/>
    <w:rPr>
      <w:b/>
      <w:bCs/>
    </w:rPr>
  </w:style>
  <w:style w:type="character" w:styleId="nfase">
    <w:name w:val="Emphasis"/>
    <w:basedOn w:val="Tipodeletrapredefinidodopargrafo"/>
    <w:uiPriority w:val="20"/>
    <w:qFormat/>
    <w:rsid w:val="00FC693F"/>
    <w:rPr>
      <w:i/>
      <w:iCs/>
    </w:rPr>
  </w:style>
  <w:style w:type="paragraph" w:styleId="CitaoIntensa">
    <w:name w:val="Intense Quote"/>
    <w:basedOn w:val="Normal"/>
    <w:next w:val="Normal"/>
    <w:link w:val="CitaoIntensaCar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arter">
    <w:name w:val="Citação Intensa Caráter"/>
    <w:basedOn w:val="Tipodeletrapredefinidodopargrafo"/>
    <w:link w:val="CitaoIntensa"/>
    <w:uiPriority w:val="30"/>
    <w:rsid w:val="00FC693F"/>
    <w:rPr>
      <w:b/>
      <w:bCs/>
      <w:i/>
      <w:iCs/>
      <w:color w:val="4F81BD" w:themeColor="accent1"/>
    </w:rPr>
  </w:style>
  <w:style w:type="character" w:styleId="nfaseDiscreta">
    <w:name w:val="Subtle Emphasis"/>
    <w:basedOn w:val="Tipodeletrapredefinidodopargrafo"/>
    <w:uiPriority w:val="19"/>
    <w:qFormat/>
    <w:rsid w:val="00FC693F"/>
    <w:rPr>
      <w:i/>
      <w:iCs/>
      <w:color w:val="808080" w:themeColor="text1" w:themeTint="7F"/>
    </w:rPr>
  </w:style>
  <w:style w:type="character" w:styleId="nfaseIntensa">
    <w:name w:val="Intense Emphasis"/>
    <w:basedOn w:val="Tipodeletrapredefinidodopargrafo"/>
    <w:uiPriority w:val="21"/>
    <w:qFormat/>
    <w:rsid w:val="00FC693F"/>
    <w:rPr>
      <w:b/>
      <w:bCs/>
      <w:i/>
      <w:iCs/>
      <w:color w:val="4F81BD" w:themeColor="accent1"/>
    </w:rPr>
  </w:style>
  <w:style w:type="character" w:styleId="RefernciaDiscreta">
    <w:name w:val="Subtle Reference"/>
    <w:basedOn w:val="Tipodeletrapredefinidodopargrafo"/>
    <w:uiPriority w:val="31"/>
    <w:qFormat/>
    <w:rsid w:val="00FC693F"/>
    <w:rPr>
      <w:smallCaps/>
      <w:color w:val="C0504D" w:themeColor="accent2"/>
      <w:u w:val="single"/>
    </w:rPr>
  </w:style>
  <w:style w:type="character" w:styleId="RefernciaIntensa">
    <w:name w:val="Intense Reference"/>
    <w:basedOn w:val="Tipodeletrapredefinidodopargrafo"/>
    <w:uiPriority w:val="32"/>
    <w:qFormat/>
    <w:rsid w:val="00FC693F"/>
    <w:rPr>
      <w:b/>
      <w:bCs/>
      <w:smallCaps/>
      <w:color w:val="C0504D" w:themeColor="accent2"/>
      <w:spacing w:val="5"/>
      <w:u w:val="single"/>
    </w:rPr>
  </w:style>
  <w:style w:type="character" w:styleId="TtulodoLivro">
    <w:name w:val="Book Title"/>
    <w:basedOn w:val="Tipodeletrapredefinidodopargrafo"/>
    <w:uiPriority w:val="33"/>
    <w:qFormat/>
    <w:rsid w:val="00FC693F"/>
    <w:rPr>
      <w:b/>
      <w:bCs/>
      <w:smallCaps/>
      <w:spacing w:val="5"/>
    </w:rPr>
  </w:style>
  <w:style w:type="paragraph" w:styleId="Cabealhodondice">
    <w:name w:val="TOC Heading"/>
    <w:basedOn w:val="Ttulo1"/>
    <w:next w:val="Normal"/>
    <w:uiPriority w:val="39"/>
    <w:semiHidden/>
    <w:unhideWhenUsed/>
    <w:qFormat/>
    <w:rsid w:val="00FC693F"/>
    <w:pPr>
      <w:outlineLvl w:val="9"/>
    </w:pPr>
  </w:style>
  <w:style w:type="table" w:styleId="TabelacomGrelha">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Cor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Cor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Cor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Cor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Cor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Cor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Cor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Cor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Cor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Cor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Cor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Cor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elha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elhaClara-Cor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elhaClara-Cor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elhaClara-Cor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elhaClara-Cor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elhaClara-Cor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elhaClara-Cor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dio1-Cor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dio1-Cor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dio1-Cor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dio1-Cor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dio1-Cor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dio1-Cor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Cor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Cor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Cor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Cor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Cor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Cor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elha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elhaMdia1-Cor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elhaMdia1-Cor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elhaMdia1-Cor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elhaMdia1-Cor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elhaMdia1-Cor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elhaMdia1-Cor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elha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elhaMdia2-Cor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elhaMdia2-Cor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elhaMdia2-Cor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elhaMdia2-Cor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elhaMdia2-Cor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elhaMdia2-Cor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elha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elhaMdia3-Cor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elhaMdia3-Cor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elhaMdia3-Cor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elhaMdia3-Cor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elhaMdia3-Cor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elhaMdia3-Cor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Cor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Cor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Cor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Cor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Cor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Cor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Colorido-Cor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Colorido-Cor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Colorido-Cor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Colorido-Cor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Colorido-Cor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Colorido-Cor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Cor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Cor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Cor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Cor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Cor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Cor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elha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elhaColorida-Cor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elhaColorida-Cor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elhaColorida-Cor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elhaColorida-Cor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elhaColorida-Cor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elhaColorida-Cor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3415</Words>
  <Characters>18446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21818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Maria Céu Campos</cp:lastModifiedBy>
  <cp:revision>2</cp:revision>
  <dcterms:created xsi:type="dcterms:W3CDTF">2026-09-25T13:02:00Z</dcterms:created>
  <dcterms:modified xsi:type="dcterms:W3CDTF">2026-09-25T13:02:00Z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60328b2-cbbd-405e-b01b-32c4759a0ed0_Enabled">
    <vt:lpwstr>true</vt:lpwstr>
  </property>
  <property fmtid="{D5CDD505-2E9C-101B-9397-08002B2CF9AE}" pid="3" name="MSIP_Label_e60328b2-cbbd-405e-b01b-32c4759a0ed0_SetDate">
    <vt:lpwstr>2026-09-19T14:09:47Z</vt:lpwstr>
  </property>
  <property fmtid="{D5CDD505-2E9C-101B-9397-08002B2CF9AE}" pid="4" name="MSIP_Label_e60328b2-cbbd-405e-b01b-32c4759a0ed0_Method">
    <vt:lpwstr>Standard</vt:lpwstr>
  </property>
  <property fmtid="{D5CDD505-2E9C-101B-9397-08002B2CF9AE}" pid="5" name="MSIP_Label_e60328b2-cbbd-405e-b01b-32c4759a0ed0_Name">
    <vt:lpwstr>Public Label</vt:lpwstr>
  </property>
  <property fmtid="{D5CDD505-2E9C-101B-9397-08002B2CF9AE}" pid="6" name="MSIP_Label_e60328b2-cbbd-405e-b01b-32c4759a0ed0_SiteId">
    <vt:lpwstr>22c84608-f01d-46c5-8024-63cc962e5f51</vt:lpwstr>
  </property>
  <property fmtid="{D5CDD505-2E9C-101B-9397-08002B2CF9AE}" pid="7" name="MSIP_Label_e60328b2-cbbd-405e-b01b-32c4759a0ed0_ActionId">
    <vt:lpwstr>59a81fd4-6361-4fe5-8fe7-d110b9cb3e36</vt:lpwstr>
  </property>
  <property fmtid="{D5CDD505-2E9C-101B-9397-08002B2CF9AE}" pid="8" name="MSIP_Label_e60328b2-cbbd-405e-b01b-32c4759a0ed0_ContentBits">
    <vt:lpwstr>0</vt:lpwstr>
  </property>
  <property fmtid="{D5CDD505-2E9C-101B-9397-08002B2CF9AE}" pid="9" name="MSIP_Label_e60328b2-cbbd-405e-b01b-32c4759a0ed0_Tag">
    <vt:lpwstr>50, 3, 0, 1</vt:lpwstr>
  </property>
</Properties>
</file>