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D7EA9" w14:textId="0DA4757B" w:rsidR="00123B48" w:rsidRPr="00CC28B1" w:rsidRDefault="00123B48">
      <w:pPr>
        <w:rPr>
          <w:b/>
          <w:bCs/>
          <w:lang w:val="en-GB"/>
        </w:rPr>
      </w:pPr>
      <w:r w:rsidRPr="00CC28B1">
        <w:rPr>
          <w:b/>
          <w:bCs/>
          <w:lang w:val="en-GB"/>
        </w:rPr>
        <w:t>SUPPLEMENTARY FIGURES</w:t>
      </w:r>
    </w:p>
    <w:p w14:paraId="6CEDBC62" w14:textId="793B9658" w:rsidR="007132E8" w:rsidRPr="0057421E" w:rsidRDefault="007132E8"/>
    <w:p w14:paraId="7E03A3AD" w14:textId="6CAB31D6" w:rsidR="00123B48" w:rsidRPr="0057421E" w:rsidRDefault="00123B48"/>
    <w:p w14:paraId="1BA3D068" w14:textId="76C2FB03" w:rsidR="00123B48" w:rsidRPr="0025615E" w:rsidRDefault="005940EA" w:rsidP="00B423CE">
      <w:pPr>
        <w:jc w:val="center"/>
        <w:rPr>
          <w:lang w:val="en-GB"/>
        </w:rPr>
      </w:pPr>
      <w:r>
        <w:rPr>
          <w:noProof/>
          <w:lang w:val="en-GB" w:eastAsia="en-GB"/>
        </w:rPr>
        <w:drawing>
          <wp:inline distT="0" distB="0" distL="0" distR="0" wp14:anchorId="1B4904C8" wp14:editId="489713DD">
            <wp:extent cx="5121956" cy="5403850"/>
            <wp:effectExtent l="0" t="0" r="0" b="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23660" cy="5405648"/>
                    </a:xfrm>
                    <a:prstGeom prst="rect">
                      <a:avLst/>
                    </a:prstGeom>
                    <a:noFill/>
                    <a:ln>
                      <a:noFill/>
                    </a:ln>
                  </pic:spPr>
                </pic:pic>
              </a:graphicData>
            </a:graphic>
          </wp:inline>
        </w:drawing>
      </w:r>
    </w:p>
    <w:p w14:paraId="7BFCC3A9" w14:textId="2AEB31CB" w:rsidR="00123B48" w:rsidRPr="0025615E" w:rsidRDefault="00123B48" w:rsidP="00123B48">
      <w:pPr>
        <w:rPr>
          <w:lang w:val="en-GB"/>
        </w:rPr>
      </w:pPr>
    </w:p>
    <w:p w14:paraId="06EFEE22" w14:textId="3D8F52C3" w:rsidR="00123B48" w:rsidRPr="0025615E" w:rsidRDefault="00123B48" w:rsidP="00123B48">
      <w:pPr>
        <w:rPr>
          <w:lang w:val="en-GB"/>
        </w:rPr>
      </w:pPr>
    </w:p>
    <w:p w14:paraId="3E66D676" w14:textId="1081F292" w:rsidR="00123B48" w:rsidRPr="0025615E" w:rsidRDefault="00123B48" w:rsidP="00123B48">
      <w:pPr>
        <w:tabs>
          <w:tab w:val="left" w:pos="6490"/>
        </w:tabs>
        <w:rPr>
          <w:lang w:val="en-GB"/>
        </w:rPr>
      </w:pPr>
      <w:r w:rsidRPr="0025615E">
        <w:rPr>
          <w:lang w:val="en-GB"/>
        </w:rPr>
        <w:tab/>
      </w:r>
    </w:p>
    <w:p w14:paraId="64437A2B" w14:textId="0BB2A721" w:rsidR="00123B48" w:rsidRPr="0025615E" w:rsidRDefault="00123B48" w:rsidP="00123B48">
      <w:pPr>
        <w:tabs>
          <w:tab w:val="left" w:pos="6490"/>
        </w:tabs>
        <w:rPr>
          <w:lang w:val="en-GB"/>
        </w:rPr>
      </w:pPr>
    </w:p>
    <w:p w14:paraId="44EB4B38" w14:textId="645057FE" w:rsidR="00123B48" w:rsidRPr="0057421E" w:rsidRDefault="00123B48" w:rsidP="003C0696">
      <w:pPr>
        <w:tabs>
          <w:tab w:val="left" w:pos="6490"/>
        </w:tabs>
        <w:jc w:val="both"/>
        <w:rPr>
          <w:lang w:val="en-GB"/>
        </w:rPr>
      </w:pPr>
      <w:r w:rsidRPr="0057421E">
        <w:rPr>
          <w:b/>
          <w:bCs/>
          <w:lang w:val="en-GB"/>
        </w:rPr>
        <w:t>Fig. S1</w:t>
      </w:r>
      <w:r w:rsidRPr="0057421E">
        <w:rPr>
          <w:lang w:val="en-GB"/>
        </w:rPr>
        <w:t xml:space="preserve">: </w:t>
      </w:r>
      <w:r w:rsidR="006B2535" w:rsidRPr="0057421E">
        <w:rPr>
          <w:b/>
          <w:lang w:val="en-GB"/>
        </w:rPr>
        <w:t xml:space="preserve">Effect of high glucose treatment </w:t>
      </w:r>
      <w:r w:rsidR="00F65E93" w:rsidRPr="0057421E">
        <w:rPr>
          <w:b/>
          <w:lang w:val="en-GB"/>
        </w:rPr>
        <w:t>on IkBα expression</w:t>
      </w:r>
      <w:r w:rsidR="0057421E">
        <w:rPr>
          <w:b/>
          <w:lang w:val="en-GB"/>
        </w:rPr>
        <w:t xml:space="preserve"> </w:t>
      </w:r>
      <w:r w:rsidR="0057421E" w:rsidRPr="0057421E">
        <w:rPr>
          <w:b/>
          <w:lang w:val="en-GB"/>
        </w:rPr>
        <w:t>over 60 min</w:t>
      </w:r>
      <w:r w:rsidR="00F65E93" w:rsidRPr="0057421E">
        <w:rPr>
          <w:lang w:val="en-GB"/>
        </w:rPr>
        <w:t xml:space="preserve">. </w:t>
      </w:r>
      <w:r w:rsidRPr="0057421E">
        <w:rPr>
          <w:lang w:val="en-GB"/>
        </w:rPr>
        <w:t xml:space="preserve">Representative immunoblot showing </w:t>
      </w:r>
      <w:r w:rsidR="00E73406" w:rsidRPr="0057421E">
        <w:rPr>
          <w:lang w:val="en-GB"/>
        </w:rPr>
        <w:t xml:space="preserve">the </w:t>
      </w:r>
      <w:r w:rsidRPr="0057421E">
        <w:rPr>
          <w:lang w:val="en-GB"/>
        </w:rPr>
        <w:t xml:space="preserve">IkBα pattern </w:t>
      </w:r>
      <w:r w:rsidR="00E73406" w:rsidRPr="0057421E">
        <w:rPr>
          <w:lang w:val="en-GB"/>
        </w:rPr>
        <w:t>20-40-</w:t>
      </w:r>
      <w:r w:rsidRPr="0057421E">
        <w:rPr>
          <w:lang w:val="en-GB"/>
        </w:rPr>
        <w:t xml:space="preserve">60 minutes after </w:t>
      </w:r>
      <w:r w:rsidR="00E02B75" w:rsidRPr="0057421E">
        <w:rPr>
          <w:lang w:val="en-GB"/>
        </w:rPr>
        <w:t>exposure to</w:t>
      </w:r>
      <w:r w:rsidRPr="0057421E">
        <w:rPr>
          <w:lang w:val="en-GB"/>
        </w:rPr>
        <w:t xml:space="preserve"> low glucose, high </w:t>
      </w:r>
      <w:r w:rsidR="00DD3B32" w:rsidRPr="0057421E">
        <w:rPr>
          <w:lang w:val="en-GB"/>
        </w:rPr>
        <w:t>glucose and mannitol</w:t>
      </w:r>
      <w:r w:rsidRPr="0057421E">
        <w:rPr>
          <w:lang w:val="en-GB"/>
        </w:rPr>
        <w:t>. Untreated cells were run in parallel. Degradation of IkBα was observed only in the presence of high glucose</w:t>
      </w:r>
      <w:r w:rsidR="00350D0C" w:rsidRPr="0057421E">
        <w:rPr>
          <w:lang w:val="en-GB"/>
        </w:rPr>
        <w:t xml:space="preserve"> at 20 min of stimulation. </w:t>
      </w:r>
      <w:r w:rsidR="005940EA" w:rsidRPr="0057421E">
        <w:rPr>
          <w:lang w:val="en-GB"/>
        </w:rPr>
        <w:t xml:space="preserve">The relative ratio of raw intensity values is reported </w:t>
      </w:r>
      <w:r w:rsidR="00D573D0" w:rsidRPr="0057421E">
        <w:rPr>
          <w:lang w:val="en-GB"/>
        </w:rPr>
        <w:t xml:space="preserve">under each band of the </w:t>
      </w:r>
      <w:r w:rsidR="00405E67" w:rsidRPr="0057421E">
        <w:rPr>
          <w:lang w:val="en-GB"/>
        </w:rPr>
        <w:t>immunoblot</w:t>
      </w:r>
      <w:r w:rsidR="005940EA" w:rsidRPr="0057421E">
        <w:rPr>
          <w:lang w:val="en-GB"/>
        </w:rPr>
        <w:t>.</w:t>
      </w:r>
    </w:p>
    <w:p w14:paraId="5EE8DF18" w14:textId="26C37735" w:rsidR="00123B48" w:rsidRPr="0057421E" w:rsidRDefault="00123B48" w:rsidP="00123B48">
      <w:pPr>
        <w:tabs>
          <w:tab w:val="left" w:pos="6490"/>
        </w:tabs>
        <w:rPr>
          <w:lang w:val="en-GB"/>
        </w:rPr>
      </w:pPr>
    </w:p>
    <w:p w14:paraId="33C0FDC7" w14:textId="0DD486C0" w:rsidR="00123B48" w:rsidRPr="0057421E" w:rsidRDefault="00123B48" w:rsidP="00123B48">
      <w:pPr>
        <w:tabs>
          <w:tab w:val="left" w:pos="6490"/>
        </w:tabs>
        <w:rPr>
          <w:lang w:val="en-GB"/>
        </w:rPr>
      </w:pPr>
    </w:p>
    <w:p w14:paraId="2D4223DB" w14:textId="5D66538F" w:rsidR="00123B48" w:rsidRPr="0057421E" w:rsidRDefault="00123B48" w:rsidP="00123B48">
      <w:pPr>
        <w:tabs>
          <w:tab w:val="left" w:pos="6490"/>
        </w:tabs>
        <w:rPr>
          <w:lang w:val="en-GB"/>
        </w:rPr>
      </w:pPr>
    </w:p>
    <w:p w14:paraId="39A08E55" w14:textId="794CA28E" w:rsidR="00123B48" w:rsidRPr="0057421E" w:rsidRDefault="003C0696" w:rsidP="00123B48">
      <w:pPr>
        <w:tabs>
          <w:tab w:val="left" w:pos="6490"/>
        </w:tabs>
        <w:rPr>
          <w:lang w:val="en-GB"/>
        </w:rPr>
      </w:pPr>
      <w:r>
        <w:rPr>
          <w:lang w:val="en-GB"/>
        </w:rPr>
        <w:t>A</w:t>
      </w:r>
    </w:p>
    <w:p w14:paraId="597C9E27" w14:textId="1CCC129D" w:rsidR="00123B48" w:rsidRPr="0057421E" w:rsidRDefault="00123B48" w:rsidP="00123B48">
      <w:pPr>
        <w:tabs>
          <w:tab w:val="left" w:pos="6490"/>
        </w:tabs>
        <w:rPr>
          <w:lang w:val="en-GB"/>
        </w:rPr>
      </w:pPr>
    </w:p>
    <w:p w14:paraId="4D1AB50A" w14:textId="11CAF3A4" w:rsidR="00123B48" w:rsidRDefault="00123B48" w:rsidP="003C0696">
      <w:pPr>
        <w:tabs>
          <w:tab w:val="left" w:pos="6490"/>
        </w:tabs>
        <w:jc w:val="center"/>
        <w:rPr>
          <w:lang w:val="en-GB"/>
        </w:rPr>
      </w:pPr>
      <w:r>
        <w:rPr>
          <w:noProof/>
          <w:lang w:val="en-GB" w:eastAsia="en-GB"/>
        </w:rPr>
        <w:drawing>
          <wp:inline distT="0" distB="0" distL="0" distR="0" wp14:anchorId="68AE211B" wp14:editId="5EF5ABC1">
            <wp:extent cx="3120909" cy="6064250"/>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5925" cy="6073996"/>
                    </a:xfrm>
                    <a:prstGeom prst="rect">
                      <a:avLst/>
                    </a:prstGeom>
                    <a:noFill/>
                    <a:ln>
                      <a:noFill/>
                    </a:ln>
                  </pic:spPr>
                </pic:pic>
              </a:graphicData>
            </a:graphic>
          </wp:inline>
        </w:drawing>
      </w:r>
    </w:p>
    <w:p w14:paraId="31F19CF7" w14:textId="5678548E" w:rsidR="00123B48" w:rsidRDefault="00123B48" w:rsidP="00123B48">
      <w:pPr>
        <w:tabs>
          <w:tab w:val="left" w:pos="6490"/>
        </w:tabs>
        <w:rPr>
          <w:lang w:val="en-GB"/>
        </w:rPr>
      </w:pPr>
    </w:p>
    <w:p w14:paraId="6984A981" w14:textId="2141C579" w:rsidR="00123B48" w:rsidRDefault="00123B48" w:rsidP="00123B48">
      <w:pPr>
        <w:tabs>
          <w:tab w:val="left" w:pos="6490"/>
        </w:tabs>
        <w:rPr>
          <w:lang w:val="en-GB"/>
        </w:rPr>
      </w:pPr>
    </w:p>
    <w:p w14:paraId="73417A83" w14:textId="3205DF57" w:rsidR="003C0696" w:rsidRDefault="003C0696" w:rsidP="00123B48">
      <w:pPr>
        <w:tabs>
          <w:tab w:val="left" w:pos="6490"/>
        </w:tabs>
        <w:rPr>
          <w:lang w:val="en-GB"/>
        </w:rPr>
      </w:pPr>
    </w:p>
    <w:p w14:paraId="2655C7E0" w14:textId="43E1A9DA" w:rsidR="003C0696" w:rsidRDefault="003C0696" w:rsidP="00123B48">
      <w:pPr>
        <w:tabs>
          <w:tab w:val="left" w:pos="6490"/>
        </w:tabs>
        <w:rPr>
          <w:lang w:val="en-GB"/>
        </w:rPr>
      </w:pPr>
    </w:p>
    <w:p w14:paraId="433DE2FE" w14:textId="3839F919" w:rsidR="003C0696" w:rsidRDefault="003C0696" w:rsidP="00123B48">
      <w:pPr>
        <w:tabs>
          <w:tab w:val="left" w:pos="6490"/>
        </w:tabs>
        <w:rPr>
          <w:lang w:val="en-GB"/>
        </w:rPr>
      </w:pPr>
    </w:p>
    <w:p w14:paraId="23161138" w14:textId="77777777" w:rsidR="003C0696" w:rsidRDefault="003C0696" w:rsidP="00123B48">
      <w:pPr>
        <w:tabs>
          <w:tab w:val="left" w:pos="6490"/>
        </w:tabs>
        <w:rPr>
          <w:lang w:val="en-GB"/>
        </w:rPr>
      </w:pPr>
    </w:p>
    <w:p w14:paraId="5F815EF6" w14:textId="0124F20A" w:rsidR="006C5D22" w:rsidRDefault="006C5D22" w:rsidP="00123B48">
      <w:pPr>
        <w:tabs>
          <w:tab w:val="left" w:pos="6490"/>
        </w:tabs>
        <w:rPr>
          <w:lang w:val="en-GB"/>
        </w:rPr>
      </w:pPr>
    </w:p>
    <w:p w14:paraId="016627FA" w14:textId="1FBB7CBA" w:rsidR="006C5D22" w:rsidRDefault="003C0696" w:rsidP="00123B48">
      <w:pPr>
        <w:tabs>
          <w:tab w:val="left" w:pos="6490"/>
        </w:tabs>
        <w:rPr>
          <w:lang w:val="en-GB"/>
        </w:rPr>
      </w:pPr>
      <w:r>
        <w:rPr>
          <w:lang w:val="en-GB"/>
        </w:rPr>
        <w:lastRenderedPageBreak/>
        <w:t>B</w:t>
      </w:r>
    </w:p>
    <w:p w14:paraId="1B3639AE" w14:textId="18F1AEA0" w:rsidR="00DE20C2" w:rsidRDefault="004B6CBE" w:rsidP="003C0696">
      <w:pPr>
        <w:tabs>
          <w:tab w:val="left" w:pos="6490"/>
        </w:tabs>
        <w:jc w:val="center"/>
        <w:rPr>
          <w:lang w:val="en-GB"/>
        </w:rPr>
      </w:pPr>
      <w:r>
        <w:rPr>
          <w:noProof/>
        </w:rPr>
        <w:drawing>
          <wp:inline distT="0" distB="0" distL="0" distR="0" wp14:anchorId="2C25BB4D" wp14:editId="2C94AF6C">
            <wp:extent cx="3740203" cy="56007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49787" cy="5615052"/>
                    </a:xfrm>
                    <a:prstGeom prst="rect">
                      <a:avLst/>
                    </a:prstGeom>
                    <a:noFill/>
                    <a:ln>
                      <a:noFill/>
                    </a:ln>
                  </pic:spPr>
                </pic:pic>
              </a:graphicData>
            </a:graphic>
          </wp:inline>
        </w:drawing>
      </w:r>
    </w:p>
    <w:p w14:paraId="0A4F8668" w14:textId="267F45AE" w:rsidR="00DE20C2" w:rsidRDefault="00DE20C2">
      <w:pPr>
        <w:tabs>
          <w:tab w:val="left" w:pos="6490"/>
        </w:tabs>
        <w:jc w:val="both"/>
        <w:rPr>
          <w:lang w:val="en-GB"/>
        </w:rPr>
      </w:pPr>
      <w:r w:rsidRPr="0025615E">
        <w:rPr>
          <w:b/>
          <w:bCs/>
          <w:lang w:val="en-GB"/>
        </w:rPr>
        <w:t>Figure S</w:t>
      </w:r>
      <w:r w:rsidR="003C0696">
        <w:rPr>
          <w:b/>
          <w:bCs/>
          <w:lang w:val="en-GB"/>
        </w:rPr>
        <w:t>2:</w:t>
      </w:r>
      <w:r w:rsidR="003C0696">
        <w:rPr>
          <w:b/>
          <w:lang w:val="en-GB"/>
        </w:rPr>
        <w:t xml:space="preserve"> (A) DMSO, KT5720 and Inh. XII treatment does not significantly alter proteasome activity and composition under resting conditions</w:t>
      </w:r>
      <w:r w:rsidR="003C0696">
        <w:rPr>
          <w:lang w:val="en-GB"/>
        </w:rPr>
        <w:t>. Native gel assay of rMC1 cells grown in low glucose medium and treated with 10 µM Inh. XII and KT5720 or DMSO for 2h, together with untreated cells was performed. Samples were run in duplicate. P</w:t>
      </w:r>
      <w:r w:rsidR="003C0696" w:rsidRPr="00677E8A">
        <w:rPr>
          <w:rFonts w:cstheme="minorHAnsi"/>
          <w:color w:val="000000" w:themeColor="text1"/>
          <w:lang w:val="en-GB"/>
        </w:rPr>
        <w:t>roteasome</w:t>
      </w:r>
      <w:r w:rsidR="003C0696">
        <w:rPr>
          <w:lang w:val="en-GB"/>
        </w:rPr>
        <w:t xml:space="preserve"> activity was probed in situ with 75 µM LLVY-amc (upper panel) and proteasome particles identified by probing the filter with the anti-Rpt5 antibody (lower panel). No effects were documented on proteasome activity and structural composition; </w:t>
      </w:r>
      <w:r w:rsidR="003C0696" w:rsidRPr="003C0696">
        <w:rPr>
          <w:b/>
          <w:bCs/>
          <w:lang w:val="en-GB"/>
        </w:rPr>
        <w:t xml:space="preserve">(B) </w:t>
      </w:r>
      <w:r w:rsidR="0057421E">
        <w:rPr>
          <w:b/>
          <w:lang w:val="en-GB"/>
        </w:rPr>
        <w:t>DMSO, KT5720 and Inh. XII treatment does not modulate NF-kB signalling pathway under resting conditions</w:t>
      </w:r>
      <w:r w:rsidR="007D660A">
        <w:rPr>
          <w:lang w:val="en-GB"/>
        </w:rPr>
        <w:t xml:space="preserve">. </w:t>
      </w:r>
      <w:r>
        <w:rPr>
          <w:lang w:val="en-GB"/>
        </w:rPr>
        <w:t xml:space="preserve">rMC1 </w:t>
      </w:r>
      <w:r w:rsidR="004564AE">
        <w:rPr>
          <w:lang w:val="en-GB"/>
        </w:rPr>
        <w:t xml:space="preserve">cells </w:t>
      </w:r>
      <w:r w:rsidR="0057421E">
        <w:rPr>
          <w:lang w:val="en-GB"/>
        </w:rPr>
        <w:t xml:space="preserve">cultured in low glucose DMEM </w:t>
      </w:r>
      <w:r>
        <w:rPr>
          <w:lang w:val="en-GB"/>
        </w:rPr>
        <w:t xml:space="preserve">were </w:t>
      </w:r>
      <w:r w:rsidR="004564AE">
        <w:rPr>
          <w:lang w:val="en-GB"/>
        </w:rPr>
        <w:t xml:space="preserve">treated </w:t>
      </w:r>
      <w:r>
        <w:rPr>
          <w:lang w:val="en-GB"/>
        </w:rPr>
        <w:t>with 10 µM Inh. XII or KT5720</w:t>
      </w:r>
      <w:r w:rsidR="004B6C73">
        <w:rPr>
          <w:lang w:val="en-GB"/>
        </w:rPr>
        <w:t xml:space="preserve"> </w:t>
      </w:r>
      <w:r w:rsidR="00E73406">
        <w:rPr>
          <w:lang w:val="en-GB"/>
        </w:rPr>
        <w:t>or</w:t>
      </w:r>
      <w:r>
        <w:rPr>
          <w:lang w:val="en-GB"/>
        </w:rPr>
        <w:t xml:space="preserve"> 500 nM epoxomicin</w:t>
      </w:r>
      <w:r w:rsidRPr="0057421E">
        <w:rPr>
          <w:lang w:val="en-GB"/>
        </w:rPr>
        <w:t xml:space="preserve">, or the equivalent </w:t>
      </w:r>
      <w:r w:rsidR="004564AE" w:rsidRPr="0057421E">
        <w:rPr>
          <w:lang w:val="en-GB"/>
        </w:rPr>
        <w:t>dilution</w:t>
      </w:r>
      <w:r w:rsidRPr="0057421E">
        <w:rPr>
          <w:lang w:val="en-GB"/>
        </w:rPr>
        <w:t xml:space="preserve"> of DMSO</w:t>
      </w:r>
      <w:r w:rsidR="00E73406" w:rsidRPr="0057421E">
        <w:rPr>
          <w:lang w:val="en-GB"/>
        </w:rPr>
        <w:t>, for 1-2h</w:t>
      </w:r>
      <w:r w:rsidRPr="0057421E">
        <w:rPr>
          <w:lang w:val="en-GB"/>
        </w:rPr>
        <w:t xml:space="preserve">. Thereafter, whole cell lysates were harvested and </w:t>
      </w:r>
      <w:r w:rsidR="000C35B7" w:rsidRPr="0057421E">
        <w:rPr>
          <w:lang w:val="en-GB"/>
        </w:rPr>
        <w:t xml:space="preserve">analysed </w:t>
      </w:r>
      <w:r w:rsidRPr="0057421E">
        <w:rPr>
          <w:lang w:val="en-GB"/>
        </w:rPr>
        <w:t xml:space="preserve">by </w:t>
      </w:r>
      <w:r w:rsidR="000C35B7" w:rsidRPr="0057421E">
        <w:rPr>
          <w:lang w:val="en-GB"/>
        </w:rPr>
        <w:t>Wb</w:t>
      </w:r>
      <w:r>
        <w:rPr>
          <w:lang w:val="en-GB"/>
        </w:rPr>
        <w:t>. Filters were probed with antibodies against: IKKβ, pIKKβ (not shown because undetectable), IkBα, pIkBα(ser32) and pan-CamKII</w:t>
      </w:r>
      <w:r w:rsidR="00C30392">
        <w:rPr>
          <w:lang w:val="en-GB"/>
        </w:rPr>
        <w:t>,</w:t>
      </w:r>
      <w:r>
        <w:rPr>
          <w:lang w:val="en-GB"/>
        </w:rPr>
        <w:t xml:space="preserve"> which uncovered the presence of the α and β isoforms. No modulation of the protein was induced by </w:t>
      </w:r>
      <w:r w:rsidR="004564AE">
        <w:rPr>
          <w:lang w:val="en-GB"/>
        </w:rPr>
        <w:t>these compounds</w:t>
      </w:r>
      <w:r>
        <w:rPr>
          <w:lang w:val="en-GB"/>
        </w:rPr>
        <w:t xml:space="preserve">, with the exception of pIkBα(ser32) which turned out to be significantly increased by epoxomicin after 2h of treatment. </w:t>
      </w:r>
    </w:p>
    <w:p w14:paraId="5484FB73" w14:textId="0CAF5361" w:rsidR="0025615E" w:rsidRPr="00CC28B1" w:rsidRDefault="0025615E" w:rsidP="00123B48">
      <w:pPr>
        <w:tabs>
          <w:tab w:val="left" w:pos="6490"/>
        </w:tabs>
        <w:rPr>
          <w:lang w:val="en-GB"/>
        </w:rPr>
      </w:pPr>
    </w:p>
    <w:p w14:paraId="4A191D84" w14:textId="201B4CC0" w:rsidR="004B6CBE" w:rsidRDefault="004B6CBE" w:rsidP="003C0696">
      <w:pPr>
        <w:tabs>
          <w:tab w:val="left" w:pos="6490"/>
        </w:tabs>
        <w:rPr>
          <w:lang w:val="en-GB"/>
        </w:rPr>
      </w:pPr>
    </w:p>
    <w:p w14:paraId="293FCBBE" w14:textId="0F780521" w:rsidR="003C0696" w:rsidRDefault="003C0696" w:rsidP="003C0696">
      <w:pPr>
        <w:tabs>
          <w:tab w:val="left" w:pos="6490"/>
        </w:tabs>
        <w:rPr>
          <w:lang w:val="en-GB"/>
        </w:rPr>
      </w:pPr>
      <w:r>
        <w:rPr>
          <w:lang w:val="en-GB"/>
        </w:rPr>
        <w:lastRenderedPageBreak/>
        <w:t>A</w:t>
      </w:r>
    </w:p>
    <w:p w14:paraId="2740941D" w14:textId="29F65064" w:rsidR="004B6CBE" w:rsidRDefault="004B6CBE" w:rsidP="00DE20C2">
      <w:pPr>
        <w:tabs>
          <w:tab w:val="left" w:pos="6490"/>
        </w:tabs>
        <w:jc w:val="center"/>
        <w:rPr>
          <w:lang w:val="en-GB"/>
        </w:rPr>
      </w:pPr>
      <w:r>
        <w:rPr>
          <w:noProof/>
        </w:rPr>
        <w:drawing>
          <wp:inline distT="0" distB="0" distL="0" distR="0" wp14:anchorId="6976D5E8" wp14:editId="26462923">
            <wp:extent cx="4669769" cy="742124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1531" cy="7424046"/>
                    </a:xfrm>
                    <a:prstGeom prst="rect">
                      <a:avLst/>
                    </a:prstGeom>
                    <a:noFill/>
                    <a:ln>
                      <a:noFill/>
                    </a:ln>
                  </pic:spPr>
                </pic:pic>
              </a:graphicData>
            </a:graphic>
          </wp:inline>
        </w:drawing>
      </w:r>
    </w:p>
    <w:p w14:paraId="0C5D5469" w14:textId="737BE4EE" w:rsidR="005741AE" w:rsidRPr="00350D0C" w:rsidRDefault="005741AE" w:rsidP="00123B48">
      <w:pPr>
        <w:tabs>
          <w:tab w:val="left" w:pos="6490"/>
        </w:tabs>
        <w:rPr>
          <w:lang w:val="en-GB"/>
        </w:rPr>
      </w:pPr>
    </w:p>
    <w:p w14:paraId="730A85C7" w14:textId="75BB254A" w:rsidR="005741AE" w:rsidRPr="00350D0C" w:rsidRDefault="005741AE" w:rsidP="00123B48">
      <w:pPr>
        <w:tabs>
          <w:tab w:val="left" w:pos="6490"/>
        </w:tabs>
        <w:rPr>
          <w:lang w:val="en-GB"/>
        </w:rPr>
      </w:pPr>
    </w:p>
    <w:p w14:paraId="03B50E2D" w14:textId="0A6972F2" w:rsidR="005741AE" w:rsidRDefault="005741AE" w:rsidP="00123B48">
      <w:pPr>
        <w:tabs>
          <w:tab w:val="left" w:pos="6490"/>
        </w:tabs>
        <w:rPr>
          <w:lang w:val="en-GB"/>
        </w:rPr>
      </w:pPr>
    </w:p>
    <w:p w14:paraId="16D1EAB1" w14:textId="0E2545E5" w:rsidR="005940EA" w:rsidRDefault="005940EA" w:rsidP="00123B48">
      <w:pPr>
        <w:tabs>
          <w:tab w:val="left" w:pos="6490"/>
        </w:tabs>
        <w:rPr>
          <w:lang w:val="en-GB"/>
        </w:rPr>
      </w:pPr>
    </w:p>
    <w:p w14:paraId="46F72181" w14:textId="11CD3E5D" w:rsidR="005940EA" w:rsidRDefault="005940EA" w:rsidP="00123B48">
      <w:pPr>
        <w:tabs>
          <w:tab w:val="left" w:pos="6490"/>
        </w:tabs>
        <w:rPr>
          <w:lang w:val="en-GB"/>
        </w:rPr>
      </w:pPr>
    </w:p>
    <w:p w14:paraId="09DE29DD" w14:textId="2AF8BFFB" w:rsidR="005940EA" w:rsidRDefault="005940EA" w:rsidP="00123B48">
      <w:pPr>
        <w:tabs>
          <w:tab w:val="left" w:pos="6490"/>
        </w:tabs>
        <w:rPr>
          <w:lang w:val="en-GB"/>
        </w:rPr>
      </w:pPr>
    </w:p>
    <w:p w14:paraId="23E9B89B" w14:textId="2C935E8A" w:rsidR="005940EA" w:rsidRDefault="005940EA" w:rsidP="00123B48">
      <w:pPr>
        <w:tabs>
          <w:tab w:val="left" w:pos="6490"/>
        </w:tabs>
        <w:rPr>
          <w:lang w:val="en-GB"/>
        </w:rPr>
      </w:pPr>
    </w:p>
    <w:p w14:paraId="5834AE59" w14:textId="78117348" w:rsidR="005940EA" w:rsidRDefault="005940EA" w:rsidP="00123B48">
      <w:pPr>
        <w:tabs>
          <w:tab w:val="left" w:pos="6490"/>
        </w:tabs>
        <w:rPr>
          <w:lang w:val="en-GB"/>
        </w:rPr>
      </w:pPr>
    </w:p>
    <w:p w14:paraId="50808106" w14:textId="792CA9A3" w:rsidR="005940EA" w:rsidRDefault="003C0696" w:rsidP="00123B48">
      <w:pPr>
        <w:tabs>
          <w:tab w:val="left" w:pos="6490"/>
        </w:tabs>
        <w:rPr>
          <w:lang w:val="en-GB"/>
        </w:rPr>
      </w:pPr>
      <w:r>
        <w:rPr>
          <w:noProof/>
        </w:rPr>
        <w:drawing>
          <wp:inline distT="0" distB="0" distL="0" distR="0" wp14:anchorId="0BDBCA66" wp14:editId="3E940F37">
            <wp:extent cx="6120130" cy="56769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5676900"/>
                    </a:xfrm>
                    <a:prstGeom prst="rect">
                      <a:avLst/>
                    </a:prstGeom>
                    <a:noFill/>
                    <a:ln>
                      <a:noFill/>
                    </a:ln>
                  </pic:spPr>
                </pic:pic>
              </a:graphicData>
            </a:graphic>
          </wp:inline>
        </w:drawing>
      </w:r>
    </w:p>
    <w:p w14:paraId="4DC84DD0" w14:textId="185E1016" w:rsidR="005940EA" w:rsidRDefault="005940EA" w:rsidP="00123B48">
      <w:pPr>
        <w:tabs>
          <w:tab w:val="left" w:pos="6490"/>
        </w:tabs>
        <w:rPr>
          <w:lang w:val="en-GB"/>
        </w:rPr>
      </w:pPr>
    </w:p>
    <w:p w14:paraId="6B9BE891" w14:textId="5735F4F1" w:rsidR="005940EA" w:rsidRDefault="005940EA" w:rsidP="00123B48">
      <w:pPr>
        <w:tabs>
          <w:tab w:val="left" w:pos="6490"/>
        </w:tabs>
        <w:rPr>
          <w:lang w:val="en-GB"/>
        </w:rPr>
      </w:pPr>
    </w:p>
    <w:p w14:paraId="4C029B8A" w14:textId="1B15DCBE" w:rsidR="005940EA" w:rsidRDefault="005940EA" w:rsidP="00123B48">
      <w:pPr>
        <w:tabs>
          <w:tab w:val="left" w:pos="6490"/>
        </w:tabs>
        <w:rPr>
          <w:lang w:val="en-GB"/>
        </w:rPr>
      </w:pPr>
    </w:p>
    <w:p w14:paraId="1772F553" w14:textId="1B1A2820" w:rsidR="005940EA" w:rsidRDefault="005940EA" w:rsidP="005940EA">
      <w:pPr>
        <w:tabs>
          <w:tab w:val="left" w:pos="6490"/>
        </w:tabs>
        <w:jc w:val="center"/>
        <w:rPr>
          <w:lang w:val="en-GB"/>
        </w:rPr>
      </w:pPr>
    </w:p>
    <w:p w14:paraId="116BE280" w14:textId="5582053A" w:rsidR="005940EA" w:rsidRDefault="005940EA" w:rsidP="005940EA">
      <w:pPr>
        <w:tabs>
          <w:tab w:val="left" w:pos="6490"/>
        </w:tabs>
        <w:jc w:val="center"/>
        <w:rPr>
          <w:lang w:val="en-GB"/>
        </w:rPr>
      </w:pPr>
    </w:p>
    <w:p w14:paraId="780F6559" w14:textId="7AE288B3" w:rsidR="00F8385A" w:rsidRDefault="00F8385A" w:rsidP="005940EA">
      <w:pPr>
        <w:tabs>
          <w:tab w:val="left" w:pos="6490"/>
        </w:tabs>
        <w:jc w:val="center"/>
        <w:rPr>
          <w:lang w:val="en-GB"/>
        </w:rPr>
      </w:pPr>
    </w:p>
    <w:p w14:paraId="00DC8AC6" w14:textId="27C46DA0" w:rsidR="00F8385A" w:rsidRDefault="00F8385A" w:rsidP="005940EA">
      <w:pPr>
        <w:tabs>
          <w:tab w:val="left" w:pos="6490"/>
        </w:tabs>
        <w:jc w:val="center"/>
        <w:rPr>
          <w:lang w:val="en-GB"/>
        </w:rPr>
      </w:pPr>
    </w:p>
    <w:p w14:paraId="35AE6699" w14:textId="3D24C387" w:rsidR="00F8385A" w:rsidRDefault="00F8385A" w:rsidP="005940EA">
      <w:pPr>
        <w:tabs>
          <w:tab w:val="left" w:pos="6490"/>
        </w:tabs>
        <w:jc w:val="center"/>
        <w:rPr>
          <w:lang w:val="en-GB"/>
        </w:rPr>
      </w:pPr>
      <w:r>
        <w:rPr>
          <w:noProof/>
        </w:rPr>
        <w:lastRenderedPageBreak/>
        <w:drawing>
          <wp:inline distT="0" distB="0" distL="0" distR="0" wp14:anchorId="122EA158" wp14:editId="702E594D">
            <wp:extent cx="2101850" cy="5730749"/>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0378" cy="5754002"/>
                    </a:xfrm>
                    <a:prstGeom prst="rect">
                      <a:avLst/>
                    </a:prstGeom>
                    <a:noFill/>
                    <a:ln>
                      <a:noFill/>
                    </a:ln>
                  </pic:spPr>
                </pic:pic>
              </a:graphicData>
            </a:graphic>
          </wp:inline>
        </w:drawing>
      </w:r>
    </w:p>
    <w:p w14:paraId="466DE2E4" w14:textId="00A61E4C" w:rsidR="00B423CE" w:rsidRDefault="00B423CE" w:rsidP="005940EA">
      <w:pPr>
        <w:tabs>
          <w:tab w:val="left" w:pos="6490"/>
        </w:tabs>
        <w:jc w:val="center"/>
        <w:rPr>
          <w:lang w:val="en-GB"/>
        </w:rPr>
      </w:pPr>
    </w:p>
    <w:p w14:paraId="7FE4F870" w14:textId="77777777" w:rsidR="00B423CE" w:rsidRDefault="00B423CE" w:rsidP="005940EA">
      <w:pPr>
        <w:tabs>
          <w:tab w:val="left" w:pos="6490"/>
        </w:tabs>
        <w:jc w:val="center"/>
        <w:rPr>
          <w:lang w:val="en-GB"/>
        </w:rPr>
      </w:pPr>
    </w:p>
    <w:p w14:paraId="26856FDB" w14:textId="2696BCFE" w:rsidR="005940EA" w:rsidRPr="003C0696" w:rsidRDefault="003C0696" w:rsidP="003C0696">
      <w:pPr>
        <w:tabs>
          <w:tab w:val="left" w:pos="6490"/>
        </w:tabs>
        <w:jc w:val="both"/>
        <w:rPr>
          <w:lang w:val="en-GB"/>
        </w:rPr>
      </w:pPr>
      <w:r>
        <w:rPr>
          <w:rFonts w:eastAsiaTheme="minorEastAsia" w:cstheme="minorHAnsi"/>
          <w:b/>
          <w:bCs/>
          <w:lang w:val="en-GB"/>
        </w:rPr>
        <w:t>Figure S</w:t>
      </w:r>
      <w:r w:rsidR="00F8385A">
        <w:rPr>
          <w:rFonts w:eastAsiaTheme="minorEastAsia" w:cstheme="minorHAnsi"/>
          <w:b/>
          <w:bCs/>
          <w:lang w:val="en-GB"/>
        </w:rPr>
        <w:t>3</w:t>
      </w:r>
      <w:r>
        <w:rPr>
          <w:rFonts w:eastAsiaTheme="minorEastAsia" w:cstheme="minorHAnsi"/>
          <w:b/>
          <w:bCs/>
          <w:lang w:val="en-GB"/>
        </w:rPr>
        <w:t>:</w:t>
      </w:r>
      <w:r w:rsidR="005940EA" w:rsidRPr="005940EA">
        <w:rPr>
          <w:rFonts w:eastAsiaTheme="minorEastAsia" w:cstheme="minorHAnsi"/>
          <w:lang w:val="en-GB"/>
        </w:rPr>
        <w:t xml:space="preserve"> </w:t>
      </w:r>
      <w:r w:rsidR="00A67F53">
        <w:rPr>
          <w:rFonts w:eastAsiaTheme="minorEastAsia" w:cstheme="minorHAnsi"/>
          <w:b/>
          <w:bCs/>
          <w:lang w:val="en-GB"/>
        </w:rPr>
        <w:t>G</w:t>
      </w:r>
      <w:r w:rsidR="00A67F53" w:rsidRPr="005940EA">
        <w:rPr>
          <w:rFonts w:eastAsiaTheme="minorEastAsia" w:cstheme="minorHAnsi"/>
          <w:b/>
          <w:bCs/>
          <w:lang w:val="en-GB"/>
        </w:rPr>
        <w:t xml:space="preserve">eneration </w:t>
      </w:r>
      <w:r w:rsidR="005940EA" w:rsidRPr="005940EA">
        <w:rPr>
          <w:rFonts w:eastAsiaTheme="minorEastAsia" w:cstheme="minorHAnsi"/>
          <w:b/>
          <w:bCs/>
          <w:lang w:val="en-GB"/>
        </w:rPr>
        <w:t>of rMC1 clones expressing the Rpt6_S120A phosphodead mutant showing enhanced proteasome activity.</w:t>
      </w:r>
      <w:r w:rsidRPr="003C0696">
        <w:rPr>
          <w:b/>
          <w:bCs/>
          <w:lang w:val="en-GB"/>
        </w:rPr>
        <w:t xml:space="preserve"> </w:t>
      </w:r>
      <w:r w:rsidRPr="00385488">
        <w:rPr>
          <w:b/>
          <w:bCs/>
          <w:lang w:val="en-GB"/>
        </w:rPr>
        <w:t>Figure S</w:t>
      </w:r>
      <w:r>
        <w:rPr>
          <w:b/>
          <w:bCs/>
          <w:lang w:val="en-GB"/>
        </w:rPr>
        <w:t>3</w:t>
      </w:r>
      <w:r w:rsidRPr="00385488">
        <w:rPr>
          <w:lang w:val="en-GB"/>
        </w:rPr>
        <w:t>:</w:t>
      </w:r>
      <w:r>
        <w:rPr>
          <w:lang w:val="en-GB"/>
        </w:rPr>
        <w:t xml:space="preserve"> (A) </w:t>
      </w:r>
      <w:r w:rsidRPr="004B6CBE">
        <w:rPr>
          <w:lang w:val="en-GB"/>
        </w:rPr>
        <w:t>increased Rpt6 immunostaining along with decreased pRpt6(ser120)/Rpt6 ratio of rMC1 transfected with the plasmid encoding for the Rpt6 phospho-dead mutant. Vector</w:t>
      </w:r>
      <w:r w:rsidRPr="00385488">
        <w:rPr>
          <w:lang w:val="en-GB"/>
        </w:rPr>
        <w:t xml:space="preserve"> and Rpt6_S120A clones were assayed for Rpt6 and pRpt6(ser120) content by Wb. In parallel, Rpt3, Rpt5 and GAPDH, as loading control, were further assayed. Rpt6_S120A cells display a nearly 50% </w:t>
      </w:r>
      <w:r w:rsidRPr="00385488">
        <w:rPr>
          <w:color w:val="000000" w:themeColor="text1"/>
          <w:lang w:val="en-GB"/>
        </w:rPr>
        <w:t xml:space="preserve">increase of total Rpt6 with respect to Vector clones. Immunostaining of the protein by a phospho-specific antibody revealed a marked decrease of pRpt6(ser120) immunostaining in Rpt6_S120A cells. Histograms refer to densitometry of bands immunoreactive for Rpt6 or for the pRpt6(ser1320)/Rpt6 ratio (n=3). A representative blot of 5 independent experiments is shown. </w:t>
      </w:r>
      <w:r w:rsidRPr="00385488">
        <w:rPr>
          <w:color w:val="000000" w:themeColor="text1"/>
          <w:lang w:val="en-US"/>
        </w:rPr>
        <w:t>One-way ANOVA followed by Tukey’s post-hoc test. ***</w:t>
      </w:r>
      <w:r w:rsidRPr="00385488">
        <w:rPr>
          <w:color w:val="000000" w:themeColor="text1"/>
          <w:lang w:val="en-GB"/>
        </w:rPr>
        <w:t>p&lt;0.001</w:t>
      </w:r>
      <w:r>
        <w:rPr>
          <w:color w:val="000000" w:themeColor="text1"/>
          <w:lang w:val="en-GB"/>
        </w:rPr>
        <w:t xml:space="preserve">; </w:t>
      </w:r>
      <w:r w:rsidR="005940EA" w:rsidRPr="005940EA">
        <w:rPr>
          <w:rFonts w:eastAsiaTheme="minorEastAsia" w:cstheme="minorHAnsi"/>
          <w:lang w:val="en-GB"/>
        </w:rPr>
        <w:t>(</w:t>
      </w:r>
      <w:r>
        <w:rPr>
          <w:rFonts w:eastAsiaTheme="minorEastAsia" w:cstheme="minorHAnsi"/>
          <w:lang w:val="en-GB"/>
        </w:rPr>
        <w:t>B</w:t>
      </w:r>
      <w:r w:rsidR="005940EA" w:rsidRPr="005940EA">
        <w:rPr>
          <w:rFonts w:eastAsiaTheme="minorEastAsia" w:cstheme="minorHAnsi"/>
          <w:lang w:val="en-GB"/>
        </w:rPr>
        <w:t xml:space="preserve">) </w:t>
      </w:r>
      <w:r w:rsidR="00A67F53">
        <w:rPr>
          <w:rFonts w:eastAsiaTheme="minorEastAsia" w:cstheme="minorHAnsi"/>
          <w:lang w:val="en-GB"/>
        </w:rPr>
        <w:t>C</w:t>
      </w:r>
      <w:r w:rsidR="00A67F53" w:rsidRPr="005940EA">
        <w:rPr>
          <w:rFonts w:eastAsiaTheme="minorEastAsia" w:cstheme="minorHAnsi"/>
          <w:lang w:val="en-GB"/>
        </w:rPr>
        <w:t xml:space="preserve">rude </w:t>
      </w:r>
      <w:r w:rsidR="005940EA" w:rsidRPr="005940EA">
        <w:rPr>
          <w:rFonts w:eastAsiaTheme="minorEastAsia" w:cstheme="minorHAnsi"/>
          <w:lang w:val="en-GB"/>
        </w:rPr>
        <w:t xml:space="preserve">cell extracts were isolated </w:t>
      </w:r>
      <w:bookmarkStart w:id="0" w:name="_Hlk80874944"/>
      <w:r w:rsidR="005940EA" w:rsidRPr="005940EA">
        <w:rPr>
          <w:rFonts w:eastAsiaTheme="minorEastAsia" w:cstheme="minorHAnsi"/>
          <w:lang w:val="en-GB"/>
        </w:rPr>
        <w:t xml:space="preserve">from Rpt6_S120A and Vector clones </w:t>
      </w:r>
      <w:bookmarkEnd w:id="0"/>
      <w:r w:rsidR="005940EA" w:rsidRPr="005940EA">
        <w:rPr>
          <w:rFonts w:eastAsiaTheme="minorEastAsia" w:cstheme="minorHAnsi"/>
          <w:lang w:val="en-GB"/>
        </w:rPr>
        <w:t xml:space="preserve">and assayed for bulk </w:t>
      </w:r>
      <w:r w:rsidR="005940EA" w:rsidRPr="00385488">
        <w:rPr>
          <w:rFonts w:eastAsiaTheme="minorEastAsia" w:cstheme="minorHAnsi"/>
          <w:lang w:val="en-GB"/>
        </w:rPr>
        <w:t xml:space="preserve">chymotrypsin-like activity as indicated in Fig. 4C. </w:t>
      </w:r>
      <w:r w:rsidR="005940EA" w:rsidRPr="00385488">
        <w:rPr>
          <w:rFonts w:eastAsiaTheme="minorEastAsia" w:cstheme="minorHAnsi"/>
          <w:color w:val="000000" w:themeColor="text1"/>
          <w:lang w:val="en-GB"/>
        </w:rPr>
        <w:t>Data are presented as mean ±SD (n=3). A representative experiment is shown. One-way ANOVA followed by Tukey’s post-hoc test (n=3): ***p&lt;0.001; (</w:t>
      </w:r>
      <w:r>
        <w:rPr>
          <w:rFonts w:eastAsiaTheme="minorEastAsia" w:cstheme="minorHAnsi"/>
          <w:color w:val="000000" w:themeColor="text1"/>
          <w:lang w:val="en-GB"/>
        </w:rPr>
        <w:t>C</w:t>
      </w:r>
      <w:r w:rsidR="005940EA" w:rsidRPr="00385488">
        <w:rPr>
          <w:rFonts w:eastAsiaTheme="minorEastAsia" w:cstheme="minorHAnsi"/>
          <w:color w:val="000000" w:themeColor="text1"/>
          <w:lang w:val="en-GB"/>
        </w:rPr>
        <w:t xml:space="preserve">) the same crude cell extracts were analysed by native-gel electrophoresis and the particles probed </w:t>
      </w:r>
      <w:r w:rsidR="00031837" w:rsidRPr="00385488">
        <w:rPr>
          <w:rFonts w:eastAsiaTheme="minorEastAsia" w:cstheme="minorHAnsi"/>
          <w:color w:val="000000" w:themeColor="text1"/>
          <w:lang w:val="en-GB"/>
        </w:rPr>
        <w:t xml:space="preserve">in situ for </w:t>
      </w:r>
      <w:r w:rsidR="00031837" w:rsidRPr="00385488">
        <w:rPr>
          <w:color w:val="000000" w:themeColor="text1"/>
          <w:lang w:val="en-GB"/>
        </w:rPr>
        <w:t>p</w:t>
      </w:r>
      <w:r w:rsidR="00031837" w:rsidRPr="00385488">
        <w:rPr>
          <w:rFonts w:cstheme="minorHAnsi"/>
          <w:color w:val="000000" w:themeColor="text1"/>
          <w:lang w:val="en-GB"/>
        </w:rPr>
        <w:t>roteasome</w:t>
      </w:r>
      <w:r w:rsidR="00031837" w:rsidRPr="00385488">
        <w:rPr>
          <w:color w:val="000000" w:themeColor="text1"/>
          <w:lang w:val="en-GB"/>
        </w:rPr>
        <w:t xml:space="preserve"> activity was probed in situ with 75 µM LLVY-amc (left panel) and proteasome particles identify </w:t>
      </w:r>
      <w:r w:rsidR="00031837" w:rsidRPr="00385488">
        <w:rPr>
          <w:color w:val="000000" w:themeColor="text1"/>
          <w:lang w:val="en-GB"/>
        </w:rPr>
        <w:lastRenderedPageBreak/>
        <w:t>by probing the filter with</w:t>
      </w:r>
      <w:r w:rsidR="005940EA" w:rsidRPr="00385488">
        <w:rPr>
          <w:rFonts w:eastAsiaTheme="minorEastAsia" w:cstheme="minorHAnsi"/>
          <w:color w:val="000000" w:themeColor="text1"/>
          <w:lang w:val="en-GB"/>
        </w:rPr>
        <w:t xml:space="preserve"> anti-Rpt5 and -α4 (20S) antibod</w:t>
      </w:r>
      <w:r w:rsidR="00031837" w:rsidRPr="00385488">
        <w:rPr>
          <w:rFonts w:eastAsiaTheme="minorEastAsia" w:cstheme="minorHAnsi"/>
          <w:color w:val="000000" w:themeColor="text1"/>
          <w:lang w:val="en-GB"/>
        </w:rPr>
        <w:t>ies (right panels)</w:t>
      </w:r>
      <w:r>
        <w:rPr>
          <w:rFonts w:eastAsiaTheme="minorEastAsia" w:cstheme="minorHAnsi"/>
          <w:color w:val="000000" w:themeColor="text1"/>
          <w:lang w:val="en-GB"/>
        </w:rPr>
        <w:t>;</w:t>
      </w:r>
      <w:r w:rsidR="005940EA" w:rsidRPr="00385488">
        <w:rPr>
          <w:rFonts w:eastAsiaTheme="minorEastAsia" w:cstheme="minorHAnsi"/>
          <w:color w:val="000000" w:themeColor="text1"/>
          <w:lang w:val="en-GB"/>
        </w:rPr>
        <w:t xml:space="preserve"> (</w:t>
      </w:r>
      <w:r>
        <w:rPr>
          <w:rFonts w:eastAsiaTheme="minorEastAsia" w:cstheme="minorHAnsi"/>
          <w:color w:val="000000" w:themeColor="text1"/>
          <w:lang w:val="en-GB"/>
        </w:rPr>
        <w:t>D</w:t>
      </w:r>
      <w:r w:rsidR="005940EA" w:rsidRPr="00385488">
        <w:rPr>
          <w:rFonts w:eastAsiaTheme="minorEastAsia" w:cstheme="minorHAnsi"/>
          <w:color w:val="000000" w:themeColor="text1"/>
          <w:lang w:val="en-GB"/>
        </w:rPr>
        <w:t xml:space="preserve">) Intensities of 30S, 26S and free 19S </w:t>
      </w:r>
      <w:r w:rsidR="00604B6B" w:rsidRPr="00385488">
        <w:rPr>
          <w:rFonts w:eastAsiaTheme="minorEastAsia" w:cstheme="minorHAnsi"/>
          <w:color w:val="000000" w:themeColor="text1"/>
          <w:lang w:val="en-GB"/>
        </w:rPr>
        <w:t xml:space="preserve">in the </w:t>
      </w:r>
      <w:r w:rsidR="000C35B7" w:rsidRPr="00385488">
        <w:rPr>
          <w:rFonts w:eastAsiaTheme="minorEastAsia" w:cstheme="minorHAnsi"/>
          <w:color w:val="000000" w:themeColor="text1"/>
          <w:lang w:val="en-GB"/>
        </w:rPr>
        <w:t>Wb</w:t>
      </w:r>
      <w:r w:rsidR="00604B6B" w:rsidRPr="00385488">
        <w:rPr>
          <w:rFonts w:eastAsiaTheme="minorEastAsia" w:cstheme="minorHAnsi"/>
          <w:color w:val="000000" w:themeColor="text1"/>
          <w:lang w:val="en-GB"/>
        </w:rPr>
        <w:t xml:space="preserve"> analysis shown in panel B </w:t>
      </w:r>
      <w:r w:rsidR="005940EA" w:rsidRPr="00385488">
        <w:rPr>
          <w:rFonts w:eastAsiaTheme="minorEastAsia" w:cstheme="minorHAnsi"/>
          <w:color w:val="000000" w:themeColor="text1"/>
          <w:lang w:val="en-GB"/>
        </w:rPr>
        <w:t>was determined. Raw densitometric values are reported to highlight the relative abundance of the three particles. Data are presented as mean ±SD (n=3). One-way ANOVA followed by Tukey’s post-hoc test: **p&lt;0.01; (</w:t>
      </w:r>
      <w:r>
        <w:rPr>
          <w:rFonts w:eastAsiaTheme="minorEastAsia" w:cstheme="minorHAnsi"/>
          <w:color w:val="000000" w:themeColor="text1"/>
          <w:lang w:val="en-GB"/>
        </w:rPr>
        <w:t>E</w:t>
      </w:r>
      <w:r w:rsidR="005940EA" w:rsidRPr="00385488">
        <w:rPr>
          <w:rFonts w:eastAsiaTheme="minorEastAsia" w:cstheme="minorHAnsi"/>
          <w:color w:val="000000" w:themeColor="text1"/>
          <w:lang w:val="en-GB"/>
        </w:rPr>
        <w:t xml:space="preserve">) whole cell lysates were prepared from Rpt6_S120A and Vector clones and analysed by phos-Tag and Wb. Filters were stained with an anti-α4 antibody and with </w:t>
      </w:r>
      <w:r w:rsidR="000C35B7" w:rsidRPr="00385488">
        <w:rPr>
          <w:rFonts w:eastAsiaTheme="minorEastAsia" w:cstheme="minorHAnsi"/>
          <w:color w:val="000000" w:themeColor="text1"/>
          <w:lang w:val="en-GB"/>
        </w:rPr>
        <w:t>an anti</w:t>
      </w:r>
      <w:r w:rsidR="005940EA" w:rsidRPr="00385488">
        <w:rPr>
          <w:rFonts w:eastAsiaTheme="minorEastAsia" w:cstheme="minorHAnsi"/>
          <w:color w:val="000000" w:themeColor="text1"/>
          <w:lang w:val="en-GB"/>
        </w:rPr>
        <w:t xml:space="preserve">-pan-α20S antibody which targets all 20S α-subunits with the exception of α4. </w:t>
      </w:r>
    </w:p>
    <w:p w14:paraId="0A6367A7" w14:textId="228C2645" w:rsidR="005940EA" w:rsidRPr="00385488" w:rsidRDefault="005940EA" w:rsidP="005940EA">
      <w:pPr>
        <w:tabs>
          <w:tab w:val="left" w:pos="6490"/>
        </w:tabs>
        <w:jc w:val="center"/>
        <w:rPr>
          <w:color w:val="000000" w:themeColor="text1"/>
          <w:lang w:val="en-GB"/>
        </w:rPr>
      </w:pPr>
    </w:p>
    <w:p w14:paraId="0DD26AE0" w14:textId="5C5ADD1A" w:rsidR="005940EA" w:rsidRDefault="005940EA" w:rsidP="0057421E">
      <w:pPr>
        <w:tabs>
          <w:tab w:val="left" w:pos="6490"/>
        </w:tabs>
        <w:rPr>
          <w:lang w:val="en-GB"/>
        </w:rPr>
      </w:pPr>
    </w:p>
    <w:p w14:paraId="24E12476" w14:textId="0C4D8CBE" w:rsidR="005940EA" w:rsidRPr="003C0696" w:rsidRDefault="005940EA" w:rsidP="005940EA">
      <w:pPr>
        <w:tabs>
          <w:tab w:val="left" w:pos="6490"/>
        </w:tabs>
        <w:jc w:val="center"/>
        <w:rPr>
          <w:noProof/>
          <w:lang w:val="en-US"/>
        </w:rPr>
      </w:pPr>
    </w:p>
    <w:p w14:paraId="161D1577" w14:textId="409274AB" w:rsidR="004B6CBE" w:rsidRDefault="004B6CBE" w:rsidP="005940EA">
      <w:pPr>
        <w:tabs>
          <w:tab w:val="left" w:pos="6490"/>
        </w:tabs>
        <w:jc w:val="center"/>
        <w:rPr>
          <w:noProof/>
        </w:rPr>
      </w:pPr>
      <w:r>
        <w:rPr>
          <w:noProof/>
        </w:rPr>
        <w:lastRenderedPageBreak/>
        <w:drawing>
          <wp:inline distT="0" distB="0" distL="0" distR="0" wp14:anchorId="18848767" wp14:editId="062E7D88">
            <wp:extent cx="5340350" cy="9072245"/>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40350" cy="9072245"/>
                    </a:xfrm>
                    <a:prstGeom prst="rect">
                      <a:avLst/>
                    </a:prstGeom>
                    <a:noFill/>
                    <a:ln>
                      <a:noFill/>
                    </a:ln>
                  </pic:spPr>
                </pic:pic>
              </a:graphicData>
            </a:graphic>
          </wp:inline>
        </w:drawing>
      </w:r>
    </w:p>
    <w:p w14:paraId="272B09DA" w14:textId="3925BDF9" w:rsidR="004B6CBE" w:rsidRDefault="004B6CBE" w:rsidP="005940EA">
      <w:pPr>
        <w:tabs>
          <w:tab w:val="left" w:pos="6490"/>
        </w:tabs>
        <w:jc w:val="center"/>
        <w:rPr>
          <w:noProof/>
        </w:rPr>
      </w:pPr>
    </w:p>
    <w:p w14:paraId="77F5C1C2" w14:textId="77777777" w:rsidR="004B6CBE" w:rsidRDefault="004B6CBE" w:rsidP="005940EA">
      <w:pPr>
        <w:tabs>
          <w:tab w:val="left" w:pos="6490"/>
        </w:tabs>
        <w:jc w:val="center"/>
        <w:rPr>
          <w:lang w:val="en-GB"/>
        </w:rPr>
      </w:pPr>
    </w:p>
    <w:p w14:paraId="2150A572" w14:textId="44309E4A" w:rsidR="005940EA" w:rsidRDefault="005940EA" w:rsidP="005940EA">
      <w:pPr>
        <w:tabs>
          <w:tab w:val="left" w:pos="6490"/>
        </w:tabs>
        <w:jc w:val="center"/>
        <w:rPr>
          <w:lang w:val="en-GB"/>
        </w:rPr>
      </w:pPr>
    </w:p>
    <w:p w14:paraId="18355035" w14:textId="638EAE26" w:rsidR="005940EA" w:rsidRDefault="005940EA" w:rsidP="005940EA">
      <w:pPr>
        <w:tabs>
          <w:tab w:val="left" w:pos="6490"/>
        </w:tabs>
        <w:jc w:val="center"/>
        <w:rPr>
          <w:lang w:val="en-GB"/>
        </w:rPr>
      </w:pPr>
      <w:r>
        <w:rPr>
          <w:noProof/>
          <w:lang w:val="en-GB" w:eastAsia="en-GB"/>
        </w:rPr>
        <w:drawing>
          <wp:inline distT="0" distB="0" distL="0" distR="0" wp14:anchorId="2CF24ACC" wp14:editId="12444DA1">
            <wp:extent cx="6120130" cy="2964815"/>
            <wp:effectExtent l="0" t="0" r="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2964815"/>
                    </a:xfrm>
                    <a:prstGeom prst="rect">
                      <a:avLst/>
                    </a:prstGeom>
                    <a:noFill/>
                    <a:ln>
                      <a:noFill/>
                    </a:ln>
                  </pic:spPr>
                </pic:pic>
              </a:graphicData>
            </a:graphic>
          </wp:inline>
        </w:drawing>
      </w:r>
    </w:p>
    <w:p w14:paraId="0FD53CA5" w14:textId="02843394" w:rsidR="005940EA" w:rsidRDefault="005940EA" w:rsidP="005940EA">
      <w:pPr>
        <w:tabs>
          <w:tab w:val="left" w:pos="6490"/>
        </w:tabs>
        <w:jc w:val="center"/>
        <w:rPr>
          <w:lang w:val="en-GB"/>
        </w:rPr>
      </w:pPr>
    </w:p>
    <w:p w14:paraId="24BB59A2" w14:textId="77777777" w:rsidR="005940EA" w:rsidRDefault="005940EA" w:rsidP="005940EA">
      <w:pPr>
        <w:tabs>
          <w:tab w:val="left" w:pos="6490"/>
        </w:tabs>
        <w:jc w:val="center"/>
        <w:rPr>
          <w:lang w:val="en-GB"/>
        </w:rPr>
      </w:pPr>
    </w:p>
    <w:p w14:paraId="61F65DBC" w14:textId="77777777" w:rsidR="005940EA" w:rsidRDefault="005940EA" w:rsidP="005940EA">
      <w:pPr>
        <w:spacing w:after="0" w:line="360" w:lineRule="auto"/>
        <w:jc w:val="both"/>
        <w:rPr>
          <w:rFonts w:eastAsiaTheme="minorEastAsia" w:cstheme="minorHAnsi"/>
          <w:b/>
          <w:bCs/>
          <w:lang w:val="en-GB"/>
        </w:rPr>
      </w:pPr>
    </w:p>
    <w:p w14:paraId="43AF9873" w14:textId="77777777" w:rsidR="005940EA" w:rsidRDefault="005940EA" w:rsidP="005940EA">
      <w:pPr>
        <w:spacing w:after="0" w:line="360" w:lineRule="auto"/>
        <w:jc w:val="both"/>
        <w:rPr>
          <w:rFonts w:eastAsiaTheme="minorEastAsia" w:cstheme="minorHAnsi"/>
          <w:b/>
          <w:bCs/>
          <w:lang w:val="en-GB"/>
        </w:rPr>
      </w:pPr>
    </w:p>
    <w:p w14:paraId="754C3957" w14:textId="398EB3B2" w:rsidR="005940EA" w:rsidRPr="005940EA" w:rsidRDefault="00F8385A" w:rsidP="00F231F7">
      <w:pPr>
        <w:spacing w:after="0" w:line="240" w:lineRule="auto"/>
        <w:jc w:val="both"/>
        <w:rPr>
          <w:rFonts w:eastAsiaTheme="minorEastAsia" w:cstheme="minorHAnsi"/>
          <w:b/>
          <w:bCs/>
          <w:lang w:val="en-GB"/>
        </w:rPr>
      </w:pPr>
      <w:r>
        <w:rPr>
          <w:rFonts w:eastAsiaTheme="minorEastAsia" w:cstheme="minorHAnsi"/>
          <w:b/>
          <w:bCs/>
          <w:lang w:val="en-GB"/>
        </w:rPr>
        <w:t>Figure S4</w:t>
      </w:r>
      <w:r w:rsidR="005940EA" w:rsidRPr="005940EA">
        <w:rPr>
          <w:rFonts w:eastAsiaTheme="minorEastAsia" w:cstheme="minorHAnsi"/>
          <w:b/>
          <w:bCs/>
          <w:lang w:val="en-GB"/>
        </w:rPr>
        <w:t>: Rpt6_S120A clones show constitutively elevate NF-kB activation.</w:t>
      </w:r>
    </w:p>
    <w:p w14:paraId="0840A3EA" w14:textId="75A0EDB2" w:rsidR="005940EA" w:rsidRPr="00385488" w:rsidRDefault="005940EA" w:rsidP="00F231F7">
      <w:pPr>
        <w:spacing w:after="0" w:line="240" w:lineRule="auto"/>
        <w:jc w:val="both"/>
        <w:rPr>
          <w:rFonts w:eastAsiaTheme="minorEastAsia" w:cstheme="minorHAnsi"/>
          <w:color w:val="000000" w:themeColor="text1"/>
          <w:lang w:val="en-GB"/>
        </w:rPr>
      </w:pPr>
      <w:r w:rsidRPr="005940EA">
        <w:rPr>
          <w:rFonts w:eastAsiaTheme="minorEastAsia" w:cstheme="minorHAnsi"/>
          <w:lang w:val="en-GB"/>
        </w:rPr>
        <w:t>(A)</w:t>
      </w:r>
      <w:r w:rsidRPr="005940EA">
        <w:rPr>
          <w:rFonts w:eastAsiaTheme="minorEastAsia" w:cstheme="minorHAnsi"/>
          <w:b/>
          <w:bCs/>
          <w:lang w:val="en-GB"/>
        </w:rPr>
        <w:t xml:space="preserve"> </w:t>
      </w:r>
      <w:r w:rsidRPr="005940EA">
        <w:rPr>
          <w:rFonts w:eastAsiaTheme="minorEastAsia" w:cstheme="minorHAnsi"/>
          <w:lang w:val="en-GB"/>
        </w:rPr>
        <w:t xml:space="preserve">Whole cell lysates were prepared </w:t>
      </w:r>
      <w:r w:rsidRPr="00385488">
        <w:rPr>
          <w:rFonts w:eastAsiaTheme="minorEastAsia" w:cstheme="minorHAnsi"/>
          <w:color w:val="000000" w:themeColor="text1"/>
          <w:lang w:val="en-GB"/>
        </w:rPr>
        <w:t xml:space="preserve">from Rpt6_S120A and Vector clones and analysed by Wb. Filters were stained with the anti-IkBα, -pIkBα(ser32) and -p65 antibodies; total proteins stained by Ponceau S were used as loading control; (B) the same lysates were further probed with antibodies raised against the natural proteasome substrates, p53, p21 and poly-ubiquitinylated proteins. GAPDH was used as loading control. Histograms </w:t>
      </w:r>
      <w:r w:rsidR="00233D7B" w:rsidRPr="00385488">
        <w:rPr>
          <w:rFonts w:eastAsiaTheme="minorEastAsia" w:cstheme="minorHAnsi"/>
          <w:color w:val="000000" w:themeColor="text1"/>
          <w:lang w:val="en-GB"/>
        </w:rPr>
        <w:t xml:space="preserve">in (A) and (B) </w:t>
      </w:r>
      <w:r w:rsidRPr="00385488">
        <w:rPr>
          <w:rFonts w:eastAsiaTheme="minorEastAsia" w:cstheme="minorHAnsi"/>
          <w:color w:val="000000" w:themeColor="text1"/>
          <w:lang w:val="en-GB"/>
        </w:rPr>
        <w:t xml:space="preserve">report the densitometry of immunoreactive bands of clones. Data are presented as mean ±SD (n=3); a representative blot of three independent replicates is shown; statistics refers to differences between Rpt6_S120A vs Vector clones. one-way ANOVA followed by Tukey’s post-hoc test: </w:t>
      </w:r>
      <w:r w:rsidR="00233D7B" w:rsidRPr="00385488">
        <w:rPr>
          <w:rFonts w:eastAsiaTheme="minorEastAsia" w:cstheme="minorHAnsi"/>
          <w:color w:val="000000" w:themeColor="text1"/>
          <w:lang w:val="en-GB"/>
        </w:rPr>
        <w:t>***</w:t>
      </w:r>
      <w:r w:rsidRPr="00385488">
        <w:rPr>
          <w:rFonts w:eastAsiaTheme="minorEastAsia" w:cstheme="minorHAnsi"/>
          <w:color w:val="000000" w:themeColor="text1"/>
          <w:lang w:val="en-GB"/>
        </w:rPr>
        <w:t xml:space="preserve">p&lt;0.001; in (A) and (B) histograms shown are limited to those for which a statistical significance was obtained; (C) transcripts of IL-8 and MCP1 together with IL-1β (data not shown) of Rpt6_S120A and Vector clones were assayed by RT-PCR. β-actin was used as internal control. Data are presented as mean ±SD (n=3). One-way ANOVA followed by Tukey’s post-hoc test (n=3): </w:t>
      </w:r>
      <w:r w:rsidR="009B7510" w:rsidRPr="00385488">
        <w:rPr>
          <w:rFonts w:eastAsiaTheme="minorEastAsia" w:cstheme="minorHAnsi"/>
          <w:color w:val="000000" w:themeColor="text1"/>
          <w:lang w:val="en-GB"/>
        </w:rPr>
        <w:t>***</w:t>
      </w:r>
      <w:r w:rsidRPr="00385488">
        <w:rPr>
          <w:rFonts w:eastAsiaTheme="minorEastAsia" w:cstheme="minorHAnsi"/>
          <w:color w:val="000000" w:themeColor="text1"/>
          <w:lang w:val="en-GB"/>
        </w:rPr>
        <w:t xml:space="preserve">p&lt;0.001. </w:t>
      </w:r>
    </w:p>
    <w:p w14:paraId="00847A15" w14:textId="77777777" w:rsidR="005940EA" w:rsidRPr="00385488" w:rsidRDefault="005940EA" w:rsidP="005940EA">
      <w:pPr>
        <w:tabs>
          <w:tab w:val="left" w:pos="6490"/>
        </w:tabs>
        <w:jc w:val="center"/>
        <w:rPr>
          <w:color w:val="000000" w:themeColor="text1"/>
          <w:lang w:val="en-GB"/>
        </w:rPr>
      </w:pPr>
    </w:p>
    <w:p w14:paraId="5969A7DE" w14:textId="444F26BB" w:rsidR="005741AE" w:rsidRDefault="00C914DD" w:rsidP="00123B48">
      <w:pPr>
        <w:tabs>
          <w:tab w:val="left" w:pos="6490"/>
        </w:tabs>
        <w:rPr>
          <w:lang w:val="en-GB"/>
        </w:rPr>
      </w:pPr>
      <w:r>
        <w:rPr>
          <w:noProof/>
        </w:rPr>
        <w:lastRenderedPageBreak/>
        <w:drawing>
          <wp:inline distT="0" distB="0" distL="0" distR="0" wp14:anchorId="145CCB61" wp14:editId="3BDCC3C9">
            <wp:extent cx="6120130" cy="590613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20130" cy="5906135"/>
                    </a:xfrm>
                    <a:prstGeom prst="rect">
                      <a:avLst/>
                    </a:prstGeom>
                    <a:noFill/>
                    <a:ln>
                      <a:noFill/>
                    </a:ln>
                  </pic:spPr>
                </pic:pic>
              </a:graphicData>
            </a:graphic>
          </wp:inline>
        </w:drawing>
      </w:r>
    </w:p>
    <w:p w14:paraId="4803799C" w14:textId="3C92E7FF" w:rsidR="005741AE" w:rsidRDefault="005741AE" w:rsidP="00123B48">
      <w:pPr>
        <w:tabs>
          <w:tab w:val="left" w:pos="6490"/>
        </w:tabs>
        <w:rPr>
          <w:lang w:val="en-GB"/>
        </w:rPr>
      </w:pPr>
    </w:p>
    <w:p w14:paraId="6ADB05BE" w14:textId="6F782E46" w:rsidR="005741AE" w:rsidRDefault="005741AE" w:rsidP="00123B48">
      <w:pPr>
        <w:tabs>
          <w:tab w:val="left" w:pos="6490"/>
        </w:tabs>
        <w:rPr>
          <w:lang w:val="en-GB"/>
        </w:rPr>
      </w:pPr>
    </w:p>
    <w:p w14:paraId="70943521" w14:textId="23197949" w:rsidR="005741AE" w:rsidRDefault="00F8385A" w:rsidP="0057421E">
      <w:pPr>
        <w:tabs>
          <w:tab w:val="left" w:pos="6490"/>
        </w:tabs>
        <w:jc w:val="both"/>
        <w:rPr>
          <w:lang w:val="en-GB"/>
        </w:rPr>
      </w:pPr>
      <w:r>
        <w:rPr>
          <w:b/>
          <w:bCs/>
          <w:lang w:val="en-GB"/>
        </w:rPr>
        <w:t>Figure S5</w:t>
      </w:r>
      <w:r w:rsidR="005741AE">
        <w:rPr>
          <w:lang w:val="en-GB"/>
        </w:rPr>
        <w:t xml:space="preserve">: </w:t>
      </w:r>
      <w:r w:rsidR="005741AE" w:rsidRPr="0057421E">
        <w:rPr>
          <w:b/>
          <w:lang w:val="en-GB"/>
        </w:rPr>
        <w:t xml:space="preserve">Determination of the dynamic linear range of </w:t>
      </w:r>
      <w:r w:rsidR="00EE28E5">
        <w:rPr>
          <w:b/>
          <w:lang w:val="en-GB"/>
        </w:rPr>
        <w:t xml:space="preserve">actin </w:t>
      </w:r>
      <w:r w:rsidR="005741AE" w:rsidRPr="0057421E">
        <w:rPr>
          <w:b/>
          <w:lang w:val="en-GB"/>
        </w:rPr>
        <w:t>and Ponceau.</w:t>
      </w:r>
      <w:r w:rsidR="005741AE">
        <w:rPr>
          <w:lang w:val="en-GB"/>
        </w:rPr>
        <w:t xml:space="preserve"> </w:t>
      </w:r>
      <w:r w:rsidR="00EE28E5">
        <w:rPr>
          <w:lang w:val="en-GB"/>
        </w:rPr>
        <w:t>Actin, but also GAPDH (not shown)</w:t>
      </w:r>
      <w:r w:rsidR="005741AE">
        <w:rPr>
          <w:lang w:val="en-GB"/>
        </w:rPr>
        <w:t xml:space="preserve"> detection is off the linear range at 7.5 µg of proteins loaded per well (</w:t>
      </w:r>
      <w:r w:rsidR="00A67F53">
        <w:rPr>
          <w:lang w:val="en-GB"/>
        </w:rPr>
        <w:t xml:space="preserve">as indicated by </w:t>
      </w:r>
      <w:r w:rsidR="005741AE">
        <w:rPr>
          <w:lang w:val="en-GB"/>
        </w:rPr>
        <w:t xml:space="preserve">the appearance of ghost bands over this threshold). Ponceau S, though less sensitive, displays a linear range up to 40 µg of proteins. The choice of using </w:t>
      </w:r>
      <w:r w:rsidR="00EE28E5">
        <w:rPr>
          <w:lang w:val="en-GB"/>
        </w:rPr>
        <w:t>actin</w:t>
      </w:r>
      <w:r w:rsidR="005741AE">
        <w:rPr>
          <w:lang w:val="en-GB"/>
        </w:rPr>
        <w:t xml:space="preserve"> or Ponceau was based on the µg needed to get a valid immunoblot for any given target protein.</w:t>
      </w:r>
    </w:p>
    <w:p w14:paraId="22EC570E" w14:textId="77777777" w:rsidR="005741AE" w:rsidRPr="00123B48" w:rsidRDefault="005741AE" w:rsidP="00123B48">
      <w:pPr>
        <w:tabs>
          <w:tab w:val="left" w:pos="6490"/>
        </w:tabs>
        <w:rPr>
          <w:lang w:val="en-GB"/>
        </w:rPr>
      </w:pPr>
    </w:p>
    <w:sectPr w:rsidR="005741AE" w:rsidRPr="00123B4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2562D" w14:textId="77777777" w:rsidR="00BB0790" w:rsidRDefault="00BB0790" w:rsidP="00406DDB">
      <w:pPr>
        <w:spacing w:after="0" w:line="240" w:lineRule="auto"/>
      </w:pPr>
      <w:r>
        <w:separator/>
      </w:r>
    </w:p>
  </w:endnote>
  <w:endnote w:type="continuationSeparator" w:id="0">
    <w:p w14:paraId="789FD19A" w14:textId="77777777" w:rsidR="00BB0790" w:rsidRDefault="00BB0790" w:rsidP="00406D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CAC56" w14:textId="77777777" w:rsidR="00BB0790" w:rsidRDefault="00BB0790" w:rsidP="00406DDB">
      <w:pPr>
        <w:spacing w:after="0" w:line="240" w:lineRule="auto"/>
      </w:pPr>
      <w:r>
        <w:separator/>
      </w:r>
    </w:p>
  </w:footnote>
  <w:footnote w:type="continuationSeparator" w:id="0">
    <w:p w14:paraId="6B119ED9" w14:textId="77777777" w:rsidR="00BB0790" w:rsidRDefault="00BB0790" w:rsidP="00406D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C2F"/>
    <w:rsid w:val="00031837"/>
    <w:rsid w:val="0008535A"/>
    <w:rsid w:val="000C1049"/>
    <w:rsid w:val="000C35B7"/>
    <w:rsid w:val="00123B48"/>
    <w:rsid w:val="00130DF7"/>
    <w:rsid w:val="00233D7B"/>
    <w:rsid w:val="0025615E"/>
    <w:rsid w:val="00350D0C"/>
    <w:rsid w:val="00385488"/>
    <w:rsid w:val="003C0696"/>
    <w:rsid w:val="003C22A3"/>
    <w:rsid w:val="003C52B4"/>
    <w:rsid w:val="003F4646"/>
    <w:rsid w:val="00405E67"/>
    <w:rsid w:val="00406DDB"/>
    <w:rsid w:val="004564AE"/>
    <w:rsid w:val="004A0379"/>
    <w:rsid w:val="004B6C73"/>
    <w:rsid w:val="004B6CBE"/>
    <w:rsid w:val="004D68F9"/>
    <w:rsid w:val="005741AE"/>
    <w:rsid w:val="0057421E"/>
    <w:rsid w:val="00575127"/>
    <w:rsid w:val="005940EA"/>
    <w:rsid w:val="005B5D22"/>
    <w:rsid w:val="005D54CF"/>
    <w:rsid w:val="005F5C2F"/>
    <w:rsid w:val="00604B6B"/>
    <w:rsid w:val="0061249D"/>
    <w:rsid w:val="006B2535"/>
    <w:rsid w:val="006C5D22"/>
    <w:rsid w:val="007132E8"/>
    <w:rsid w:val="00741E52"/>
    <w:rsid w:val="00764108"/>
    <w:rsid w:val="007665F9"/>
    <w:rsid w:val="007D660A"/>
    <w:rsid w:val="00827C87"/>
    <w:rsid w:val="008C460A"/>
    <w:rsid w:val="009615E8"/>
    <w:rsid w:val="009B7510"/>
    <w:rsid w:val="009C6949"/>
    <w:rsid w:val="00A00320"/>
    <w:rsid w:val="00A234F4"/>
    <w:rsid w:val="00A67F53"/>
    <w:rsid w:val="00A85C96"/>
    <w:rsid w:val="00B423CE"/>
    <w:rsid w:val="00BB0790"/>
    <w:rsid w:val="00BC10A3"/>
    <w:rsid w:val="00C02FF7"/>
    <w:rsid w:val="00C30392"/>
    <w:rsid w:val="00C914DD"/>
    <w:rsid w:val="00CC28B1"/>
    <w:rsid w:val="00D557D3"/>
    <w:rsid w:val="00D573D0"/>
    <w:rsid w:val="00DB2B61"/>
    <w:rsid w:val="00DD3B32"/>
    <w:rsid w:val="00DE20C2"/>
    <w:rsid w:val="00E02B75"/>
    <w:rsid w:val="00E73406"/>
    <w:rsid w:val="00EA4361"/>
    <w:rsid w:val="00EE28E5"/>
    <w:rsid w:val="00F231F7"/>
    <w:rsid w:val="00F65E93"/>
    <w:rsid w:val="00F74862"/>
    <w:rsid w:val="00F82C75"/>
    <w:rsid w:val="00F8385A"/>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11B99"/>
  <w15:docId w15:val="{0D85F6DD-E91C-4821-A78E-262FDE74D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C10A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C10A3"/>
    <w:rPr>
      <w:rFonts w:ascii="Tahoma" w:hAnsi="Tahoma" w:cs="Tahoma"/>
      <w:sz w:val="16"/>
      <w:szCs w:val="16"/>
    </w:rPr>
  </w:style>
  <w:style w:type="paragraph" w:styleId="Intestazione">
    <w:name w:val="header"/>
    <w:basedOn w:val="Normale"/>
    <w:link w:val="IntestazioneCarattere"/>
    <w:uiPriority w:val="99"/>
    <w:unhideWhenUsed/>
    <w:rsid w:val="00406DD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06DDB"/>
  </w:style>
  <w:style w:type="paragraph" w:styleId="Pidipagina">
    <w:name w:val="footer"/>
    <w:basedOn w:val="Normale"/>
    <w:link w:val="PidipaginaCarattere"/>
    <w:uiPriority w:val="99"/>
    <w:unhideWhenUsed/>
    <w:rsid w:val="00406DD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06D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10</Pages>
  <Words>816</Words>
  <Characters>4655</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Diego Sbardella</dc:creator>
  <cp:lastModifiedBy>Diego Sbardella</cp:lastModifiedBy>
  <cp:revision>12</cp:revision>
  <cp:lastPrinted>2021-09-27T12:57:00Z</cp:lastPrinted>
  <dcterms:created xsi:type="dcterms:W3CDTF">2021-09-30T12:46:00Z</dcterms:created>
  <dcterms:modified xsi:type="dcterms:W3CDTF">2021-10-19T14:10:00Z</dcterms:modified>
</cp:coreProperties>
</file>