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21555" w14:textId="77777777" w:rsidR="00462E41" w:rsidRDefault="00462E41" w:rsidP="00462E41">
      <w:pPr>
        <w:pStyle w:val="Heading1"/>
      </w:pPr>
      <w:r>
        <w:t>List of additional files</w:t>
      </w:r>
    </w:p>
    <w:p w14:paraId="2859285C" w14:textId="77777777" w:rsidR="00462E41" w:rsidRDefault="00462E41" w:rsidP="00462E41">
      <w:r>
        <w:t>Additional file 1: Supplementary materials (DOCX). eTable 1 (variable definitions and annual source mapping); eTable 2 (expanded cohort characteristics and missingness); eTable 3 (annual exposure and mortality counts); eTable 4 (extended social and healthcare-detection sensitivity model); eTable 5 (pathway-attenuation models); eTable 6 (complete exploratory cause-specific results and ICD-10 definitions); and eFigure 1 (prespecified directed acyclic graph) (Supplementary_Material_v1.1.docx).</w:t>
      </w:r>
    </w:p>
    <w:p w14:paraId="6F6C47B6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E41"/>
    <w:rsid w:val="000C4033"/>
    <w:rsid w:val="00173ED8"/>
    <w:rsid w:val="002932D5"/>
    <w:rsid w:val="002F50B1"/>
    <w:rsid w:val="00462E41"/>
    <w:rsid w:val="004B42CB"/>
    <w:rsid w:val="005F2B46"/>
    <w:rsid w:val="006E1731"/>
    <w:rsid w:val="00866D74"/>
    <w:rsid w:val="00882A73"/>
    <w:rsid w:val="00906905"/>
    <w:rsid w:val="0095305D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20B8C"/>
  <w15:chartTrackingRefBased/>
  <w15:docId w15:val="{AB58A27A-5E5C-475B-8119-8B40840EC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2E41"/>
    <w:pPr>
      <w:spacing w:after="0" w:line="480" w:lineRule="auto"/>
    </w:pPr>
    <w:rPr>
      <w:rFonts w:ascii="Times New Roman" w:eastAsiaTheme="minorEastAsia" w:hAnsi="Times New Roman"/>
      <w:color w:val="000000"/>
      <w:kern w:val="0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2E4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2E4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2E4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2E4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2E4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2E4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2E4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2E4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2E4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2E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2E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2E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2E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2E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2E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2E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2E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2E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2E41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62E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2E4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62E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2E41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62E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2E41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62E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2E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2E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2E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2026-10-19T06:09:00Z</dcterms:created>
  <dcterms:modified xsi:type="dcterms:W3CDTF">2026-10-19T06:09:00Z</dcterms:modified>
</cp:coreProperties>
</file>