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Supporting Information</w:t>
      </w:r>
    </w:p>
    <w:p>
      <w:pPr>
        <w:jc w:val="center"/>
      </w:pPr>
      <w:r>
        <w:rPr>
          <w:b/>
          <w:sz w:val="24"/>
        </w:rPr>
        <w:t>Residue-Conditioned In-Pocket Design for Paralogue Selectivity</w:t>
      </w:r>
    </w:p>
    <w:p>
      <w:pPr>
        <w:jc w:val="center"/>
      </w:pPr>
      <w:r>
        <w:rPr>
          <w:sz w:val="22"/>
        </w:rPr>
        <w:t>Ahmed Amine SADOUK</w:t>
      </w:r>
    </w:p>
    <w:p>
      <w:pPr>
        <w:jc w:val="center"/>
      </w:pPr>
      <w:r>
        <w:rPr>
          <w:sz w:val="22"/>
        </w:rPr>
        <w:t>Independent Researcher</w:t>
      </w:r>
    </w:p>
    <w:p/>
    <w:p>
      <w:r>
        <w:rPr>
          <w:b/>
        </w:rPr>
        <w:t>Contents</w:t>
      </w:r>
    </w:p>
    <w:p>
      <w:pPr>
        <w:spacing w:after="40"/>
        <w:ind w:left="360"/>
      </w:pPr>
      <w:r>
        <w:rPr>
          <w:b/>
          <w:sz w:val="20"/>
        </w:rPr>
        <w:t xml:space="preserve">Figure S1. </w:t>
      </w:r>
      <w:r>
        <w:rPr>
          <w:sz w:val="20"/>
        </w:rPr>
        <w:t>The EGFR T790M over wild type EGFR trajectory, 8 rounds, 17 to 59 heavy atoms .</w:t>
      </w:r>
    </w:p>
    <w:p>
      <w:pPr>
        <w:spacing w:after="40"/>
        <w:ind w:left="360"/>
      </w:pPr>
      <w:r>
        <w:rPr>
          <w:b/>
          <w:sz w:val="20"/>
        </w:rPr>
        <w:t xml:space="preserve">Figure S2. </w:t>
      </w:r>
      <w:r>
        <w:rPr>
          <w:sz w:val="20"/>
        </w:rPr>
        <w:t>The KRAS G12C over wild type KRAS trajectory , 8 rounds, 65 to 94 heavy atoms .</w:t>
      </w:r>
    </w:p>
    <w:p>
      <w:pPr>
        <w:spacing w:after="40"/>
        <w:ind w:left="360"/>
      </w:pPr>
      <w:r>
        <w:rPr>
          <w:b/>
          <w:sz w:val="20"/>
        </w:rPr>
        <w:t xml:space="preserve">Table S1. </w:t>
      </w:r>
      <w:r>
        <w:rPr>
          <w:sz w:val="20"/>
        </w:rPr>
        <w:t>The 44 reference compounds with their case, approval status , InChIKey and PubChem CID .</w:t>
      </w:r>
    </w:p>
    <w:p>
      <w:pPr>
        <w:spacing w:after="40"/>
        <w:ind w:left="360"/>
      </w:pPr>
      <w:r>
        <w:rPr>
          <w:b/>
          <w:sz w:val="20"/>
        </w:rPr>
        <w:t xml:space="preserve">Table S2. </w:t>
      </w:r>
      <w:r>
        <w:rPr>
          <w:sz w:val="20"/>
        </w:rPr>
        <w:t>Per comparison shared core , decoy null median and exact p value .</w:t>
      </w:r>
    </w:p>
    <w:p>
      <w:pPr>
        <w:spacing w:after="40"/>
        <w:ind w:left="360"/>
      </w:pPr>
      <w:r>
        <w:rPr>
          <w:b/>
          <w:sz w:val="20"/>
        </w:rPr>
        <w:t xml:space="preserve">Table S3. </w:t>
      </w:r>
      <w:r>
        <w:rPr>
          <w:sz w:val="20"/>
        </w:rPr>
        <w:t>The drug to drug scale per target and the best of set recovery of each lead .</w:t>
      </w:r>
    </w:p>
    <w:p>
      <w:pPr>
        <w:spacing w:after="40"/>
        <w:ind w:left="360"/>
      </w:pPr>
      <w:r>
        <w:rPr>
          <w:b/>
          <w:sz w:val="20"/>
        </w:rPr>
        <w:t xml:space="preserve">Data S1. </w:t>
      </w:r>
      <w:r>
        <w:rPr>
          <w:sz w:val="20"/>
        </w:rPr>
        <w:t>The populations used by each figure , recomputed from the campaign records.</w:t>
      </w:r>
    </w:p>
    <w:p>
      <w:r>
        <w:br w:type="page"/>
      </w:r>
    </w:p>
    <w:p>
      <w:r>
        <w:rPr>
          <w:b/>
        </w:rPr>
        <w:t xml:space="preserve">Figure S1. </w:t>
      </w:r>
      <w:r>
        <w:t>The EGFR T790M over wild type EGFR trajectory, 8 rounds, 17 to 59 heavy atoms 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49632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trajectory_EGFR_T790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3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b/>
        </w:rPr>
        <w:t xml:space="preserve">Figure S2. </w:t>
      </w:r>
      <w:r>
        <w:t>The KRAS G12C over wild type KRAS trajectory , 8 rounds, 65 to 94 heavy atoms 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52160" cy="49632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_trajectory_KRAS_G12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3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b/>
        </w:rPr>
        <w:t xml:space="preserve">Table S1. </w:t>
      </w:r>
      <w:r>
        <w:t>The 44 reference compounds with their case, approval status , InChIKey and PubChem CID 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receptor pair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compound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approved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InChIKey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PubChem CID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heavy atoms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imatinib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KTUFNOKKBVMGRW-UHFFFAOYSA-N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5291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37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nilotinib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HHZIURLSWUIHRB-UHFFFAOYSA-N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644241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39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dasatinib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ZBNZXTGUTAYRHI-UHFFFAOYSA-N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3062316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ponatinib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PHXJVRSECIGDHY-UHFFFAOYSA-N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24826799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39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bosutinib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UBPYILGKFZZVDX-UHFFFAOYSA-N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5328940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36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AKT1_AKT2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capivasertib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JDUBGYFRJFOXQC-KRWDZBQOSA-N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25227436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AKT1_AKT2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ipatasertib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no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GRZXWCHAXNAUHY-NSISKUIASA-N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24788740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32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vemurafenib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GPXBXXGIAQBQNI-UHFFFAOYSA-N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42611257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dabrafenib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BFSMGDJOXZAERB-UHFFFAOYSA-N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44462760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35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encorafenib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CMJCXYNUCSMDBY-ZDUSSCGKSA-N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50922675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36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vemurafenib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GPXBXXGIAQBQNI-UHFFFAOYSA-N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42611257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dabrafenib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BFSMGDJOXZAERB-UHFFFAOYSA-N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44462760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35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encorafenib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CMJCXYNUCSMDBY-ZDUSSCGKSA-N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50922675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36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acetazolamide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BZKPWHYZMXOIDC-UHFFFAOYSA-N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1986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methazolamide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FLOSMHQXBMRNHR-UHFFFAOYSA-N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4100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dorzolamide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IAVUPMFITXYVAF-XPUUQOCRSA-N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5284549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brinzolamide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HCRKCZRJWPKOAR-JTQLQIEISA-N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68844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palbociclib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AHJRHEGDXFFMBM-UHFFFAOYSA-N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5330286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ribociclib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RHXHGRAEPCAFML-UHFFFAOYSA-N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44631912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32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abemaciclib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UZWDCWONPYILKI-UHFFFAOYSA-N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46220502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37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gefitinib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XGALLCVXEZPNRQ-UHFFFAOYSA-N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123631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31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erlotinib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AAKJLRGGTJKAMG-UHFFFAOYSA-N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176870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29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afatinib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ULXXDDBFHOBEHA-CWDCEQMOSA-N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10184653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osimertinib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DUYJMQONPNNFPI-UHFFFAOYSA-N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71496458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37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dacomitinib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LVXJQMNHJWSHET-AATRIKPKSA-N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11511120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neratinib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JWNPDZNEKVCWMY-VQHVLOKHSA-N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9915743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40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ruxolitinib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HFNKQEVNSGCOJV-OAHLLOKOSA-N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25126798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baricitinib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XUZMWHLSFXCVMG-UHFFFAOYSA-N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44205240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fedratinib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JOOXLOJCABQBSG-UHFFFAOYSA-N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16722836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37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tofacitinib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UJLAWZDWDVHWOW-YPMHNXCESA-N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9926791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KRAS_G12C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sotorasib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NXQKSXLFSAEQCZ-SFHVURJKSA-N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137278711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41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KRAS_G12C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adagrasib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PEMUGDMSUDYLHU-ZEQRLZLVSA-N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138611145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43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olaparib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FDLYAMZZIXQODN-UHFFFAOYSA-N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23725625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32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niraparib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PCHKPVIQAHNQLW-CQSZACIVSA-N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24958200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rucaparib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HMABYWSNWIZPAG-UHFFFAOYSA-N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9931954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talazoparib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HWGQMRYQVZSGDQ-HZPDHXFCSA-N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135565082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28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alpelisib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STUWGJZDJHPWGZ-LBPRGKRZSA-N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56649450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idelalisib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IFSDAJWBUCMOAH-HNNXBMFYSA-N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11625818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31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duvelisib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SJVQHLPISAIATJ-ZDUSSCGKSA-N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50905713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copanlisib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MWYDSXOGIBMAET-UHFFFAOYSA-N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135565596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35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celecoxib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RZEKVGVHFLEQIL-UHFFFAOYSA-N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2662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rofecoxib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no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RZJQGNCSTQAWON-UHFFFAOYSA-N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5090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22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etoricoxib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yes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MNJVRJDLRVPLFE-UHFFFAOYSA-N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123619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valdecoxib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no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LNPDTQAFDNKSHK-UHFFFAOYSA-N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119607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22</w:t>
            </w:r>
          </w:p>
        </w:tc>
      </w:tr>
    </w:tbl>
    <w:p>
      <w:r>
        <w:br w:type="page"/>
      </w:r>
    </w:p>
    <w:p>
      <w:r>
        <w:rPr>
          <w:b/>
        </w:rPr>
        <w:t xml:space="preserve">Table S2. </w:t>
      </w:r>
      <w:r>
        <w:t>Per comparison shared core , decoy null median and exact p value 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receptor pair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compound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shared core, %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decoy null, %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p, exact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imatinib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78.37837837837837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21.62162162162162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nilotinib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48.717948717948715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20.512820512820515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dasatinib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30.303030303030305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0.03278688524590164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ponatinib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41.02564102564103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17.94871794871795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bosutinib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36.111111111111114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19.444444444444443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0.03278688524590164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AKT1_AKT2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capivasertib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23.333333333333332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23.333333333333332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0.5901639344262295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AKT1_AKT2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ipatasertib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18.75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21.875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1.0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vemurafenib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0.8524590163934426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dabrafenib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0.9508196721311475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encorafenib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19.444444444444443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19.444444444444443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0.9508196721311475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vemurafenib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0.9344262295081968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dabrafenib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0.9180327868852459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encorafenib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19.444444444444443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19.444444444444443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0.9508196721311475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acetazolamide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38.46153846153846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23.076923076923077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0.09836065573770492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methazolamide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35.714285714285715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21.428571428571427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0.04918032786885246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dorzolamide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26.31578947368421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15.789473684210526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0.09836065573770492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brinzolamide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21.73913043478261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13.043478260869565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0.09836065573770492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palbociclib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18.181818181818183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0.19672131147540983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ribociclib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21.875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18.75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0.36065573770491804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abemaciclib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18.91891891891892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18.91891891891892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0.7868852459016393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gefitinib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54.83870967741935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22.580645161290324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erlotinib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58.62068965517241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24.137931034482758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afatinib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20.58823529411765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osimertinib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21.62162162162162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21.62162162162162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0.5245901639344263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dacomitinib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51.515151515151516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21.21212121212121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neratinib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0.4262295081967213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ruxolitinib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30.434782608695652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21.73913043478261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0.29508196721311475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baricitinib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26.923076923076923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19.23076923076923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0.29508196721311475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fedratinib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18.91891891891892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24.324324324324323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0.8688524590163934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tofacitinib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34.78260869565217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26.08695652173913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0.29508196721311475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KRAS_G12C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sotorasib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17.073170731707318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17.073170731707318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0.7377049180327869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KRAS_G12C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adagrasib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16.27906976744186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13.953488372093023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0.47540983606557374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olaparib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21.875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0.16393442622950818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niraparib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29.166666666666668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1.0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rucaparib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16.666666666666668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29.166666666666668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1.0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talazoparib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21.428571428571427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1.0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alpelisib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0.6229508196721312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idelalisib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22.580645161290324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22.580645161290324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0.5737704918032787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duvelisib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23.333333333333332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23.333333333333332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0.6229508196721312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copanlisib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17.142857142857142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1.0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celecoxib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34.61538461538461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26.923076923076923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0.13114754098360656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rofecoxib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27.272727272727273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0.01639344262295082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etoricoxib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45.833333333333336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25.0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0.06557377049180328</w:t>
            </w:r>
          </w:p>
        </w:tc>
      </w:tr>
      <w:tr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valdecoxib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45.45454545454545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27.272727272727273</w:t>
            </w:r>
          </w:p>
        </w:tc>
        <w:tc>
          <w:tcPr>
            <w:tcW w:type="dxa" w:w="1872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0.09836065573770492</w:t>
            </w:r>
          </w:p>
        </w:tc>
      </w:tr>
    </w:tbl>
    <w:p>
      <w:r>
        <w:br w:type="page"/>
      </w:r>
    </w:p>
    <w:p>
      <w:r>
        <w:rPr>
          <w:b/>
        </w:rPr>
        <w:t xml:space="preserve">Table S3. </w:t>
      </w:r>
      <w:r>
        <w:t>The drug to drug scale per target and the best of set recovery of each lead 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receptor pair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best shared core, %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nearest compound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decoy null, %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drug to drug median, %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b/>
                <w:sz w:val="16"/>
              </w:rPr>
              <w:t>p, exact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ABL1_SRC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78.4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imatinib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22.2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30.3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AKT1_AKT2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capivasertib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28.1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0.6066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vemurafenib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0.8525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BRAF_V600E_alt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vemurafenib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0.9344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CA2_CA1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38.5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acetazolamide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0.0984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CDK6_CDK2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21.9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ribociclib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18.9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35.1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0.3934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EGFR_T790M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58.6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erlotinib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24.1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35.0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0.0164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JAK2_JAK1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34.8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tofacitinib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39.1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0.3279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KRAS_G12C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sotorasib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17.1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37.2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0.8361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PARP1_PARP2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25.0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olaparib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29.2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33.3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1.0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PIK3CA_PIK3CD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duvelisib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23.3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26.7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0.6885</w:t>
            </w:r>
          </w:p>
        </w:tc>
      </w:tr>
      <w:tr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PTGS2_PTGS1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50.0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rofecoxib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27.3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45.5</w:t>
            </w:r>
          </w:p>
        </w:tc>
        <w:tc>
          <w:tcPr>
            <w:tcW w:type="dxa" w:w="1560"/>
          </w:tcPr>
          <w:p>
            <w:pPr>
              <w:spacing w:after="0" w:line="240" w:lineRule="auto"/>
            </w:pPr>
            <w:r/>
            <w:r>
              <w:rPr>
                <w:sz w:val="16"/>
              </w:rPr>
              <w:t>0.082</w:t>
            </w:r>
          </w:p>
        </w:tc>
      </w:tr>
    </w:tbl>
    <w:p>
      <w:r>
        <w:br w:type="page"/>
      </w:r>
    </w:p>
    <w:p>
      <w:r>
        <w:rPr>
          <w:b/>
        </w:rPr>
        <w:t xml:space="preserve">Data S1. </w:t>
      </w:r>
      <w:r>
        <w:t>The populations used by each figure , recomputed from the campaign records.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>POPULATIONS USED IN THIS STUDY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>Every count below is recomputed from the files the figures read.</w:t>
      </w:r>
    </w:p>
    <w:p>
      <w:pPr>
        <w:spacing w:after="0" w:line="240" w:lineRule="auto"/>
      </w:pPr>
      <w:r>
        <w:rPr>
          <w:rFonts w:ascii="Consolas" w:hAnsi="Consolas"/>
          <w:sz w:val="16"/>
        </w:rPr>
      </w:r>
    </w:p>
    <w:p>
      <w:pPr>
        <w:spacing w:after="0" w:line="240" w:lineRule="auto"/>
      </w:pPr>
      <w:r>
        <w:rPr>
          <w:rFonts w:ascii="Consolas" w:hAnsi="Consolas"/>
          <w:sz w:val="16"/>
        </w:rPr>
        <w:t>1  CAMPAIGNS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attempted                     18 receptor pairs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produced a final lead         17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produced none                 1 (SRC_LCK)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rounds per campaign           ABL1_SRC 6, AKT1_AKT2 3, BRAF_V600E 8, BRAF_V600E_alt 8, CA2_CA1 8, CDK6_CDK2 8, CTSK_CTSS 6, EGFR_T790M 8, JAK2_JAK1 8, KRAS_G12C 8, MAPK14_MAPK1 2, MCL1_BCL2 8, MMP13_MMP1 5, PARP1_PARP2 8, PIK3CA_PIK3CD 8, PTGS2_PTGS1 8, ROCK1_ROCK2 3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USED BY: containment, trajectories, structure panel</w:t>
      </w:r>
    </w:p>
    <w:p>
      <w:pPr>
        <w:spacing w:after="0" w:line="240" w:lineRule="auto"/>
      </w:pPr>
      <w:r>
        <w:rPr>
          <w:rFonts w:ascii="Consolas" w:hAnsi="Consolas"/>
          <w:sz w:val="16"/>
        </w:rPr>
      </w:r>
    </w:p>
    <w:p>
      <w:pPr>
        <w:spacing w:after="0" w:line="240" w:lineRule="auto"/>
      </w:pPr>
      <w:r>
        <w:rPr>
          <w:rFonts w:ascii="Consolas" w:hAnsi="Consolas"/>
          <w:sz w:val="16"/>
        </w:rPr>
        <w:t>2  MARKETED DRUG SET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compounds                     44, of which 41 approved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receptor pairs covered        12 of 17 campaigns with leads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campaigns with NO marketed drug for their target: CTSK_CTSS, MAPK14_MAPK1, MCL1_BCL2, MMP13_MMP1, ROCK1_ROCK2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per pair                      ABL1_SRC 5, AKT1_AKT2 2, BRAF_V600E 3, BRAF_V600E_alt 3, CA2_CA1 4, CDK6_CDK2 3, EGFR_T790M 6, JAK2_JAK1 4, KRAS_G12C 2, PARP1_PARP2 4, PIK3CA_PIK3CD 4, PTGS2_PTGS1 4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USED BY: commercial comparison, chemotype scale, recovery and retention statistics</w:t>
      </w:r>
    </w:p>
    <w:p>
      <w:pPr>
        <w:spacing w:after="0" w:line="240" w:lineRule="auto"/>
      </w:pPr>
      <w:r>
        <w:rPr>
          <w:rFonts w:ascii="Consolas" w:hAnsi="Consolas"/>
          <w:sz w:val="16"/>
        </w:rPr>
      </w:r>
    </w:p>
    <w:p>
      <w:pPr>
        <w:spacing w:after="0" w:line="240" w:lineRule="auto"/>
      </w:pPr>
      <w:r>
        <w:rPr>
          <w:rFonts w:ascii="Consolas" w:hAnsi="Consolas"/>
          <w:sz w:val="16"/>
        </w:rPr>
        <w:t>3  SBDD BENCHMARK POPULATION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molecules                     43, screened and de-duplicated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heavy atoms                   median 40, range 21 to 60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with a strain value           43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with a pose-validity verdict  31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NOT the same population as 1: this is every generated molecule that passed the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chemistry screen, not one final lead per campaign.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USED BY: the generative-model comparison figure</w:t>
      </w:r>
    </w:p>
    <w:p>
      <w:pPr>
        <w:spacing w:after="0" w:line="240" w:lineRule="auto"/>
      </w:pPr>
      <w:r>
        <w:rPr>
          <w:rFonts w:ascii="Consolas" w:hAnsi="Consolas"/>
          <w:sz w:val="16"/>
        </w:rPr>
      </w:r>
    </w:p>
    <w:p>
      <w:pPr>
        <w:spacing w:after="0" w:line="240" w:lineRule="auto"/>
      </w:pPr>
      <w:r>
        <w:rPr>
          <w:rFonts w:ascii="Consolas" w:hAnsi="Consolas"/>
          <w:sz w:val="16"/>
        </w:rPr>
        <w:t>4  COVALENT SUBSETS, WHICH ARE TWO DIFFERENT THINGS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campaigns setting a covalent goal      6 (ABL1_SRC, AKT1_AKT2, CA2_CA1, EGFR_T790M, KRAS_G12C, PARP1_PARP2)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final leads actually carrying a warhead 5 (ABL1_SRC: chloroacetamide, CA2_CA1: propiolamide, EGFR_T790M: chloroacetamide, KRAS_G12C: acrylonitrile, PIK3CA_PIK3CD: acrylamide)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Reporting the first number as though it were the second credits campaigns with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warheads their final molecules do not have.</w:t>
      </w:r>
    </w:p>
    <w:p>
      <w:pPr>
        <w:spacing w:after="0" w:line="240" w:lineRule="auto"/>
      </w:pPr>
      <w:r>
        <w:rPr>
          <w:rFonts w:ascii="Consolas" w:hAnsi="Consolas"/>
          <w:sz w:val="16"/>
        </w:rPr>
      </w:r>
    </w:p>
    <w:p>
      <w:pPr>
        <w:spacing w:after="0" w:line="240" w:lineRule="auto"/>
      </w:pPr>
      <w:r>
        <w:rPr>
          <w:rFonts w:ascii="Consolas" w:hAnsi="Consolas"/>
          <w:sz w:val="16"/>
        </w:rPr>
        <w:t>5  GUI IN-POCKET VIEWS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one campaign, CA2_CA1, rounds [1, 2, 3] at [15, 21, 22] heavy atoms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These poses were REDOCKED for the figure; they are not the poses scored during</w:t>
      </w:r>
    </w:p>
    <w:p>
      <w:pPr>
        <w:spacing w:after="0" w:line="240" w:lineRule="auto"/>
      </w:pPr>
      <w:r>
        <w:rPr>
          <w:rFonts w:ascii="Consolas" w:hAnsi="Consolas"/>
          <w:sz w:val="16"/>
        </w:rPr>
        <w:t xml:space="preserve">   the campaign, and the docking values are not shown.</w:t>
      </w:r>
    </w:p>
    <w:p>
      <w:pPr>
        <w:spacing w:after="0" w:line="240" w:lineRule="auto"/>
      </w:pPr>
      <w:r>
        <w:rPr>
          <w:rFonts w:ascii="Consolas" w:hAnsi="Consolas"/>
          <w:sz w:val="16"/>
        </w:rPr>
      </w:r>
    </w:p>
    <w:p>
      <w:r>
        <w:br w:type="page"/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