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7A8E" w14:textId="77777777" w:rsidR="00F47891" w:rsidRPr="00C10979" w:rsidRDefault="00F47891" w:rsidP="00F47891">
      <w:pPr>
        <w:spacing w:line="480" w:lineRule="auto"/>
        <w:jc w:val="left"/>
        <w:rPr>
          <w:rFonts w:ascii="Times New Roman" w:hAnsi="Times New Roman"/>
          <w:b/>
          <w:i/>
        </w:rPr>
      </w:pPr>
      <w:bookmarkStart w:id="0" w:name="_Hlk82784889"/>
      <w:r w:rsidRPr="00C10979">
        <w:rPr>
          <w:rFonts w:ascii="Times New Roman" w:hAnsi="Times New Roman"/>
          <w:b/>
        </w:rPr>
        <w:t>Waveform inversion of the ultra-long-period seismic event associated with ground tilt motion during an eruption of Mount Kusatsu-Shirane, Japan, on January 23, 2018</w:t>
      </w:r>
    </w:p>
    <w:p w14:paraId="24018D0D" w14:textId="77777777" w:rsidR="00F47891" w:rsidRPr="00C10979" w:rsidRDefault="00F47891" w:rsidP="00F47891">
      <w:pPr>
        <w:spacing w:line="480" w:lineRule="auto"/>
        <w:jc w:val="left"/>
        <w:rPr>
          <w:rFonts w:ascii="Times New Roman" w:hAnsi="Times New Roman"/>
        </w:rPr>
      </w:pPr>
      <w:r w:rsidRPr="00C10979">
        <w:rPr>
          <w:rFonts w:ascii="Times New Roman" w:hAnsi="Times New Roman"/>
        </w:rPr>
        <w:t>Author#1: Ryohei Takahashi, Sakurajima Volcano Research Center, Disaster Prevention Research Institute, Kyoto University, 1722-19 Sakurajima-Yokoyama, Kagoshima 891-1419, Japan, takahashi.ryohei.55k@st.kyoto-u.ac.jp</w:t>
      </w:r>
    </w:p>
    <w:p w14:paraId="6A8D020A" w14:textId="77777777" w:rsidR="00F47891" w:rsidRPr="00C10979" w:rsidRDefault="00F47891" w:rsidP="00F47891">
      <w:pPr>
        <w:spacing w:line="480" w:lineRule="auto"/>
        <w:jc w:val="left"/>
        <w:rPr>
          <w:rFonts w:ascii="Times New Roman" w:hAnsi="Times New Roman"/>
        </w:rPr>
      </w:pPr>
      <w:r w:rsidRPr="00C10979">
        <w:rPr>
          <w:rFonts w:ascii="Times New Roman" w:hAnsi="Times New Roman"/>
        </w:rPr>
        <w:t>Author#2: Yuta Maeda, Earthquake and Volcano Research Center, Graduate School of Environmental Studies, Nagoya University, D2-2 (510) Furo-cho, Chikusa-ku, Nagoya 464-8601, Japan, maeda@seis.nagoya-u.ac.jp</w:t>
      </w:r>
    </w:p>
    <w:p w14:paraId="3E941D10" w14:textId="77777777" w:rsidR="00F47891" w:rsidRPr="00C10979" w:rsidRDefault="00F47891" w:rsidP="00F47891">
      <w:pPr>
        <w:spacing w:line="480" w:lineRule="auto"/>
        <w:jc w:val="left"/>
        <w:rPr>
          <w:rFonts w:ascii="Times New Roman" w:hAnsi="Times New Roman"/>
        </w:rPr>
      </w:pPr>
      <w:r w:rsidRPr="00C10979">
        <w:rPr>
          <w:rFonts w:ascii="Times New Roman" w:hAnsi="Times New Roman"/>
        </w:rPr>
        <w:t>Author#3: Toshiki Watanabe, Earthquake and Volcano Research Center, Graduate School of Environmental Studies, Nagoya University, D2-2 (510) Furo-cho, Chikusa-ku, Nagoya 464-8601, Japan, watanabe@seis.nagoya-u.ac.jp</w:t>
      </w:r>
    </w:p>
    <w:p w14:paraId="532BCA13" w14:textId="77777777" w:rsidR="00F47891" w:rsidRPr="00C10979" w:rsidRDefault="00F47891" w:rsidP="00F47891">
      <w:pPr>
        <w:spacing w:line="480" w:lineRule="auto"/>
        <w:jc w:val="left"/>
        <w:rPr>
          <w:rFonts w:ascii="Times New Roman" w:hAnsi="Times New Roman"/>
          <w:b/>
        </w:rPr>
      </w:pPr>
      <w:r w:rsidRPr="00C10979">
        <w:rPr>
          <w:rFonts w:ascii="Times New Roman" w:hAnsi="Times New Roman"/>
          <w:b/>
        </w:rPr>
        <w:t>Corresponding author: Ryohei Takahashi (takahashi.ryohei.55k@st.kyoto-u.ac.jp)</w:t>
      </w:r>
    </w:p>
    <w:p w14:paraId="51F41DE2" w14:textId="77777777" w:rsidR="00F47891" w:rsidRPr="00C10979" w:rsidRDefault="00F47891" w:rsidP="00F47891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 w:rsidRPr="00C10979">
        <w:rPr>
          <w:rFonts w:ascii="Times New Roman" w:hAnsi="Times New Roman" w:cs="Times New Roman"/>
          <w:color w:val="000000"/>
          <w:kern w:val="0"/>
        </w:rPr>
        <w:br w:type="page"/>
      </w:r>
    </w:p>
    <w:p w14:paraId="2A8B6AFD" w14:textId="21DA0F11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b/>
          <w:bCs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Additional files</w:t>
      </w:r>
    </w:p>
    <w:p w14:paraId="419441B4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3C5D1B5D" wp14:editId="5AEF970D">
            <wp:extent cx="5396230" cy="2796540"/>
            <wp:effectExtent l="0" t="0" r="0" b="381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96F67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A1. Fitting between the observed (red) and synthetic (blue) waveforms for candidate (a).</w:t>
      </w:r>
    </w:p>
    <w:p w14:paraId="5223BA87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3FB7AD7A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1" w:name="_Hlk82784926"/>
      <w:bookmarkEnd w:id="0"/>
    </w:p>
    <w:p w14:paraId="0486F266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3482A684" wp14:editId="133AD2CC">
            <wp:extent cx="5396230" cy="2796540"/>
            <wp:effectExtent l="0" t="0" r="0" b="381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DD4B3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A2. Fitting between the observed (red) and synthetic (blue) waveforms for candidate (b).</w:t>
      </w:r>
    </w:p>
    <w:p w14:paraId="55A59FDB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4DF283AD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2" w:name="_Hlk82784943"/>
      <w:bookmarkEnd w:id="1"/>
    </w:p>
    <w:p w14:paraId="6BB26BFF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52B5A277" wp14:editId="1D269E94">
            <wp:extent cx="5396230" cy="2796540"/>
            <wp:effectExtent l="0" t="0" r="0" b="381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601E9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A3. Fitting between the observed (red) and synthetic (blue) waveforms for candidate (c).</w:t>
      </w:r>
    </w:p>
    <w:p w14:paraId="30E40D41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37DD46A3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3" w:name="_Hlk82784960"/>
      <w:bookmarkEnd w:id="2"/>
    </w:p>
    <w:p w14:paraId="3EEBB4C1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6D9E4418" wp14:editId="6BA72CA0">
            <wp:extent cx="5396230" cy="2796540"/>
            <wp:effectExtent l="0" t="0" r="0" b="381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22C46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A4. Fitting between the observed (red) and synthetic (blue) waveforms for candidate (d).</w:t>
      </w:r>
    </w:p>
    <w:p w14:paraId="63E9634D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0B937424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4" w:name="_Hlk82784978"/>
      <w:bookmarkEnd w:id="3"/>
    </w:p>
    <w:p w14:paraId="32DB4386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0767E326" wp14:editId="3781E75F">
            <wp:extent cx="5396230" cy="2796540"/>
            <wp:effectExtent l="0" t="0" r="0" b="381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A393C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A5. Fitting between the observed (red) and synthetic (blue) waveforms for candidate (e).</w:t>
      </w:r>
    </w:p>
    <w:p w14:paraId="23326633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5F877D3B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5" w:name="_Hlk82785167"/>
      <w:bookmarkEnd w:id="4"/>
    </w:p>
    <w:p w14:paraId="6BDC1DF1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0D95F4B1" wp14:editId="4CD8E139">
            <wp:extent cx="5396230" cy="2796540"/>
            <wp:effectExtent l="0" t="0" r="0" b="381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59AC3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A6. Fitting between the observed (red) and synthetic (blue) waveforms for candidate (f).</w:t>
      </w:r>
    </w:p>
    <w:p w14:paraId="18BF208E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7750A8D8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6" w:name="_Hlk82785192"/>
      <w:bookmarkEnd w:id="5"/>
    </w:p>
    <w:p w14:paraId="6C6A6EB0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Century" w:eastAsia="ＭＳ 明朝" w:hAnsi="Century" w:cs="Times New Roman"/>
          <w:noProof/>
          <w:sz w:val="24"/>
          <w:szCs w:val="24"/>
        </w:rPr>
        <w:drawing>
          <wp:inline distT="0" distB="0" distL="0" distR="0" wp14:anchorId="37452704" wp14:editId="72F6A016">
            <wp:extent cx="5396230" cy="4202430"/>
            <wp:effectExtent l="0" t="0" r="0" b="762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53878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A7. Fitting between the observed (red) and synthetic (blue) waveforms for candidate (g). The notation is the same as that in Fig. 16.</w:t>
      </w:r>
    </w:p>
    <w:p w14:paraId="10F4280B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01B0D650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7" w:name="_Hlk82785246"/>
      <w:bookmarkEnd w:id="6"/>
      <w:r w:rsidRPr="00317CFA">
        <w:rPr>
          <w:rFonts w:ascii="Century" w:eastAsia="ＭＳ 明朝" w:hAnsi="Century" w:cs="Times New Roman"/>
          <w:noProof/>
          <w:sz w:val="24"/>
          <w:szCs w:val="24"/>
        </w:rPr>
        <w:lastRenderedPageBreak/>
        <w:drawing>
          <wp:inline distT="0" distB="0" distL="0" distR="0" wp14:anchorId="7A6871D0" wp14:editId="13E3224A">
            <wp:extent cx="5396230" cy="4202430"/>
            <wp:effectExtent l="0" t="0" r="0" b="762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A63E5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8" w:name="_Hlk76389523"/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A8. Fitting between the observed (red) and synthetic (blue) waveforms for candidate (h). The notation is the same as that in Fig. 16.</w:t>
      </w:r>
    </w:p>
    <w:bookmarkEnd w:id="8"/>
    <w:p w14:paraId="2777482C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261893D5" w14:textId="77777777" w:rsidR="00317CFA" w:rsidRPr="00317CFA" w:rsidRDefault="00317CFA" w:rsidP="00317CFA">
      <w:pPr>
        <w:tabs>
          <w:tab w:val="left" w:pos="1491"/>
        </w:tabs>
        <w:rPr>
          <w:rFonts w:ascii="Times New Roman" w:eastAsia="ＭＳ 明朝" w:hAnsi="Times New Roman" w:cs="Times New Roman"/>
          <w:sz w:val="24"/>
          <w:szCs w:val="24"/>
        </w:rPr>
      </w:pPr>
      <w:bookmarkStart w:id="9" w:name="_Hlk82785263"/>
      <w:bookmarkEnd w:id="7"/>
      <w:r w:rsidRPr="00317CFA">
        <w:rPr>
          <w:rFonts w:ascii="Times New Roman" w:eastAsia="ＭＳ 明朝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A72FC0" wp14:editId="27DF9B70">
            <wp:extent cx="5396230" cy="4202430"/>
            <wp:effectExtent l="0" t="0" r="0" b="762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C0FAC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A9. Fitting between the observed (red) and synthetic (blue) waveforms for candidate (i). The notation is the same as that in Fig. 16.</w:t>
      </w:r>
    </w:p>
    <w:p w14:paraId="5622034A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71E5047F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10" w:name="_Hlk82785278"/>
      <w:bookmarkEnd w:id="9"/>
      <w:r w:rsidRPr="00317CFA">
        <w:rPr>
          <w:rFonts w:ascii="Century" w:eastAsia="ＭＳ 明朝" w:hAnsi="Century" w:cs="Times New Roman"/>
          <w:noProof/>
          <w:sz w:val="24"/>
          <w:szCs w:val="24"/>
        </w:rPr>
        <w:lastRenderedPageBreak/>
        <w:drawing>
          <wp:inline distT="0" distB="0" distL="0" distR="0" wp14:anchorId="485AE47D" wp14:editId="61FC7037">
            <wp:extent cx="5396230" cy="4202430"/>
            <wp:effectExtent l="0" t="0" r="0" b="762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A7B70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A10. Fitting between the observed (red) and synthetic (blue) waveforms for candidate (j). The notation is the same as that in Fig. 16.</w:t>
      </w:r>
    </w:p>
    <w:p w14:paraId="338E68E8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795B5170" w14:textId="77777777" w:rsidR="00317CFA" w:rsidRPr="00317CFA" w:rsidRDefault="00317CFA" w:rsidP="00317CFA">
      <w:pPr>
        <w:widowControl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11" w:name="_Hlk82785296"/>
      <w:bookmarkEnd w:id="10"/>
      <w:r w:rsidRPr="00317CFA">
        <w:rPr>
          <w:rFonts w:ascii="Century" w:eastAsia="ＭＳ 明朝" w:hAnsi="Century" w:cs="Times New Roman"/>
          <w:noProof/>
          <w:sz w:val="24"/>
          <w:szCs w:val="24"/>
        </w:rPr>
        <w:lastRenderedPageBreak/>
        <w:drawing>
          <wp:inline distT="0" distB="0" distL="0" distR="0" wp14:anchorId="2C69E1E5" wp14:editId="750BE7F4">
            <wp:extent cx="5396230" cy="4202430"/>
            <wp:effectExtent l="0" t="0" r="0" b="762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028A1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A11. Fitting between the observed (red) and synthetic (blue) waveforms for candidate (k). The notation is the same as that in Fig. 16.</w:t>
      </w:r>
    </w:p>
    <w:p w14:paraId="0133748B" w14:textId="77777777" w:rsidR="00317CFA" w:rsidRPr="00317CFA" w:rsidRDefault="00317CFA" w:rsidP="00317CFA">
      <w:pPr>
        <w:tabs>
          <w:tab w:val="left" w:pos="1491"/>
        </w:tabs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2E0AB9FC" w14:textId="77777777" w:rsidR="00317CFA" w:rsidRPr="00317CFA" w:rsidRDefault="00317CFA" w:rsidP="00317CFA">
      <w:pPr>
        <w:tabs>
          <w:tab w:val="left" w:pos="1491"/>
        </w:tabs>
        <w:ind w:leftChars="75" w:left="158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12" w:name="_Hlk82785321"/>
      <w:bookmarkEnd w:id="11"/>
      <w:r w:rsidRPr="00317CFA">
        <w:rPr>
          <w:rFonts w:ascii="Times New Roman" w:eastAsia="ＭＳ 明朝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64CE6CB5" wp14:editId="5E2D3956">
            <wp:extent cx="3138840" cy="3239640"/>
            <wp:effectExtent l="0" t="0" r="444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40" cy="323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DC8F2" w14:textId="77777777" w:rsidR="00317CFA" w:rsidRPr="00317CFA" w:rsidRDefault="00317CFA" w:rsidP="00317CFA">
      <w:pPr>
        <w:tabs>
          <w:tab w:val="left" w:pos="1491"/>
        </w:tabs>
        <w:ind w:leftChars="75" w:left="158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</w:p>
    <w:p w14:paraId="1662CD70" w14:textId="77777777" w:rsidR="00317CFA" w:rsidRPr="00317CFA" w:rsidRDefault="00317CFA" w:rsidP="00317CFA">
      <w:pPr>
        <w:tabs>
          <w:tab w:val="left" w:pos="1491"/>
        </w:tabs>
        <w:ind w:leftChars="75" w:left="158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Fig. A12. Location and geometry of the tensile crack for candidate (e). The notation is the same as that in Fig. 12.</w:t>
      </w:r>
    </w:p>
    <w:p w14:paraId="676FF191" w14:textId="77777777" w:rsidR="00317CFA" w:rsidRPr="00317CFA" w:rsidRDefault="00317CFA" w:rsidP="00317CFA">
      <w:pPr>
        <w:widowControl/>
        <w:ind w:leftChars="75" w:left="158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4C932423" w14:textId="77777777" w:rsidR="00317CFA" w:rsidRPr="00317CFA" w:rsidRDefault="00317CFA" w:rsidP="00317CFA">
      <w:pPr>
        <w:tabs>
          <w:tab w:val="left" w:pos="1491"/>
        </w:tabs>
        <w:rPr>
          <w:rFonts w:ascii="Times New Roman" w:eastAsia="ＭＳ 明朝" w:hAnsi="Times New Roman" w:cs="Times New Roman"/>
          <w:sz w:val="24"/>
          <w:szCs w:val="24"/>
        </w:rPr>
      </w:pPr>
      <w:bookmarkStart w:id="13" w:name="_Hlk82785363"/>
      <w:bookmarkEnd w:id="12"/>
    </w:p>
    <w:p w14:paraId="43DE3219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r w:rsidRPr="00317CFA">
        <w:rPr>
          <w:rFonts w:ascii="Times New Roman" w:eastAsia="ＭＳ 明朝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07FD936E" wp14:editId="260D87C1">
            <wp:extent cx="3129480" cy="3231000"/>
            <wp:effectExtent l="0" t="0" r="0" b="7620"/>
            <wp:docPr id="33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480" cy="323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4CBB0" w14:textId="77777777" w:rsidR="00317CFA" w:rsidRPr="00317CFA" w:rsidRDefault="00317CFA" w:rsidP="00317CFA">
      <w:pPr>
        <w:spacing w:line="480" w:lineRule="auto"/>
        <w:jc w:val="left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  <w:bookmarkStart w:id="14" w:name="_Hlk61622237"/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Fig. A13. Location and geometry of the tensile crack for candidate (d). The red arrows indicate the opening direction. The stars represent the centroid of candidate (d). </w:t>
      </w:r>
      <w:bookmarkEnd w:id="14"/>
      <w:r w:rsidRPr="00317CFA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>The notation is the same as that in Fig. 12.</w:t>
      </w:r>
      <w:bookmarkEnd w:id="13"/>
    </w:p>
    <w:p w14:paraId="0A76FA47" w14:textId="77777777" w:rsidR="00A808D0" w:rsidRDefault="005261AB"/>
    <w:sectPr w:rsidR="00A808D0" w:rsidSect="00780760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99BE8" w14:textId="77777777" w:rsidR="005261AB" w:rsidRDefault="005261AB" w:rsidP="00F47891">
      <w:r>
        <w:separator/>
      </w:r>
    </w:p>
  </w:endnote>
  <w:endnote w:type="continuationSeparator" w:id="0">
    <w:p w14:paraId="7FB4F263" w14:textId="77777777" w:rsidR="005261AB" w:rsidRDefault="005261AB" w:rsidP="00F47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49F78" w14:textId="77777777" w:rsidR="005261AB" w:rsidRDefault="005261AB" w:rsidP="00F47891">
      <w:r>
        <w:separator/>
      </w:r>
    </w:p>
  </w:footnote>
  <w:footnote w:type="continuationSeparator" w:id="0">
    <w:p w14:paraId="35C2A198" w14:textId="77777777" w:rsidR="005261AB" w:rsidRDefault="005261AB" w:rsidP="00F47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wMTU0tzQ1MrW0MDRT0lEKTi0uzszPAykwqgUAiZnIHSwAAAA="/>
  </w:docVars>
  <w:rsids>
    <w:rsidRoot w:val="00317CFA"/>
    <w:rsid w:val="00317CFA"/>
    <w:rsid w:val="005261AB"/>
    <w:rsid w:val="005367B8"/>
    <w:rsid w:val="005B1F0D"/>
    <w:rsid w:val="00667FA5"/>
    <w:rsid w:val="007406F8"/>
    <w:rsid w:val="00F4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DB441E"/>
  <w15:chartTrackingRefBased/>
  <w15:docId w15:val="{9E4E7C3F-B9D6-43D9-9FDB-A3FFBA47B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17CFA"/>
  </w:style>
  <w:style w:type="paragraph" w:styleId="a4">
    <w:name w:val="header"/>
    <w:basedOn w:val="a"/>
    <w:link w:val="a5"/>
    <w:uiPriority w:val="99"/>
    <w:unhideWhenUsed/>
    <w:rsid w:val="00F4789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7891"/>
  </w:style>
  <w:style w:type="paragraph" w:styleId="a6">
    <w:name w:val="footer"/>
    <w:basedOn w:val="a"/>
    <w:link w:val="a7"/>
    <w:uiPriority w:val="99"/>
    <w:unhideWhenUsed/>
    <w:rsid w:val="00F4789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7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390</Words>
  <Characters>2162</Characters>
  <Application>Microsoft Office Word</Application>
  <DocSecurity>0</DocSecurity>
  <Lines>50</Lines>
  <Paragraphs>21</Paragraphs>
  <ScaleCrop>false</ScaleCrop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龍平 高橋</dc:creator>
  <cp:keywords/>
  <dc:description/>
  <cp:lastModifiedBy>龍平 高橋</cp:lastModifiedBy>
  <cp:revision>2</cp:revision>
  <dcterms:created xsi:type="dcterms:W3CDTF">2021-11-22T08:59:00Z</dcterms:created>
  <dcterms:modified xsi:type="dcterms:W3CDTF">2021-11-26T03:12:00Z</dcterms:modified>
</cp:coreProperties>
</file>