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32"/>
          <w:szCs w:val="32"/>
        </w:rPr>
        <w:t xml:space="preserve">Supplementary Information</w:t>
      </w:r>
    </w:p>
    <w:p>
      <w:r>
        <w:rPr>
          <w:b/>
          <w:bCs/>
        </w:rPr>
        <w:t xml:space="preserve">Accounting for the nutritional risks of calorie restriction yields protein-adequate personalised diet plans</w:t>
      </w:r>
    </w:p>
    <w:p>
      <w:r>
        <w:t xml:space="preserve">Tazayun Shakeel</w:t>
      </w:r>
      <w:r>
        <w:rPr>
          <w:vertAlign w:val="superscript"/>
        </w:rPr>
        <w:t xml:space="preserve">1*</w:t>
      </w:r>
      <w:r>
        <w:t xml:space="preserve">, Afaq Alam Khan</w:t>
      </w:r>
      <w:r>
        <w:rPr>
          <w:vertAlign w:val="superscript"/>
        </w:rPr>
        <w:t xml:space="preserve">1</w:t>
      </w:r>
      <w:r>
        <w:t xml:space="preserve"> &amp; Shagufta Khan</w:t>
      </w:r>
      <w:r>
        <w:rPr>
          <w:vertAlign w:val="superscript"/>
        </w:rPr>
        <w:t xml:space="preserve">2</w:t>
      </w:r>
    </w:p>
    <w:p>
      <w:r>
        <w:rPr>
          <w:vertAlign w:val="superscript"/>
        </w:rPr>
        <w:t xml:space="preserve">1</w:t>
      </w:r>
      <w:r>
        <w:t xml:space="preserve">Department of Information Technology, School of Engineering &amp; Technology, Central University of Kashmir, Ganderbal 191131, Jammu and Kashmir, India. </w:t>
      </w:r>
      <w:r>
        <w:rPr>
          <w:vertAlign w:val="superscript"/>
        </w:rPr>
        <w:t xml:space="preserve">2</w:t>
      </w:r>
      <w:r>
        <w:t xml:space="preserve">Children's Hospital, Bemina, Srinagar 190018, Jammu and Kashmir, India. </w:t>
      </w:r>
      <w:r>
        <w:rPr>
          <w:vertAlign w:val="superscript"/>
        </w:rPr>
        <w:t xml:space="preserve">*</w:t>
      </w:r>
      <w:r>
        <w:t xml:space="preserve">email: tazayunbhat2020@cukashmir.edu.in</w:t>
      </w:r>
    </w:p>
    <w:p>
      <w:pPr>
        <w:keepNext/>
        <w:spacing w:after="120" w:before="240"/>
      </w:pPr>
      <w:r>
        <w:rPr>
          <w:b/>
          <w:bCs/>
        </w:rPr>
        <w:t xml:space="preserve">Supplementary Table S1.</w:t>
      </w:r>
      <w:r>
        <w:t xml:space="preserve"> </w:t>
      </w:r>
      <w:r>
        <w:rPr>
          <w:b/>
          <w:bCs/>
        </w:rPr>
        <w:t xml:space="preserve">Summary of related work in diet and menu optimisation.</w:t>
      </w:r>
      <w:r>
        <w:t xml:space="preserve"> </w:t>
      </w:r>
      <w:r>
        <w:t xml:space="preserve">Reference numbers refer to the main-text reference list.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"/>
        <w:gridCol w:w="1650"/>
        <w:gridCol w:w="1900"/>
        <w:gridCol w:w="1950"/>
        <w:gridCol w:w="1500"/>
        <w:gridCol w:w="1376"/>
      </w:tblGrid>
      <w:tr>
        <w:trPr>
          <w:tblHeader/>
        </w:trPr>
        <w:tc>
          <w:tcPr>
            <w:tcW w:type="dxa" w:w="65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Year</w:t>
            </w:r>
          </w:p>
        </w:tc>
        <w:tc>
          <w:tcPr>
            <w:tcW w:type="dxa" w:w="165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Study</w:t>
            </w:r>
          </w:p>
        </w:tc>
        <w:tc>
          <w:tcPr>
            <w:tcW w:type="dxa" w:w="19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Objectives</w:t>
            </w:r>
          </w:p>
        </w:tc>
        <w:tc>
          <w:tcPr>
            <w:tcW w:type="dxa" w:w="195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Constraints</w:t>
            </w:r>
          </w:p>
        </w:tc>
        <w:tc>
          <w:tcPr>
            <w:tcW w:type="dxa" w:w="15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Decision variables</w:t>
            </w:r>
          </w:p>
        </w:tc>
        <w:tc>
          <w:tcPr>
            <w:tcW w:type="dxa" w:w="1376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Algorithm(s)</w:t>
            </w:r>
          </w:p>
        </w:tc>
      </w:tr>
      <w:tr>
        <w:tc>
          <w:tcPr>
            <w:tcW w:type="dxa" w:w="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2021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Turkmenoğlu et al. [14]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Cost; preference; preparation time</w:t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Two-sided bounds on 23 nutrients from USDA DRI; energy split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Binary over 356 dishes</w:t>
            </w:r>
          </w:p>
        </w:tc>
        <w:tc>
          <w:tcPr>
            <w:tcW w:type="dxa" w:w="13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NSGA-III</w:t>
            </w:r>
          </w:p>
        </w:tc>
      </w:tr>
      <w:tr>
        <w:tc>
          <w:tcPr>
            <w:tcW w:type="dxa" w:w="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2005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Gaál et al. [13]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Match personalised nutrient targets from medical data</w:t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Nutrient bounds at meal, day and week levels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Dish and food selections over a weekly menu</w:t>
            </w:r>
          </w:p>
        </w:tc>
        <w:tc>
          <w:tcPr>
            <w:tcW w:type="dxa" w:w="13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Multi-level GA (MenuGene)</w:t>
            </w:r>
          </w:p>
        </w:tc>
      </w:tr>
      <w:tr>
        <w:tc>
          <w:tcPr>
            <w:tcW w:type="dxa" w:w="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2018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Moreira et al. [12]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Cost of a five-day school menu</w:t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Age and school category; variety; per-meal macronutrients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Dish selections over a five-day menu</w:t>
            </w:r>
          </w:p>
        </w:tc>
        <w:tc>
          <w:tcPr>
            <w:tcW w:type="dxa" w:w="13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GA, greedy construction</w:t>
            </w:r>
          </w:p>
        </w:tc>
      </w:tr>
      <w:tr>
        <w:tc>
          <w:tcPr>
            <w:tcW w:type="dxa" w:w="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2023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Ahourag et al. [15]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Total glycaemic load; cost</w:t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Nutrient and food-group limits for patients with diabetes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Food quantities in four food groups</w:t>
            </w:r>
          </w:p>
        </w:tc>
        <w:tc>
          <w:tcPr>
            <w:tcW w:type="dxa" w:w="13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Multi-objective GA</w:t>
            </w:r>
          </w:p>
        </w:tc>
      </w:tr>
      <w:tr>
        <w:tc>
          <w:tcPr>
            <w:tcW w:type="dxa" w:w="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2024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Sahin &amp; Aytekin-Sahin [16]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Energy and nutrient adequacy; colour, consistency, variety</w:t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Adequacy validated against dietitian scoring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Binary over 332 dishes</w:t>
            </w:r>
          </w:p>
        </w:tc>
        <w:tc>
          <w:tcPr>
            <w:tcW w:type="dxa" w:w="13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AGE-MOEA, SMS-EMOA, NSGA-II/III</w:t>
            </w:r>
          </w:p>
        </w:tc>
      </w:tr>
      <w:tr>
        <w:tc>
          <w:tcPr>
            <w:tcW w:type="dxa" w:w="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2024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Babalola et al. [17]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Energy; cost; preference; seasonal availability</w:t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Adequacy; user-specific needs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Selections from 200 foods</w:t>
            </w:r>
          </w:p>
        </w:tc>
        <w:tc>
          <w:tcPr>
            <w:tcW w:type="dxa" w:w="13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NSGA-II</w:t>
            </w:r>
          </w:p>
        </w:tc>
      </w:tr>
      <w:tr>
        <w:tc>
          <w:tcPr>
            <w:tcW w:type="dxa" w:w="6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2025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Zhao (ACMO-Diet) [18]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Caloric adherence; macronutrient balance; taste; variety</w:t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WHO-based limits; ultra-sparse structures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Ultra-sparse binary (&lt;0.1% density)</w:t>
            </w:r>
          </w:p>
        </w:tc>
        <w:tc>
          <w:tcPr>
            <w:tcW w:type="dxa" w:w="137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U-NSGA-III with sparse mask operators</w:t>
            </w:r>
          </w:p>
        </w:tc>
      </w:tr>
    </w:tbl>
    <w:p>
      <w:pPr>
        <w:spacing w:after="120"/>
      </w:pPr>
    </w:p>
    <w:p>
      <w:pPr>
        <w:keepNext/>
        <w:spacing w:after="120" w:before="240"/>
      </w:pPr>
      <w:r>
        <w:rPr>
          <w:b/>
          <w:bCs/>
        </w:rPr>
        <w:t xml:space="preserve">Supplementary Table S2.</w:t>
      </w:r>
      <w:r>
        <w:t xml:space="preserve"> </w:t>
      </w:r>
      <w:r>
        <w:rPr>
          <w:b/>
          <w:bCs/>
        </w:rPr>
        <w:t xml:space="preserve">Terms removed by the evidence audit, with the finding that removed each one.</w:t>
      </w:r>
      <w:r>
        <w:t xml:space="preserve"> 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2400"/>
        <w:gridCol w:w="5326"/>
      </w:tblGrid>
      <w:tr>
        <w:trPr>
          <w:tblHeader/>
        </w:trPr>
        <w:tc>
          <w:tcPr>
            <w:tcW w:type="dxa" w:w="13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Score</w:t>
            </w:r>
          </w:p>
        </w:tc>
        <w:tc>
          <w:tcPr>
            <w:tcW w:type="dxa" w:w="24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Term</w:t>
            </w:r>
          </w:p>
        </w:tc>
        <w:tc>
          <w:tcPr>
            <w:tcW w:type="dxa" w:w="5326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Reason</w:t>
            </w:r>
          </w:p>
        </w:tc>
      </w:tr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Mood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Complex carbohydrate</w:t>
            </w:r>
          </w:p>
        </w:tc>
        <w:tc>
          <w:tcPr>
            <w:tcW w:type="dxa" w:w="5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Mechanistic hypothesis that fails in mixed meals</w:t>
            </w:r>
          </w:p>
        </w:tc>
      </w:tr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Mood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Folate</w:t>
            </w:r>
          </w:p>
        </w:tc>
        <w:tc>
          <w:tcPr>
            <w:tcW w:type="dxa" w:w="5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Cited analysis null; significant terms were not dietary</w:t>
            </w:r>
          </w:p>
        </w:tc>
      </w:tr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Hair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Vitamin A</w:t>
            </w:r>
          </w:p>
        </w:tc>
        <w:tc>
          <w:tcPr>
            <w:tcW w:type="dxa" w:w="5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Source reports that excess causes hair loss</w:t>
            </w:r>
          </w:p>
        </w:tc>
      </w:tr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Hair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Complex carbohydrate</w:t>
            </w:r>
          </w:p>
        </w:tc>
        <w:tc>
          <w:tcPr>
            <w:tcW w:type="dxa" w:w="5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Citation does not cover it</w:t>
            </w:r>
          </w:p>
        </w:tc>
      </w:tr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Hair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Biotin</w:t>
            </w:r>
          </w:p>
        </w:tc>
        <w:tc>
          <w:tcPr>
            <w:tcW w:type="dxa" w:w="5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No benefit reported when not deficient</w:t>
            </w:r>
          </w:p>
        </w:tc>
      </w:tr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Hair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Selenium</w:t>
            </w:r>
          </w:p>
        </w:tc>
        <w:tc>
          <w:tcPr>
            <w:tcW w:type="dxa" w:w="5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No relationship detected in telogen effluvium</w:t>
            </w:r>
          </w:p>
        </w:tc>
      </w:tr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Hair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Omega-3</w:t>
            </w:r>
          </w:p>
        </w:tc>
        <w:tc>
          <w:tcPr>
            <w:tcW w:type="dxa" w:w="5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Multi-ingredient trial; contribution cannot be isolated</w:t>
            </w:r>
          </w:p>
        </w:tc>
      </w:tr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Muscle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Vitamin C</w:t>
            </w:r>
          </w:p>
        </w:tc>
        <w:tc>
          <w:tcPr>
            <w:tcW w:type="dxa" w:w="5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Citation concerns collagen after injury, not muscle</w:t>
            </w:r>
          </w:p>
        </w:tc>
      </w:tr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Muscle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Vitamin D</w:t>
            </w:r>
          </w:p>
        </w:tc>
        <w:tc>
          <w:tcPr>
            <w:tcW w:type="dxa" w:w="5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Ten RCTs: lean mass and handgrip null, performance worse</w:t>
            </w:r>
          </w:p>
        </w:tc>
      </w:tr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Satiety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Healthy fats</w:t>
            </w:r>
          </w:p>
        </w:tc>
        <w:tc>
          <w:tcPr>
            <w:tcW w:type="dxa" w:w="5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Opposed the energy-density term ranked above it</w:t>
            </w:r>
          </w:p>
        </w:tc>
      </w:tr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Satiety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Glycaemic carbohydrate</w:t>
            </w:r>
          </w:p>
        </w:tc>
        <w:tc>
          <w:tcPr>
            <w:tcW w:type="dxa" w:w="5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Glycaemic index invalid for mixed meals and nearly absent from the data</w:t>
            </w:r>
          </w:p>
        </w:tc>
      </w:tr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Satiety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Magnesium</w:t>
            </w:r>
          </w:p>
        </w:tc>
        <w:tc>
          <w:tcPr>
            <w:tcW w:type="dxa" w:w="5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Evidence concerns insulin sensitivity, not appetite</w:t>
            </w:r>
          </w:p>
        </w:tc>
      </w:tr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Satiety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Vitamin D</w:t>
            </w:r>
          </w:p>
        </w:tc>
        <w:tc>
          <w:tcPr>
            <w:tcW w:type="dxa" w:w="5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Rodent hypothalamic study</w:t>
            </w:r>
          </w:p>
        </w:tc>
      </w:tr>
      <w:tr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Satiety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Iron</w:t>
            </w:r>
          </w:p>
        </w:tc>
        <w:tc>
          <w:tcPr>
            <w:tcW w:type="dxa" w:w="532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Establishes only that severe deficiency causes pica</w:t>
            </w:r>
          </w:p>
        </w:tc>
      </w:tr>
    </w:tbl>
    <w:p>
      <w:pPr>
        <w:spacing w:after="120"/>
      </w:pPr>
    </w:p>
    <w:p>
      <w:pPr>
        <w:keepNext/>
        <w:spacing w:after="120" w:before="240"/>
      </w:pPr>
      <w:r>
        <w:rPr>
          <w:b/>
          <w:bCs/>
        </w:rPr>
        <w:t xml:space="preserve">Supplementary Table S3.</w:t>
      </w:r>
      <w:r>
        <w:t xml:space="preserve"> </w:t>
      </w:r>
      <w:r>
        <w:rPr>
          <w:b/>
          <w:bCs/>
        </w:rPr>
        <w:t xml:space="preserve">Profile and configuration for the primary run (P1).</w:t>
      </w:r>
      <w:r>
        <w:t xml:space="preserve"> 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026"/>
      </w:tblGrid>
      <w:tr>
        <w:trPr>
          <w:tblHeader/>
        </w:trPr>
        <w:tc>
          <w:tcPr>
            <w:tcW w:type="dxa" w:w="40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Setting</w:t>
            </w:r>
          </w:p>
        </w:tc>
        <w:tc>
          <w:tcPr>
            <w:tcW w:type="dxa" w:w="5026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Value</w:t>
            </w:r>
          </w:p>
        </w:tc>
      </w:tr>
      <w:t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Sex, age, weight, height</w:t>
            </w:r>
          </w:p>
        </w:tc>
        <w:tc>
          <w:tcPr>
            <w:tcW w:type="dxa" w:w="5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Male, 27 y, 74 kg, 171 cm</w:t>
            </w:r>
          </w:p>
        </w:tc>
      </w:tr>
      <w:t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Activity category</w:t>
            </w:r>
          </w:p>
        </w:tc>
        <w:tc>
          <w:tcPr>
            <w:tcW w:type="dxa" w:w="5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Active (PAL 1.70)</w:t>
            </w:r>
          </w:p>
        </w:tc>
      </w:tr>
      <w:t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Maintenance energy</w:t>
            </w:r>
          </w:p>
        </w:tc>
        <w:tc>
          <w:tcPr>
            <w:tcW w:type="dxa" w:w="5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2,854 kcal/day</w:t>
            </w:r>
          </w:p>
        </w:tc>
      </w:tr>
      <w:t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Deficit / energy target</w:t>
            </w:r>
          </w:p>
        </w:tc>
        <w:tc>
          <w:tcPr>
            <w:tcW w:type="dxa" w:w="5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801 / 2,053 kcal/day</w:t>
            </w:r>
          </w:p>
        </w:tc>
      </w:tr>
      <w:t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Active objectives</w:t>
            </w:r>
          </w:p>
        </w:tc>
        <w:tc>
          <w:tcPr>
            <w:tcW w:type="dxa" w:w="5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Hard micronutrient upper limits</w:t>
            </w:r>
          </w:p>
        </w:tc>
        <w:tc>
          <w:tcPr>
            <w:tcW w:type="dxa" w:w="5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16 (applied at 90% of the published UL)</w:t>
            </w:r>
          </w:p>
        </w:tc>
      </w:tr>
      <w:t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Soft minimums</w:t>
            </w:r>
          </w:p>
        </w:tc>
        <w:tc>
          <w:tcPr>
            <w:tcW w:type="dxa" w:w="5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35</w:t>
            </w:r>
          </w:p>
        </w:tc>
      </w:tr>
      <w:t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Candidate foods</w:t>
            </w:r>
          </w:p>
        </w:tc>
        <w:tc>
          <w:tcPr>
            <w:tcW w:type="dxa" w:w="5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2,307</w:t>
            </w:r>
          </w:p>
        </w:tc>
      </w:tr>
      <w:t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Population, generations, seeds</w:t>
            </w:r>
          </w:p>
        </w:tc>
        <w:tc>
          <w:tcPr>
            <w:tcW w:type="dxa" w:w="5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210, 12,000, 21</w:t>
            </w:r>
          </w:p>
        </w:tc>
      </w:tr>
      <w:t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Serving grid</w:t>
            </w:r>
          </w:p>
        </w:tc>
        <w:tc>
          <w:tcPr>
            <w:tcW w:type="dxa" w:w="5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5 g</w:t>
            </w:r>
          </w:p>
        </w:tc>
      </w:tr>
      <w:tr>
        <w:tc>
          <w:tcPr>
            <w:tcW w:type="dxa" w:w="4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sz w:val="20"/>
                <w:szCs w:val="20"/>
              </w:rPr>
              <w:t xml:space="preserve">Wall-clock cost</w:t>
            </w:r>
          </w:p>
        </w:tc>
        <w:tc>
          <w:tcPr>
            <w:tcW w:type="dxa" w:w="502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sz w:val="20"/>
                <w:szCs w:val="20"/>
              </w:rPr>
              <w:t xml:space="preserve">13,222 s per seed; 20.5 h for the profile</w:t>
            </w:r>
          </w:p>
        </w:tc>
      </w:tr>
    </w:tbl>
    <w:p>
      <w:pPr>
        <w:spacing w:after="120"/>
      </w:pPr>
    </w:p>
    <w:p>
      <w:pPr>
        <w:keepNext/>
        <w:spacing w:before="240" w:line="240" w:lineRule="auto"/>
        <w:jc w:val="center"/>
      </w:pPr>
      <w:r>
        <w:drawing>
          <wp:inline distT="0" distB="0" distL="0" distR="0">
            <wp:extent cx="5669280" cy="3086608"/>
            <wp:effectExtent t="0" r="0" b="0" l="0"/>
            <wp:docPr id="1" name="Supplementary Figure S1." descr="Layered system architecture." title="Supplementary Figure S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308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 w:before="120"/>
      </w:pPr>
      <w:r>
        <w:rPr>
          <w:b/>
          <w:bCs/>
        </w:rPr>
        <w:t xml:space="preserve">Supplementary Figure S1.</w:t>
      </w:r>
      <w:r>
        <w:t xml:space="preserve"> </w:t>
      </w:r>
      <w:r>
        <w:rPr>
          <w:b/>
          <w:bCs/>
        </w:rPr>
        <w:t xml:space="preserve">Layered system architecture.</w:t>
      </w:r>
      <w:r>
        <w:t xml:space="preserve"> </w:t>
      </w:r>
      <w:r>
        <w:t xml:space="preserve">The six layers run from the input layer, which collects the user profile, to the delivery layer, which issues the client document.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20" w:before="360"/>
      <w:outlineLvl w:val="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Times New Roman" w:cs="Times New Roman" w:eastAsia="Times New Roman" w:hAnsi="Times New Roman"/>
      <w:b/>
      <w:bCs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60" w:before="200"/>
      <w:outlineLvl w:val="2"/>
    </w:pPr>
    <w:rPr>
      <w:rFonts w:ascii="Times New Roman" w:cs="Times New Roman" w:eastAsia="Times New Roman" w:hAnsi="Times New Roman"/>
      <w:b/>
      <w:bCs/>
      <w:i/>
      <w:i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f11f38049ef261d1c7603a3de6e39724dd493be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2026-09-25T06:43:07.290Z</dcterms:created>
  <dcterms:modified xsi:type="dcterms:W3CDTF">2026-09-25T06:43:07.290Z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