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F00D" w14:textId="77777777" w:rsidR="00D56BE9" w:rsidRPr="00D56BE9" w:rsidRDefault="00D56BE9" w:rsidP="00D56BE9">
      <w:pPr>
        <w:rPr>
          <w:b/>
          <w:bCs/>
          <w:lang w:val="en-US"/>
        </w:rPr>
      </w:pPr>
      <w:r w:rsidRPr="00D56BE9">
        <w:rPr>
          <w:b/>
          <w:bCs/>
          <w:lang w:val="en-US"/>
        </w:rPr>
        <w:t>Supplementary Information: Additional Figures</w:t>
      </w:r>
    </w:p>
    <w:sdt>
      <w:sdtPr>
        <w:rPr>
          <w:lang w:val="en-US"/>
        </w:rPr>
        <w:id w:val="1190265983"/>
        <w:docPartObj>
          <w:docPartGallery w:val="Table of Contents"/>
          <w:docPartUnique/>
        </w:docPartObj>
      </w:sdtPr>
      <w:sdtContent>
        <w:p w14:paraId="12CAFE4A" w14:textId="77777777" w:rsidR="00D56BE9" w:rsidRPr="00D56BE9" w:rsidRDefault="00D56BE9" w:rsidP="00D56BE9">
          <w:pPr>
            <w:rPr>
              <w:lang w:val="en-US"/>
            </w:rPr>
          </w:pPr>
        </w:p>
        <w:p w14:paraId="108A0F03" w14:textId="77777777" w:rsidR="00D56BE9" w:rsidRPr="00D56BE9" w:rsidRDefault="00D56BE9" w:rsidP="00D56BE9">
          <w:pPr>
            <w:rPr>
              <w:lang w:val="en-US"/>
            </w:rPr>
          </w:pPr>
        </w:p>
      </w:sdtContent>
    </w:sdt>
    <w:p w14:paraId="1B6EAD6D" w14:textId="77777777" w:rsidR="00D56BE9" w:rsidRPr="00D56BE9" w:rsidRDefault="00D56BE9" w:rsidP="00D56BE9">
      <w:pPr>
        <w:rPr>
          <w:b/>
          <w:bCs/>
          <w:lang w:val="en-US"/>
        </w:rPr>
      </w:pPr>
      <w:r w:rsidRPr="00D56BE9">
        <w:rPr>
          <w:b/>
          <w:bCs/>
          <w:lang w:val="en-US"/>
        </w:rPr>
        <w:t>Purpose and scope</w:t>
      </w:r>
    </w:p>
    <w:p w14:paraId="7FFFDF13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t xml:space="preserve">This supplementary section presents additional figures supporting the </w:t>
      </w:r>
      <w:proofErr w:type="spellStart"/>
      <w:r w:rsidRPr="00D56BE9">
        <w:rPr>
          <w:lang w:val="en-US"/>
        </w:rPr>
        <w:t>BMEntropy</w:t>
      </w:r>
      <w:proofErr w:type="spellEnd"/>
      <w:r w:rsidRPr="00D56BE9">
        <w:rPr>
          <w:lang w:val="en-US"/>
        </w:rPr>
        <w:t xml:space="preserve"> v1.0 exploratory workflow. The figures summarize the analytical procedure and </w:t>
      </w:r>
      <w:proofErr w:type="gramStart"/>
      <w:r w:rsidRPr="00D56BE9">
        <w:rPr>
          <w:lang w:val="en-US"/>
        </w:rPr>
        <w:t>reported</w:t>
      </w:r>
      <w:proofErr w:type="gramEnd"/>
      <w:r w:rsidRPr="00D56BE9">
        <w:rPr>
          <w:lang w:val="en-US"/>
        </w:rPr>
        <w:t xml:space="preserve"> entropy relationships; the main text remains the authoritative source for methods, results, and limitations.</w:t>
      </w:r>
    </w:p>
    <w:p w14:paraId="161DC9C0" w14:textId="77777777" w:rsidR="00D56BE9" w:rsidRPr="00D56BE9" w:rsidRDefault="00D56BE9" w:rsidP="00D56BE9">
      <w:pPr>
        <w:rPr>
          <w:lang w:val="en-US"/>
        </w:rPr>
      </w:pPr>
      <w:bookmarkStart w:id="0" w:name="purpose-and-scope-of-this-appendix"/>
      <w:bookmarkEnd w:id="0"/>
    </w:p>
    <w:p w14:paraId="0FD18952" w14:textId="77777777" w:rsidR="00D56BE9" w:rsidRPr="00D56BE9" w:rsidRDefault="00D56BE9" w:rsidP="00D56BE9">
      <w:pPr>
        <w:rPr>
          <w:lang w:val="en-US"/>
        </w:rPr>
      </w:pPr>
    </w:p>
    <w:p w14:paraId="748DB599" w14:textId="3FF153B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drawing>
          <wp:inline distT="0" distB="0" distL="0" distR="0" wp14:anchorId="62DCA6B1" wp14:editId="6E43F3EA">
            <wp:extent cx="5731510" cy="4146550"/>
            <wp:effectExtent l="0" t="0" r="2540" b="6350"/>
            <wp:docPr id="18883158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CB23A" w14:textId="77777777" w:rsidR="00D56BE9" w:rsidRPr="00D56BE9" w:rsidRDefault="00D56BE9" w:rsidP="00D56BE9">
      <w:pPr>
        <w:rPr>
          <w:b/>
          <w:bCs/>
          <w:lang w:val="en-US"/>
        </w:rPr>
      </w:pPr>
      <w:bookmarkStart w:id="1" w:name="figure-a1.-bmentropy-analysis-workflow"/>
      <w:bookmarkStart w:id="2" w:name="X3f76dbdd4e6fdb245f1d2964d990e098cd4023d"/>
      <w:bookmarkEnd w:id="1"/>
      <w:r w:rsidRPr="00D56BE9">
        <w:rPr>
          <w:lang w:val="en-US"/>
        </w:rPr>
        <w:t xml:space="preserve">Figure 1. </w:t>
      </w:r>
      <w:proofErr w:type="spellStart"/>
      <w:r w:rsidRPr="00D56BE9">
        <w:rPr>
          <w:lang w:val="en-US"/>
        </w:rPr>
        <w:t>BMEntropy</w:t>
      </w:r>
      <w:proofErr w:type="spellEnd"/>
      <w:r w:rsidRPr="00D56BE9">
        <w:rPr>
          <w:lang w:val="en-US"/>
        </w:rPr>
        <w:t xml:space="preserve"> analysis workflow</w:t>
      </w:r>
    </w:p>
    <w:p w14:paraId="79CE60D0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t xml:space="preserve">Figure 1. Overview of the </w:t>
      </w:r>
      <w:proofErr w:type="spellStart"/>
      <w:r w:rsidRPr="00D56BE9">
        <w:rPr>
          <w:lang w:val="en-US"/>
        </w:rPr>
        <w:t>BMEntropy</w:t>
      </w:r>
      <w:proofErr w:type="spellEnd"/>
      <w:r w:rsidRPr="00D56BE9">
        <w:rPr>
          <w:lang w:val="en-US"/>
        </w:rPr>
        <w:t xml:space="preserve"> v1.0 analysis pipeline, from expression-data preprocessing through entropy calculation, unsupervised grouping, and exploratory candidate-gene selection. The schematic summarizes the workflow described in the Methods section.</w:t>
      </w:r>
    </w:p>
    <w:p w14:paraId="7D65149A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t>The candidate-gene procedure is exploratory and does not constitute a validated diagnostic or biomarker-selection procedure.</w:t>
      </w:r>
    </w:p>
    <w:p w14:paraId="29D460B1" w14:textId="77777777" w:rsidR="00D56BE9" w:rsidRPr="00D56BE9" w:rsidRDefault="00D56BE9" w:rsidP="00D56BE9">
      <w:pPr>
        <w:rPr>
          <w:rtl/>
        </w:rPr>
      </w:pPr>
    </w:p>
    <w:p w14:paraId="538E2CCF" w14:textId="77777777" w:rsidR="00D56BE9" w:rsidRPr="00D56BE9" w:rsidRDefault="00D56BE9" w:rsidP="00D56BE9">
      <w:pPr>
        <w:rPr>
          <w:lang w:val="en-US"/>
        </w:rPr>
      </w:pPr>
    </w:p>
    <w:p w14:paraId="1059D81F" w14:textId="77777777" w:rsidR="00D56BE9" w:rsidRPr="00D56BE9" w:rsidRDefault="00D56BE9" w:rsidP="00D56BE9">
      <w:pPr>
        <w:rPr>
          <w:lang w:val="en-US"/>
        </w:rPr>
      </w:pPr>
    </w:p>
    <w:p w14:paraId="61C4C559" w14:textId="0C65150D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drawing>
          <wp:inline distT="0" distB="0" distL="0" distR="0" wp14:anchorId="45F3B87B" wp14:editId="36FC696C">
            <wp:extent cx="5731510" cy="5731510"/>
            <wp:effectExtent l="0" t="0" r="2540" b="2540"/>
            <wp:docPr id="8013928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p w14:paraId="54D3C7FD" w14:textId="77777777" w:rsidR="00D56BE9" w:rsidRPr="00D56BE9" w:rsidRDefault="00D56BE9" w:rsidP="00D56BE9">
      <w:pPr>
        <w:rPr>
          <w:b/>
          <w:bCs/>
          <w:lang w:val="en-US"/>
        </w:rPr>
      </w:pPr>
      <w:r w:rsidRPr="00D56BE9">
        <w:rPr>
          <w:lang w:val="en-US"/>
        </w:rPr>
        <w:t>Figure 2. Pairwise associations among entropy measures</w:t>
      </w:r>
    </w:p>
    <w:p w14:paraId="5BAC1AE3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t xml:space="preserve">Figure 2. Pairwise associations among the seven entropy summaries: Shannon entropy, Rényi entropy (α = 0.5, 2, and 3), and </w:t>
      </w:r>
      <w:proofErr w:type="spellStart"/>
      <w:r w:rsidRPr="00D56BE9">
        <w:rPr>
          <w:lang w:val="en-US"/>
        </w:rPr>
        <w:t>Tsallis</w:t>
      </w:r>
      <w:proofErr w:type="spellEnd"/>
      <w:r w:rsidRPr="00D56BE9">
        <w:rPr>
          <w:lang w:val="en-US"/>
        </w:rPr>
        <w:t xml:space="preserve"> entropy (q = 0.5, 1.5, and 2). The heatmap provides a visual summary of the correlations described in the Results section.</w:t>
      </w:r>
    </w:p>
    <w:p w14:paraId="74905878" w14:textId="77777777" w:rsidR="00D56BE9" w:rsidRPr="00D56BE9" w:rsidRDefault="00D56BE9" w:rsidP="00D56BE9">
      <w:pPr>
        <w:rPr>
          <w:lang w:val="en-US"/>
        </w:rPr>
      </w:pPr>
    </w:p>
    <w:p w14:paraId="609EE3E9" w14:textId="77777777" w:rsidR="00D56BE9" w:rsidRPr="00D56BE9" w:rsidRDefault="00D56BE9" w:rsidP="00D56BE9">
      <w:pPr>
        <w:rPr>
          <w:lang w:val="en-US"/>
        </w:rPr>
      </w:pPr>
    </w:p>
    <w:p w14:paraId="4A9A4646" w14:textId="77777777" w:rsidR="00D56BE9" w:rsidRPr="00D56BE9" w:rsidRDefault="00D56BE9" w:rsidP="00D56BE9">
      <w:pPr>
        <w:rPr>
          <w:lang w:val="en-US"/>
        </w:rPr>
      </w:pPr>
    </w:p>
    <w:p w14:paraId="1B86C319" w14:textId="77777777" w:rsidR="00D56BE9" w:rsidRPr="00D56BE9" w:rsidRDefault="00D56BE9" w:rsidP="00D56BE9">
      <w:pPr>
        <w:rPr>
          <w:lang w:val="en-US"/>
        </w:rPr>
      </w:pPr>
    </w:p>
    <w:p w14:paraId="1BF75D7E" w14:textId="69012F4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drawing>
          <wp:inline distT="0" distB="0" distL="0" distR="0" wp14:anchorId="31F91AE7" wp14:editId="4E06C764">
            <wp:extent cx="5731510" cy="3817620"/>
            <wp:effectExtent l="0" t="0" r="2540" b="0"/>
            <wp:docPr id="4389397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A6238" w14:textId="77777777" w:rsidR="00D56BE9" w:rsidRPr="00D56BE9" w:rsidRDefault="00D56BE9" w:rsidP="00D56BE9">
      <w:pPr>
        <w:rPr>
          <w:lang w:val="en-US"/>
        </w:rPr>
      </w:pPr>
    </w:p>
    <w:p w14:paraId="1E26E812" w14:textId="77777777" w:rsidR="00D56BE9" w:rsidRPr="00D56BE9" w:rsidRDefault="00D56BE9" w:rsidP="00D56BE9">
      <w:pPr>
        <w:rPr>
          <w:b/>
          <w:bCs/>
          <w:lang w:val="en-US"/>
        </w:rPr>
      </w:pPr>
      <w:r w:rsidRPr="00D56BE9">
        <w:rPr>
          <w:lang w:val="en-US"/>
        </w:rPr>
        <w:t>Figure 3. Exploratory selection of the 97-gene candidate set</w:t>
      </w:r>
    </w:p>
    <w:p w14:paraId="55A1B967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t>Figure 3. Exploratory construction of the 97-gene candidate set by intersecting ranked statistical and Random Forest feature lists followed by gene-name cleaning. The candidate set is hypothesis-generating and is not a clinically validated biomarker panel.</w:t>
      </w:r>
    </w:p>
    <w:p w14:paraId="38528D78" w14:textId="77777777" w:rsidR="00D56BE9" w:rsidRPr="00D56BE9" w:rsidRDefault="00D56BE9" w:rsidP="00D56BE9">
      <w:pPr>
        <w:rPr>
          <w:lang w:val="en-US"/>
        </w:rPr>
      </w:pPr>
      <w:r w:rsidRPr="00D56BE9">
        <w:rPr>
          <w:lang w:val="en-US"/>
        </w:rPr>
        <w:br w:type="page"/>
      </w:r>
    </w:p>
    <w:p w14:paraId="08EF1F32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E9"/>
    <w:rsid w:val="00767E38"/>
    <w:rsid w:val="00866F7D"/>
    <w:rsid w:val="00CD4EE4"/>
    <w:rsid w:val="00D56BE9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EC57"/>
  <w15:chartTrackingRefBased/>
  <w15:docId w15:val="{956ED2CA-CBE7-4298-AEC0-9997376F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B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B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B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B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B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B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B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B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B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B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2026-10-21T09:45:00Z</dcterms:created>
  <dcterms:modified xsi:type="dcterms:W3CDTF">2026-10-21T09:45:00Z</dcterms:modified>
</cp:coreProperties>
</file>