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48E62" w14:textId="77777777" w:rsidR="0037274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Supplementary Table S2. Association of IR surrogate indices with incident CKD after excluding participants with BMI ≥ 28 kg/m² (sensitivity analysis)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632"/>
        <w:gridCol w:w="955"/>
        <w:gridCol w:w="811"/>
        <w:gridCol w:w="988"/>
        <w:gridCol w:w="1930"/>
        <w:gridCol w:w="1061"/>
      </w:tblGrid>
      <w:tr w:rsidR="0037274E" w14:paraId="44FF60B4" w14:textId="77777777" w:rsidTr="0059057B">
        <w:trPr>
          <w:tblHeader/>
          <w:jc w:val="center"/>
        </w:trPr>
        <w:tc>
          <w:tcPr>
            <w:tcW w:w="2632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71ACC" w14:textId="77777777" w:rsidR="0037274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Exposure</w:t>
            </w:r>
          </w:p>
        </w:tc>
        <w:tc>
          <w:tcPr>
            <w:tcW w:w="955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BCBBE" w14:textId="77777777" w:rsidR="0037274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81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40460" w14:textId="77777777" w:rsidR="0037274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98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8B43D" w14:textId="77777777" w:rsidR="0037274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Events</w:t>
            </w:r>
          </w:p>
        </w:tc>
        <w:tc>
          <w:tcPr>
            <w:tcW w:w="193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74813" w14:textId="77777777" w:rsidR="0037274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06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4D86C" w14:textId="77777777" w:rsidR="0037274E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</w:t>
            </w:r>
          </w:p>
        </w:tc>
      </w:tr>
      <w:tr w:rsidR="00ED0733" w14:paraId="4938EE78" w14:textId="77777777" w:rsidTr="0059057B">
        <w:trPr>
          <w:jc w:val="center"/>
        </w:trPr>
        <w:tc>
          <w:tcPr>
            <w:tcW w:w="263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DBF72" w14:textId="48A91F44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</w:p>
        </w:tc>
        <w:tc>
          <w:tcPr>
            <w:tcW w:w="95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63B07" w14:textId="1B2148E6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M2</w:t>
            </w:r>
          </w:p>
        </w:tc>
        <w:tc>
          <w:tcPr>
            <w:tcW w:w="8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34161" w14:textId="66F6672F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FE4CF" w14:textId="15E168CB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98004" w14:textId="479D5CA5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 (0.97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1.47)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0E760" w14:textId="10A3614E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ED0733" w14:paraId="6BB7DF63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14BF6" w14:textId="66D89E7D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BDD8F" w14:textId="1F45013F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F6B79" w14:textId="354D8D94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AE777" w14:textId="7B3D2960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5FEC" w14:textId="17DFE489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 (0.92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2DA91" w14:textId="02FF7B79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</w:t>
            </w:r>
          </w:p>
        </w:tc>
      </w:tr>
      <w:tr w:rsidR="00ED0733" w14:paraId="3566FA85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1DCB1" w14:textId="7AD0E7DD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7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Cumulative</w:t>
            </w:r>
            <w:r w:rsidRPr="00D4771E"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C325D" w14:textId="3B5BF016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M2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FF3E" w14:textId="51165DEC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09EC0" w14:textId="621E1015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7128D" w14:textId="0EFC880A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 (0.92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F8D28" w14:textId="7D6C26A8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0.233</w:t>
            </w:r>
          </w:p>
        </w:tc>
      </w:tr>
      <w:tr w:rsidR="00ED0733" w14:paraId="47B7A214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82A1" w14:textId="3913F072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07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Cumulative </w:t>
            </w:r>
            <w:proofErr w:type="spellStart"/>
            <w:r w:rsidRPr="00ED07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13646" w14:textId="4CFC112B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C08D3" w14:textId="7D2B6A98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B67FB" w14:textId="05A55078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10684" w14:textId="387D1E35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 (0.87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3B305" w14:textId="2D41B044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0.416</w:t>
            </w:r>
          </w:p>
        </w:tc>
      </w:tr>
      <w:tr w:rsidR="00ED0733" w14:paraId="34BE08BA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1BC3E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-WC</w:t>
            </w:r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F94B5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M2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892BC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20BDE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E07C2" w14:textId="239E51D5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 (1.05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C7B96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0.018*</w:t>
            </w:r>
          </w:p>
        </w:tc>
      </w:tr>
      <w:tr w:rsidR="00ED0733" w14:paraId="3B172836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9C3C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-WC</w:t>
            </w:r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3B3BE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342EE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BAC89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B1D9" w14:textId="6410E9C9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 (1.01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1C6DF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0.040*</w:t>
            </w:r>
          </w:p>
        </w:tc>
      </w:tr>
      <w:tr w:rsidR="00ED0733" w14:paraId="045AE276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E793C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TyG-WHtR</w:t>
            </w:r>
            <w:proofErr w:type="spellEnd"/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DAF90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M2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50D11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32948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37C68" w14:textId="42D6C533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 (1.03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88609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0.029*</w:t>
            </w:r>
          </w:p>
        </w:tc>
      </w:tr>
      <w:tr w:rsidR="00ED0733" w14:paraId="13AFAD82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E7E84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TyG-WHtR</w:t>
            </w:r>
            <w:proofErr w:type="spellEnd"/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869E5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324CD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7F34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A03E" w14:textId="02F607F1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 (1.00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B5243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0.048*</w:t>
            </w:r>
          </w:p>
        </w:tc>
      </w:tr>
      <w:tr w:rsidR="00ED0733" w14:paraId="02D8E514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0D8C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-BMI</w:t>
            </w:r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48BF9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M2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C0AD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E7201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8834E" w14:textId="6BE6B60A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 (1.08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2133E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0.012*</w:t>
            </w:r>
          </w:p>
        </w:tc>
      </w:tr>
      <w:tr w:rsidR="00ED0733" w14:paraId="4257E9B0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8E28B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-BMI</w:t>
            </w:r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C3C3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E1BCF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D935D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B3557" w14:textId="6BD3D7AA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 (1.03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A53A7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0.029*</w:t>
            </w:r>
          </w:p>
        </w:tc>
      </w:tr>
      <w:tr w:rsidR="00ED0733" w14:paraId="561B11C0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CCB5F" w14:textId="62B3DD7C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</w:t>
            </w:r>
            <w:r w:rsidR="00587324">
              <w:rPr>
                <w:rFonts w:ascii="宋体" w:eastAsia="宋体" w:hAnsi="宋体" w:cs="Times New Roman" w:hint="eastAsia"/>
                <w:color w:val="000000"/>
                <w:sz w:val="20"/>
                <w:szCs w:val="20"/>
                <w:lang w:eastAsia="zh-CN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-IR</w:t>
            </w:r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2CB76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M2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44071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8E8F8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E5B97" w14:textId="225C3F4B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 (1.09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CA677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0.009**</w:t>
            </w:r>
          </w:p>
        </w:tc>
      </w:tr>
      <w:tr w:rsidR="00ED0733" w14:paraId="1625ECA9" w14:textId="77777777" w:rsidTr="0059057B">
        <w:trPr>
          <w:jc w:val="center"/>
        </w:trPr>
        <w:tc>
          <w:tcPr>
            <w:tcW w:w="263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4C984" w14:textId="4C271E69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</w:t>
            </w:r>
            <w:r w:rsidR="00587324">
              <w:rPr>
                <w:rFonts w:ascii="宋体" w:eastAsia="宋体" w:hAnsi="宋体" w:cs="Times New Roman" w:hint="eastAsia"/>
                <w:color w:val="000000"/>
                <w:sz w:val="20"/>
                <w:szCs w:val="20"/>
                <w:lang w:eastAsia="zh-CN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-IR</w:t>
            </w:r>
          </w:p>
        </w:tc>
        <w:tc>
          <w:tcPr>
            <w:tcW w:w="95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3B3D4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M3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6B4EB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75A3C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98DA" w14:textId="1651530C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 (1.04</w:t>
            </w:r>
            <w:r w:rsidR="005905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D89A3" w14:textId="77777777" w:rsidR="00ED0733" w:rsidRDefault="00ED0733" w:rsidP="00ED07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0.024*</w:t>
            </w:r>
          </w:p>
        </w:tc>
      </w:tr>
    </w:tbl>
    <w:p w14:paraId="47F4DCF2" w14:textId="77777777" w:rsidR="0037274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Participants with BMI ≥ 28 kg/m² (Chinese obesity standard, WS/T 428-2013) were excluded; the BMI &lt; 28 subset comprised 3,622 participants with 103 events, of whom 3,611 (102 events) were complete cases for M2/M3 and were analyzed. ORs are per 1-SD increase, SDs derived from the full sample (n = 4,068). Model definitions as in Table 2; outcome as in Table 2. BMI, body mass index. * P &lt; 0.05, ** P &lt; 0.01, *** P &lt; 0.001.</w:t>
      </w:r>
    </w:p>
    <w:sectPr w:rsidR="0037274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E5D2A" w14:textId="77777777" w:rsidR="00193B89" w:rsidRDefault="00193B89" w:rsidP="00ED0733">
      <w:r>
        <w:separator/>
      </w:r>
    </w:p>
  </w:endnote>
  <w:endnote w:type="continuationSeparator" w:id="0">
    <w:p w14:paraId="7F05F106" w14:textId="77777777" w:rsidR="00193B89" w:rsidRDefault="00193B89" w:rsidP="00ED0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7B399" w14:textId="77777777" w:rsidR="00193B89" w:rsidRDefault="00193B89" w:rsidP="00ED0733">
      <w:r>
        <w:separator/>
      </w:r>
    </w:p>
  </w:footnote>
  <w:footnote w:type="continuationSeparator" w:id="0">
    <w:p w14:paraId="28C399B2" w14:textId="77777777" w:rsidR="00193B89" w:rsidRDefault="00193B89" w:rsidP="00ED0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8960616">
    <w:abstractNumId w:val="1"/>
  </w:num>
  <w:num w:numId="2" w16cid:durableId="1994794659">
    <w:abstractNumId w:val="2"/>
  </w:num>
  <w:num w:numId="3" w16cid:durableId="106977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93B89"/>
    <w:rsid w:val="001C0A13"/>
    <w:rsid w:val="001D75AB"/>
    <w:rsid w:val="0035500D"/>
    <w:rsid w:val="00362E65"/>
    <w:rsid w:val="0037274E"/>
    <w:rsid w:val="004158F9"/>
    <w:rsid w:val="00457CF1"/>
    <w:rsid w:val="00587324"/>
    <w:rsid w:val="0059057B"/>
    <w:rsid w:val="00692212"/>
    <w:rsid w:val="006A61AE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ED0733"/>
    <w:rsid w:val="00F0177D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DB3E22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ED07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D073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D073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D07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Rong</cp:lastModifiedBy>
  <cp:revision>12</cp:revision>
  <dcterms:created xsi:type="dcterms:W3CDTF">2017-02-28T11:18:00Z</dcterms:created>
  <dcterms:modified xsi:type="dcterms:W3CDTF">2026-09-24T15:09:00Z</dcterms:modified>
  <cp:category/>
</cp:coreProperties>
</file>