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30B046" w14:textId="77777777" w:rsidR="003C36D5" w:rsidRDefault="00000000">
      <w:pPr>
        <w:spacing w:after="160" w:line="301" w:lineRule="auto"/>
        <w:rPr>
          <w:rFonts w:ascii="Times New Roman" w:eastAsia="Times New Roman" w:hAnsi="Times New Roman" w:cs="Times New Roman"/>
          <w:sz w:val="24"/>
          <w:szCs w:val="24"/>
        </w:rPr>
      </w:pPr>
      <w:r>
        <w:rPr>
          <w:b/>
          <w:bCs/>
          <w:sz w:val="32"/>
          <w:szCs w:val="32"/>
        </w:rPr>
        <w:t>Supplementary information</w:t>
      </w:r>
    </w:p>
    <w:p w14:paraId="4EE72673" w14:textId="77777777" w:rsidR="003C36D5" w:rsidRDefault="003C36D5">
      <w:pPr>
        <w:spacing w:after="160" w:line="301" w:lineRule="auto"/>
        <w:rPr>
          <w:rFonts w:ascii="Times New Roman" w:eastAsia="Times New Roman" w:hAnsi="Times New Roman" w:cs="Times New Roman"/>
          <w:sz w:val="24"/>
          <w:szCs w:val="24"/>
        </w:rPr>
      </w:pPr>
    </w:p>
    <w:p w14:paraId="14BAEC63" w14:textId="77777777" w:rsidR="003C36D5" w:rsidRDefault="00000000">
      <w:pPr>
        <w:spacing w:after="160" w:line="301" w:lineRule="auto"/>
        <w:rPr>
          <w:rFonts w:ascii="Times New Roman" w:eastAsia="Times New Roman" w:hAnsi="Times New Roman" w:cs="Times New Roman"/>
          <w:sz w:val="24"/>
          <w:szCs w:val="24"/>
        </w:rPr>
      </w:pPr>
      <w:r>
        <w:rPr>
          <w:rFonts w:ascii="Times New Roman" w:eastAsia="Times New Roman" w:hAnsi="Times New Roman" w:cs="Times New Roman"/>
          <w:sz w:val="20"/>
          <w:szCs w:val="20"/>
        </w:rPr>
        <w:t>Supplementary Table S1: Common themes by coverage and certainty</w:t>
      </w:r>
    </w:p>
    <w:tbl>
      <w:tblPr>
        <w:tblStyle w:val="a"/>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2"/>
        <w:gridCol w:w="1548"/>
        <w:gridCol w:w="1289"/>
        <w:gridCol w:w="1289"/>
        <w:gridCol w:w="1289"/>
        <w:gridCol w:w="1289"/>
        <w:gridCol w:w="1289"/>
      </w:tblGrid>
      <w:tr w:rsidR="003C36D5" w14:paraId="0E044137" w14:textId="77777777">
        <w:trPr>
          <w:trHeight w:val="654"/>
        </w:trPr>
        <w:tc>
          <w:tcPr>
            <w:tcW w:w="1031" w:type="dxa"/>
            <w:tcBorders>
              <w:top w:val="nil"/>
              <w:left w:val="nil"/>
              <w:right w:val="nil"/>
            </w:tcBorders>
            <w:tcMar>
              <w:top w:w="100" w:type="dxa"/>
              <w:left w:w="100" w:type="dxa"/>
              <w:bottom w:w="100" w:type="dxa"/>
              <w:right w:w="100" w:type="dxa"/>
            </w:tcMar>
          </w:tcPr>
          <w:p w14:paraId="620B46F0"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Reference #</w:t>
            </w:r>
          </w:p>
        </w:tc>
        <w:tc>
          <w:tcPr>
            <w:tcW w:w="1547" w:type="dxa"/>
            <w:tcBorders>
              <w:top w:val="nil"/>
              <w:left w:val="nil"/>
              <w:right w:val="nil"/>
            </w:tcBorders>
            <w:tcMar>
              <w:top w:w="100" w:type="dxa"/>
              <w:left w:w="100" w:type="dxa"/>
              <w:bottom w:w="100" w:type="dxa"/>
              <w:right w:w="100" w:type="dxa"/>
            </w:tcMar>
          </w:tcPr>
          <w:p w14:paraId="65AD4F2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Theme</w:t>
            </w:r>
          </w:p>
        </w:tc>
        <w:tc>
          <w:tcPr>
            <w:tcW w:w="1289" w:type="dxa"/>
            <w:tcBorders>
              <w:top w:val="nil"/>
              <w:left w:val="nil"/>
              <w:right w:val="nil"/>
            </w:tcBorders>
            <w:tcMar>
              <w:top w:w="100" w:type="dxa"/>
              <w:left w:w="100" w:type="dxa"/>
              <w:bottom w:w="100" w:type="dxa"/>
              <w:right w:w="100" w:type="dxa"/>
            </w:tcMar>
          </w:tcPr>
          <w:p w14:paraId="44C1C56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Jurisdictions that include</w:t>
            </w:r>
          </w:p>
        </w:tc>
        <w:tc>
          <w:tcPr>
            <w:tcW w:w="1289" w:type="dxa"/>
            <w:tcBorders>
              <w:top w:val="nil"/>
              <w:left w:val="nil"/>
              <w:right w:val="nil"/>
            </w:tcBorders>
            <w:tcMar>
              <w:top w:w="100" w:type="dxa"/>
              <w:left w:w="100" w:type="dxa"/>
              <w:bottom w:w="100" w:type="dxa"/>
              <w:right w:w="100" w:type="dxa"/>
            </w:tcMar>
          </w:tcPr>
          <w:p w14:paraId="58BF22DC"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Jurisdictions that exclude</w:t>
            </w:r>
          </w:p>
        </w:tc>
        <w:tc>
          <w:tcPr>
            <w:tcW w:w="1289" w:type="dxa"/>
            <w:tcBorders>
              <w:top w:val="nil"/>
              <w:left w:val="nil"/>
              <w:right w:val="nil"/>
            </w:tcBorders>
            <w:tcMar>
              <w:top w:w="100" w:type="dxa"/>
              <w:left w:w="100" w:type="dxa"/>
              <w:bottom w:w="100" w:type="dxa"/>
              <w:right w:w="100" w:type="dxa"/>
            </w:tcMar>
          </w:tcPr>
          <w:p w14:paraId="37A94A55"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Jurisdiction count</w:t>
            </w:r>
          </w:p>
        </w:tc>
        <w:tc>
          <w:tcPr>
            <w:tcW w:w="1289" w:type="dxa"/>
            <w:tcBorders>
              <w:top w:val="nil"/>
              <w:left w:val="nil"/>
              <w:right w:val="nil"/>
            </w:tcBorders>
            <w:tcMar>
              <w:top w:w="100" w:type="dxa"/>
              <w:left w:w="100" w:type="dxa"/>
              <w:bottom w:w="100" w:type="dxa"/>
              <w:right w:w="100" w:type="dxa"/>
            </w:tcMar>
          </w:tcPr>
          <w:p w14:paraId="749574B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GRADE-informed certainty</w:t>
            </w:r>
          </w:p>
        </w:tc>
        <w:tc>
          <w:tcPr>
            <w:tcW w:w="1289" w:type="dxa"/>
            <w:tcBorders>
              <w:top w:val="nil"/>
              <w:left w:val="nil"/>
              <w:right w:val="nil"/>
            </w:tcBorders>
            <w:tcMar>
              <w:top w:w="100" w:type="dxa"/>
              <w:left w:w="100" w:type="dxa"/>
              <w:bottom w:w="100" w:type="dxa"/>
              <w:right w:w="100" w:type="dxa"/>
            </w:tcMar>
          </w:tcPr>
          <w:p w14:paraId="24ACA35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Refs that informed certainty</w:t>
            </w:r>
          </w:p>
        </w:tc>
      </w:tr>
      <w:tr w:rsidR="003C36D5" w14:paraId="3F83EEC7" w14:textId="77777777">
        <w:tc>
          <w:tcPr>
            <w:tcW w:w="1031" w:type="dxa"/>
            <w:tcBorders>
              <w:left w:val="nil"/>
              <w:bottom w:val="nil"/>
              <w:right w:val="nil"/>
            </w:tcBorders>
            <w:tcMar>
              <w:top w:w="100" w:type="dxa"/>
              <w:left w:w="100" w:type="dxa"/>
              <w:bottom w:w="100" w:type="dxa"/>
              <w:right w:w="100" w:type="dxa"/>
            </w:tcMar>
          </w:tcPr>
          <w:p w14:paraId="54469C5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C01</w:t>
            </w:r>
          </w:p>
        </w:tc>
        <w:tc>
          <w:tcPr>
            <w:tcW w:w="1547" w:type="dxa"/>
            <w:tcBorders>
              <w:left w:val="nil"/>
              <w:bottom w:val="nil"/>
              <w:right w:val="nil"/>
            </w:tcBorders>
            <w:tcMar>
              <w:top w:w="100" w:type="dxa"/>
              <w:left w:w="100" w:type="dxa"/>
              <w:bottom w:w="100" w:type="dxa"/>
              <w:right w:w="100" w:type="dxa"/>
            </w:tcMar>
          </w:tcPr>
          <w:p w14:paraId="33E7B840"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Wipe infant’s gums with damp cloth</w:t>
            </w:r>
          </w:p>
        </w:tc>
        <w:tc>
          <w:tcPr>
            <w:tcW w:w="1289" w:type="dxa"/>
            <w:tcBorders>
              <w:left w:val="nil"/>
              <w:bottom w:val="nil"/>
              <w:right w:val="nil"/>
            </w:tcBorders>
            <w:tcMar>
              <w:top w:w="100" w:type="dxa"/>
              <w:left w:w="100" w:type="dxa"/>
              <w:bottom w:w="100" w:type="dxa"/>
              <w:right w:w="100" w:type="dxa"/>
            </w:tcMar>
          </w:tcPr>
          <w:p w14:paraId="5B944D8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MB, NB, NS, NL, QC, NT, NU, YT, GoC</w:t>
            </w:r>
          </w:p>
        </w:tc>
        <w:tc>
          <w:tcPr>
            <w:tcW w:w="1289" w:type="dxa"/>
            <w:tcBorders>
              <w:left w:val="nil"/>
              <w:bottom w:val="nil"/>
              <w:right w:val="nil"/>
            </w:tcBorders>
            <w:tcMar>
              <w:top w:w="100" w:type="dxa"/>
              <w:left w:w="100" w:type="dxa"/>
              <w:bottom w:w="100" w:type="dxa"/>
              <w:right w:w="100" w:type="dxa"/>
            </w:tcMar>
          </w:tcPr>
          <w:p w14:paraId="636E6165"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PEI</w:t>
            </w:r>
          </w:p>
        </w:tc>
        <w:tc>
          <w:tcPr>
            <w:tcW w:w="1289" w:type="dxa"/>
            <w:tcBorders>
              <w:left w:val="nil"/>
              <w:bottom w:val="nil"/>
              <w:right w:val="nil"/>
            </w:tcBorders>
            <w:tcMar>
              <w:top w:w="100" w:type="dxa"/>
              <w:left w:w="100" w:type="dxa"/>
              <w:bottom w:w="100" w:type="dxa"/>
              <w:right w:w="100" w:type="dxa"/>
            </w:tcMar>
          </w:tcPr>
          <w:p w14:paraId="1C9B527C"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289" w:type="dxa"/>
            <w:tcBorders>
              <w:left w:val="nil"/>
              <w:bottom w:val="nil"/>
              <w:right w:val="nil"/>
            </w:tcBorders>
            <w:tcMar>
              <w:top w:w="100" w:type="dxa"/>
              <w:left w:w="100" w:type="dxa"/>
              <w:bottom w:w="100" w:type="dxa"/>
              <w:right w:w="100" w:type="dxa"/>
            </w:tcMar>
          </w:tcPr>
          <w:p w14:paraId="0DB81D0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Very Low</w:t>
            </w:r>
          </w:p>
        </w:tc>
        <w:tc>
          <w:tcPr>
            <w:tcW w:w="1289" w:type="dxa"/>
            <w:tcBorders>
              <w:left w:val="nil"/>
              <w:bottom w:val="nil"/>
              <w:right w:val="nil"/>
            </w:tcBorders>
            <w:tcMar>
              <w:top w:w="100" w:type="dxa"/>
              <w:left w:w="100" w:type="dxa"/>
              <w:bottom w:w="100" w:type="dxa"/>
              <w:right w:w="100" w:type="dxa"/>
            </w:tcMar>
          </w:tcPr>
          <w:p w14:paraId="6B3DDE3E" w14:textId="17AE0429"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YPsXd4vE","properties":{"unsorted":false,"formattedCitation":"[1\\uc0\\u8211{}3]","plainCitation":"[1–3]","noteIndex":0},"citationItems":[{"id":365,"uris":["http://zotero.org/users/13599032/items/5V99DCP9"],"itemData":{"id":365,"type":"article-journal","abstract":"Abstract\n            \n              Background\n              Xylitol is widely used in caries prevention and has been shown to reduce cariogenic activity in children. However, limited evidence exists regarding the effectiveness of xylitol wipes in infants and toddlers.\n            \n            \n              Objective\n              To investigate the effect of xylitol wipes on cariogenic activity in infants and toddlers.\n            \n            \n              Materials and methods\n              This prospective, longitudinal, single–arm interventional study included 20 healthy, caries–free children aged 9 months to 1.5 years. Mothers were instructed to wipe their children’s teeth with xylitol wipes (Spiffies Baby Tooth Wipes™) three times daily for four weeks. Salivary samples were collected at baseline and weekly follow–up visits. Cariogenic activity was assessed by measuring lactic acid production using a chairside kit (Clinpro Cario L–Pop), and salivary mutans streptococci (MS) levels were determined using the CRT bacteria caries risk test.\n            \n            \n              Results\n              \n                A highly significant reduction in salivary lactic acid levels was observed after one week of xylitol wipe use (\n                P\n                 &lt; 0.0001). A significant reduction in MS counts was observed by the fourth week (\n                P\n                 = 0.02).\n              \n            \n            \n              Conclusions\n              Daily application of xylitol wipes reduced cariogenic activity in young children, suggesting that this delivery method may be a practical preventive approach during early childhood.\n            \n            \n              Trial registration\n              This trial was registered at ClinicalTrials.gov (Identifier: NCT07245433) on 14 November 2025.","citation-key":"el-habashyEvaluatingEffectXylitol2026","container-title":"BMC Oral Health","DOI":"10.1186/s12903-026-08018-x","ISSN":"1472-6831","issue":"1","journalAbbreviation":"BMC Oral Health","language":"en","page":"631","source":"DOI.org (Crossref)","title":"Evaluating the effect of xylitol wipes on cariogenic bacteria in infants and toddlers: a longitudinal clinical trial","title-short":"Evaluating the effect of xylitol wipes on cariogenic bacteria in infants and toddlers","volume":"26","author":[{"family":"El–Habashy","given":"Laila M."},{"family":"El Meligy","given":"Omar Abd El Sadek"},{"family":"Hamouda","given":"Aliaa Abdelsalam"}],"issued":{"date-parts":[["2026",3,27]]}}},{"id":367,"uris":["http://zotero.org/users/13599032/items/9DTE5EVF"],"itemData":{"id":367,"type":"article-journal","abstract":"Objective: To assess the presence of Streptococcus Mutans (S.mutans) and Lactobacillus species (LB) of newborn-mother pairs using the real time polymerase chain reaction (qRT-PCR). \nMethod: Subjects were selected from the patients followed in the Neonatology Clinic of Akdeniz University’s Faculty of Medicine between the years 2017-2018. First samples collected within 48 hours after birth, and second samples were at six months. The samples were analyzed for the presence of S.mutans and LB using qRT-PCR. Mothers’ smoking habits, education level, occupation, oral hygiene habits, DMFT scores and dietary history; Babies’ delivery type, birth weight, feeding type, oral hygiene practices, feeding habits, bottle usage, pacifier usage, consumption of sugary foods, were also recorded. The effect of factors related to both mothers and infants was examined comparatively. \nResults: S.mutans DNA was detectable in 87% and LB DNA was detected in 37% mothers, while it was undetected in 63% mothers at the first sampling. S.mutans was detected in 37% and, while LB was detected in 5% of the newborns in the first 48 hours of their life. At the second sampling, the S.mutans and LB levels in infants have increased, while there has been no significant change in mothers. A significant relationship was found only between the increase in S.mutans in infants and the presence of erupted teeth. \nConclusion: S.mutans and LB were able to colonize on the oral mucosal surfaces of edentulous newborns, with the counts of both bacteria increasing significantly with tooth eruption. \ndoi: https://doi.org/10.12669/pjms.40.9.9602 \nHow to cite this: Ay C, Karayılmaz H, Cengiz A. Early oral colonization of streptococcus mutans and lactobacilli species in infants: Investigating the relationship with maternal and environmental factors, from birth through the sixth month. Pak J Med Sci. 2024;40(9):2028-2035. doi: https://doi.org/10.12669/pjms.40.9.9602 \nThis is an Open Access article distributed under the terms of the Creative Commons Attribution License (http://creativecommons.org/licenses/by/3.0), which permits unrestricted use, distribution, and reproduction in any medium, provided the original work is properly cited.","citation-key":"ayEarlyOralColonization2024","container-title":"Pakistan Journal of Medical Sciences","DOI":"10.12669/pjms.40.9.9602","ISSN":"1681-715X, 1682-024X","issue":"9","journalAbbreviation":"Pak J Med Sci","source":"DOI.org (Crossref)","title":"Early oral colonization of streptococcus mutans and lactobacilli species in infants: Investigating the relationship with maternal and environmental factors, from birth through the sixth month: Oral Colonization of Streptococcus Mutans and Lactobacilli Species in Infants","title-short":"Early oral colonization of streptococcus mutans and lactobacilli species in infants","URL":"https://pjms.org.pk/index.php/pjms/article/view/9602","volume":"40","author":[{"family":"Ay","given":"Cansu"},{"family":"Karayılmaz","given":"Hüseyin"},{"family":"Cengiz","given":"Ayşe"}],"accessed":{"date-parts":[["2026",8,1]]},"issued":{"date-parts":[["2024",9,24]]}}},{"id":369,"uris":["http://zotero.org/users/13599032/items/X7GFPEM3"],"itemData":{"id":369,"type":"article-journal","citation-key":"lopesEffectOralHygiene2023","container-title":"Journal of Clinical and Experimental Dentistry","DOI":"10.4317/jced.60885","ISSN":"19895488","journalAbbreviation":"J Clin Exp Dent","page":"e920-e928","source":"DOI.org (Crossref)","title":"Effect of oral hygiene in infants before dental eruption on Candida spp. colonization and the occurrence of oral candidiasis: A randomized clinical trial","title-short":"Effect of oral hygiene in infants before dental eruption on Candida spp. colonization and the occurrence of oral candidiasis","author":[{"family":"Lopes","given":"A."},{"family":"Cardoso","given":"V."},{"family":"Moreira","given":"L."},{"family":"Ramos-Jorge","given":"J."},{"family":"Ramos-Jorge","given":"M."},{"family":"Fernandes","given":"I."}],"issued":{"date-parts":[["2023"]]}}}],"schema":"https://github.com/citation-style-language/schema/raw/master/csl-citation.json"} </w:instrText>
            </w:r>
            <w:r>
              <w:fldChar w:fldCharType="separate"/>
            </w:r>
            <w:r w:rsidR="00FE777A" w:rsidRPr="00FE777A">
              <w:rPr>
                <w:szCs w:val="24"/>
                <w:lang w:val="en-US"/>
              </w:rPr>
              <w:t>[1–3]</w:t>
            </w:r>
            <w:r>
              <w:fldChar w:fldCharType="end"/>
            </w:r>
          </w:p>
        </w:tc>
      </w:tr>
      <w:tr w:rsidR="003C36D5" w14:paraId="3B6C6F95" w14:textId="77777777">
        <w:tc>
          <w:tcPr>
            <w:tcW w:w="1031" w:type="dxa"/>
            <w:tcBorders>
              <w:top w:val="nil"/>
              <w:left w:val="nil"/>
              <w:bottom w:val="nil"/>
              <w:right w:val="nil"/>
            </w:tcBorders>
            <w:tcMar>
              <w:top w:w="100" w:type="dxa"/>
              <w:left w:w="100" w:type="dxa"/>
              <w:bottom w:w="100" w:type="dxa"/>
              <w:right w:w="100" w:type="dxa"/>
            </w:tcMar>
          </w:tcPr>
          <w:p w14:paraId="436C24A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C02</w:t>
            </w:r>
          </w:p>
        </w:tc>
        <w:tc>
          <w:tcPr>
            <w:tcW w:w="1547" w:type="dxa"/>
            <w:tcBorders>
              <w:top w:val="nil"/>
              <w:left w:val="nil"/>
              <w:bottom w:val="nil"/>
              <w:right w:val="nil"/>
            </w:tcBorders>
            <w:tcMar>
              <w:top w:w="100" w:type="dxa"/>
              <w:left w:w="100" w:type="dxa"/>
              <w:bottom w:w="100" w:type="dxa"/>
              <w:right w:w="100" w:type="dxa"/>
            </w:tcMar>
          </w:tcPr>
          <w:p w14:paraId="26C7FFA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Grain-of-rice fluoride toothpaste (&lt;3)</w:t>
            </w:r>
          </w:p>
        </w:tc>
        <w:tc>
          <w:tcPr>
            <w:tcW w:w="1289" w:type="dxa"/>
            <w:tcBorders>
              <w:top w:val="nil"/>
              <w:left w:val="nil"/>
              <w:bottom w:val="nil"/>
              <w:right w:val="nil"/>
            </w:tcBorders>
            <w:tcMar>
              <w:top w:w="100" w:type="dxa"/>
              <w:left w:w="100" w:type="dxa"/>
              <w:bottom w:w="100" w:type="dxa"/>
              <w:right w:w="100" w:type="dxa"/>
            </w:tcMar>
          </w:tcPr>
          <w:p w14:paraId="61A683D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MB, NB, NS, NL, PEI, QC, NT, NU, GoC</w:t>
            </w:r>
          </w:p>
        </w:tc>
        <w:tc>
          <w:tcPr>
            <w:tcW w:w="1289" w:type="dxa"/>
            <w:tcBorders>
              <w:top w:val="nil"/>
              <w:left w:val="nil"/>
              <w:bottom w:val="nil"/>
              <w:right w:val="nil"/>
            </w:tcBorders>
            <w:tcMar>
              <w:top w:w="100" w:type="dxa"/>
              <w:left w:w="100" w:type="dxa"/>
              <w:bottom w:w="100" w:type="dxa"/>
              <w:right w:w="100" w:type="dxa"/>
            </w:tcMar>
          </w:tcPr>
          <w:p w14:paraId="4C1D1D2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PEI, YT</w:t>
            </w:r>
          </w:p>
        </w:tc>
        <w:tc>
          <w:tcPr>
            <w:tcW w:w="1289" w:type="dxa"/>
            <w:tcBorders>
              <w:top w:val="nil"/>
              <w:left w:val="nil"/>
              <w:bottom w:val="nil"/>
              <w:right w:val="nil"/>
            </w:tcBorders>
            <w:tcMar>
              <w:top w:w="100" w:type="dxa"/>
              <w:left w:w="100" w:type="dxa"/>
              <w:bottom w:w="100" w:type="dxa"/>
              <w:right w:w="100" w:type="dxa"/>
            </w:tcMar>
          </w:tcPr>
          <w:p w14:paraId="13F4750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289" w:type="dxa"/>
            <w:tcBorders>
              <w:top w:val="nil"/>
              <w:left w:val="nil"/>
              <w:bottom w:val="nil"/>
              <w:right w:val="nil"/>
            </w:tcBorders>
            <w:tcMar>
              <w:top w:w="100" w:type="dxa"/>
              <w:left w:w="100" w:type="dxa"/>
              <w:bottom w:w="100" w:type="dxa"/>
              <w:right w:w="100" w:type="dxa"/>
            </w:tcMar>
          </w:tcPr>
          <w:p w14:paraId="2439694D"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Moderate</w:t>
            </w:r>
          </w:p>
        </w:tc>
        <w:tc>
          <w:tcPr>
            <w:tcW w:w="1289" w:type="dxa"/>
            <w:tcBorders>
              <w:top w:val="nil"/>
              <w:left w:val="nil"/>
              <w:bottom w:val="nil"/>
              <w:right w:val="nil"/>
            </w:tcBorders>
            <w:tcMar>
              <w:top w:w="100" w:type="dxa"/>
              <w:left w:w="100" w:type="dxa"/>
              <w:bottom w:w="100" w:type="dxa"/>
              <w:right w:w="100" w:type="dxa"/>
            </w:tcMar>
          </w:tcPr>
          <w:p w14:paraId="498982D1" w14:textId="45839A33" w:rsidR="003C36D5" w:rsidRDefault="00000000">
            <w:pPr>
              <w:widowControl w:val="0"/>
              <w:pBdr>
                <w:top w:val="nil"/>
                <w:left w:val="nil"/>
                <w:bottom w:val="nil"/>
                <w:right w:val="nil"/>
                <w:between w:val="nil"/>
              </w:pBdr>
              <w:spacing w:line="240" w:lineRule="auto"/>
            </w:pPr>
            <w:r>
              <w:fldChar w:fldCharType="begin"/>
            </w:r>
            <w:r w:rsidR="00FE777A">
              <w:instrText xml:space="preserve"> ADDIN ZOTERO_ITEM CSL_CITATION {"citationID":"pizh5Pll","properties":{"unsorted":false,"formattedCitation":"[4,5]","plainCitation":"[4,5]","noteIndex":0},"citationItems":[{"id":371,"uris":["http://zotero.org/users/13599032/items/F9NESMM2"],"itemData":{"id":371,"type":"article-journal","citation-key":"walshFluorideToothpastesDifferent2019","container-title":"Cochrane Database of Systematic Reviews","DOI":"10.1002/14651858.CD007868.pub3","ISSN":"14651858","issue":"11","language":"en","source":"DOI.org (Crossref)","title":"Fluoride toothpastes of different concentrations for preventing dental caries","URL":"http://doi.wiley.com/10.1002/14651858.CD007868.pub3","volume":"2019","author":[{"family":"Walsh","given":"Tanya"},{"family":"Worthington","given":"Helen V"},{"family":"Glenny","given":"Anne-Marie"},{"family":"Marinho","given":"Valeria Cc"},{"family":"Jeroncic","given":"Ana"}],"editor":[{"literal":"Cochrane Oral Health Group"}],"accessed":{"date-parts":[["2026",8,1]]},"issued":{"date-parts":[["2019",3,4]]}}},{"id":372,"uris":["http://zotero.org/users/13599032/items/RPVKNWSX"],"itemData":{"id":372,"type":"article-journal","citation-key":"wrightFluorideToothpasteEfficacy2014","container-title":"The Journal of the American Dental Association","DOI":"10.14219/jada.2013.37","ISSN":"00028177","issue":"2","journalAbbreviation":"The Journal of the American Dental Association","language":"en","license":"https://www.elsevier.com/tdm/userlicense/1.0/","page":"182-189","source":"DOI.org (Crossref)","title":"Fluoride toothpaste efficacy and safety in children younger than 6 years","volume":"145","author":[{"family":"Wright","given":"J. Timothy"},{"family":"Hanson","given":"Nicholas"},{"family":"Ristic","given":"Helen"},{"family":"Whall","given":"Clifford W."},{"family":"Estrich","given":"Cameron G."},{"family":"Zentz","given":"Ronald R."}],"issued":{"date-parts":[["2014",2]]}}}],"schema":"https://github.com/citation-style-language/schema/raw/master/csl-citation.json"} </w:instrText>
            </w:r>
            <w:r>
              <w:fldChar w:fldCharType="separate"/>
            </w:r>
            <w:r w:rsidR="00FE777A">
              <w:t>[4,5]</w:t>
            </w:r>
            <w:r>
              <w:fldChar w:fldCharType="end"/>
            </w:r>
          </w:p>
        </w:tc>
      </w:tr>
      <w:tr w:rsidR="003C36D5" w14:paraId="57C1BC34" w14:textId="77777777">
        <w:tc>
          <w:tcPr>
            <w:tcW w:w="1031" w:type="dxa"/>
            <w:tcBorders>
              <w:top w:val="nil"/>
              <w:left w:val="nil"/>
              <w:bottom w:val="nil"/>
              <w:right w:val="nil"/>
            </w:tcBorders>
            <w:tcMar>
              <w:top w:w="100" w:type="dxa"/>
              <w:left w:w="100" w:type="dxa"/>
              <w:bottom w:w="100" w:type="dxa"/>
              <w:right w:w="100" w:type="dxa"/>
            </w:tcMar>
          </w:tcPr>
          <w:p w14:paraId="4A0170E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C03</w:t>
            </w:r>
          </w:p>
        </w:tc>
        <w:tc>
          <w:tcPr>
            <w:tcW w:w="1547" w:type="dxa"/>
            <w:tcBorders>
              <w:top w:val="nil"/>
              <w:left w:val="nil"/>
              <w:bottom w:val="nil"/>
              <w:right w:val="nil"/>
            </w:tcBorders>
            <w:tcMar>
              <w:top w:w="100" w:type="dxa"/>
              <w:left w:w="100" w:type="dxa"/>
              <w:bottom w:w="100" w:type="dxa"/>
              <w:right w:w="100" w:type="dxa"/>
            </w:tcMar>
          </w:tcPr>
          <w:p w14:paraId="3456577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 bottle in bed</w:t>
            </w:r>
          </w:p>
        </w:tc>
        <w:tc>
          <w:tcPr>
            <w:tcW w:w="1289" w:type="dxa"/>
            <w:tcBorders>
              <w:top w:val="nil"/>
              <w:left w:val="nil"/>
              <w:bottom w:val="nil"/>
              <w:right w:val="nil"/>
            </w:tcBorders>
            <w:tcMar>
              <w:top w:w="100" w:type="dxa"/>
              <w:left w:w="100" w:type="dxa"/>
              <w:bottom w:w="100" w:type="dxa"/>
              <w:right w:w="100" w:type="dxa"/>
            </w:tcMar>
          </w:tcPr>
          <w:p w14:paraId="6F6562FD"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MB, NB, NS, NL, PEI, QC, NU, YT, GoC</w:t>
            </w:r>
          </w:p>
        </w:tc>
        <w:tc>
          <w:tcPr>
            <w:tcW w:w="1289" w:type="dxa"/>
            <w:tcBorders>
              <w:top w:val="nil"/>
              <w:left w:val="nil"/>
              <w:bottom w:val="nil"/>
              <w:right w:val="nil"/>
            </w:tcBorders>
            <w:tcMar>
              <w:top w:w="100" w:type="dxa"/>
              <w:left w:w="100" w:type="dxa"/>
              <w:bottom w:w="100" w:type="dxa"/>
              <w:right w:w="100" w:type="dxa"/>
            </w:tcMar>
          </w:tcPr>
          <w:p w14:paraId="1F93750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BC, NT</w:t>
            </w:r>
          </w:p>
        </w:tc>
        <w:tc>
          <w:tcPr>
            <w:tcW w:w="1289" w:type="dxa"/>
            <w:tcBorders>
              <w:top w:val="nil"/>
              <w:left w:val="nil"/>
              <w:bottom w:val="nil"/>
              <w:right w:val="nil"/>
            </w:tcBorders>
            <w:tcMar>
              <w:top w:w="100" w:type="dxa"/>
              <w:left w:w="100" w:type="dxa"/>
              <w:bottom w:w="100" w:type="dxa"/>
              <w:right w:w="100" w:type="dxa"/>
            </w:tcMar>
          </w:tcPr>
          <w:p w14:paraId="76FE583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89" w:type="dxa"/>
            <w:tcBorders>
              <w:top w:val="nil"/>
              <w:left w:val="nil"/>
              <w:bottom w:val="nil"/>
              <w:right w:val="nil"/>
            </w:tcBorders>
            <w:tcMar>
              <w:top w:w="100" w:type="dxa"/>
              <w:left w:w="100" w:type="dxa"/>
              <w:bottom w:w="100" w:type="dxa"/>
              <w:right w:w="100" w:type="dxa"/>
            </w:tcMar>
          </w:tcPr>
          <w:p w14:paraId="168A8C9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5C417F69" w14:textId="6392F4DE"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{"citationID":"ZJOXd75N","properties":{"unsorted":false,"formattedCitation":"[6,7]","plainCitation":"[6,7]","noteIndex":0},"citationItems":[{"id":374,"uris":["http://zotero.org/users/13599032/items/MV5EFCK9"],"itemData":{"id":374,"type":"article-journal","abstract":"Previous studies showed that prolonged breastfeeding increases the risk of caries. However, the observed associations were mainly based on non-European populations, and important confounding and mediating factors like socioeconomic position (SEP) and diet were often neglected. The aim of this study was to investigate the role of breastfeeding and bottle-feeding practices on dental caries during childhood while accounting for SEP, ethnic background, and sugar intake. This study was part of the Generation R Study, a prospective multiethnic cohort study conducted in Rotterdam, The Netherlands. In total, 4,146 children were included in the analyses. Information about feeding practices was derived from delivery reports and questionnaires during infancy. Caries was measured via intraoral photographs at the age of 6 years and defined as decayed, missing, and filled teeth (dmft). Negative binomial hurdle regression analyses were used to study the associations between several infant feeding practices and childhood caries. The prevalence of dental caries at the age of 6 years was 27.9% (&lt;i&gt;n&lt;/i&gt; = 1,158). Prolonged breastfeeding (for &amp;#x3e;12 months) was associated with dental caries (OR 1.35, 95% CI 1.04–1.74) and the number of teeth affected by dental caries (RR 1.27, 95% CI 1.03–1.56). Furthermore, nocturnal bottle-feeding was associated with dental caries (OR 1.52, 95% CI 1.20–1.93). All associations were independent of family SEP, ethnic background, and sugar intake. Results from this Dutch cohort study confirmed the previously observed associations between prolonged breastfeeding and nocturnal bottle-feeding and the increased risk of childhood dental caries, even after proper adjustments for indicators of SEP, ethnic background, and sugar intake. Future studies are encouraged to elaborate further on possible explanations for the observed relationships. Healthcare professionals should be aware and advise caregivers about the potential risk of prolonged breastfeeding on caries development by applying the current recommendations on breastfeeding, oral hygiene, and feeding frequency.","citation-key":"vanmeijeren-vanlunterenBreastfeedingChildhoodDental2021","container-title":"Caries Research","DOI":"10.1159/000514502","ISSN":"0008-6568, 1421-976X","issue":"2","journalAbbreviation":"Caries Res","language":"en","license":"https://creativecommons.org/licenses/by-nc/4.0/","page":"153-161","source":"DOI.org (Crossref)","title":"Breastfeeding and Childhood Dental Caries: Results from a Socially Diverse Birth Cohort Study","title-short":"Breastfeeding and Childhood Dental Caries","volume":"55","author":[{"family":"van Lunteren","given":"Agatha W.","non-dropping-particle":"van Meijeren-"},{"family":"Voortman","given":"Trudy"},{"family":"Elfrink","given":"Marlies E.C."},{"family":"Wolvius","given":"Eppo B."},{"family":"Kragt","given":"Lea"}],"issued":{"date-parts":[["2021"]]}}},{"id":375,"uris":["http://zotero.org/users/13599032/items/MIQVKZX8"],"itemData":{"id":375,"type":"article-journal","citation-key":"duanAssociationFirst22025","container-title":"BMC Oral Health","DOI":"10.1186/s12903-025-06794-6","ISSN":"1472-6831","issue":"1","journalAbbreviation":"BMC Oral Health","language":"en","page":"1531","source":"DOI.org (Crossref)","title":"Association between first 2 years’ feeding practices and early childhood caries: a birth cohort study in Shanghai","title-short":"Association between first 2 years’ feeding practices and early childhood caries","volume":"25","author":[{"family":"Duan","given":"Zhihong"},{"family":"Du","given":"Chenjinyu"},{"family":"Tong","given":"Min"},{"family":"Zeng","given":"Xiaoli"},{"family":"Zhang","given":"Ying"},{"family":"Shi","given":"Huijing"}],"issued":{"date-parts":[["2025",10,6]]}}}],"schema":"https://github.com/citation-style-language/schema/raw/master/csl-citation.json"} </w:instrText>
            </w:r>
            <w:r>
              <w:fldChar w:fldCharType="separate"/>
            </w:r>
            <w:r w:rsidR="00FE777A">
              <w:t>[6,7]</w:t>
            </w:r>
            <w:r>
              <w:fldChar w:fldCharType="end"/>
            </w:r>
          </w:p>
        </w:tc>
      </w:tr>
      <w:tr w:rsidR="003C36D5" w14:paraId="7E2B5436" w14:textId="77777777">
        <w:tc>
          <w:tcPr>
            <w:tcW w:w="1031" w:type="dxa"/>
            <w:tcBorders>
              <w:top w:val="nil"/>
              <w:left w:val="nil"/>
              <w:bottom w:val="nil"/>
              <w:right w:val="nil"/>
            </w:tcBorders>
            <w:tcMar>
              <w:top w:w="100" w:type="dxa"/>
              <w:left w:w="100" w:type="dxa"/>
              <w:bottom w:w="100" w:type="dxa"/>
              <w:right w:w="100" w:type="dxa"/>
            </w:tcMar>
          </w:tcPr>
          <w:p w14:paraId="3E5E07A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C04</w:t>
            </w:r>
          </w:p>
        </w:tc>
        <w:tc>
          <w:tcPr>
            <w:tcW w:w="1547" w:type="dxa"/>
            <w:tcBorders>
              <w:top w:val="nil"/>
              <w:left w:val="nil"/>
              <w:bottom w:val="nil"/>
              <w:right w:val="nil"/>
            </w:tcBorders>
            <w:tcMar>
              <w:top w:w="100" w:type="dxa"/>
              <w:left w:w="100" w:type="dxa"/>
              <w:bottom w:w="100" w:type="dxa"/>
              <w:right w:w="100" w:type="dxa"/>
            </w:tcMar>
          </w:tcPr>
          <w:p w14:paraId="3858A00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Parents keep their own mouths healthy</w:t>
            </w:r>
          </w:p>
        </w:tc>
        <w:tc>
          <w:tcPr>
            <w:tcW w:w="1289" w:type="dxa"/>
            <w:tcBorders>
              <w:top w:val="nil"/>
              <w:left w:val="nil"/>
              <w:bottom w:val="nil"/>
              <w:right w:val="nil"/>
            </w:tcBorders>
            <w:tcMar>
              <w:top w:w="100" w:type="dxa"/>
              <w:left w:w="100" w:type="dxa"/>
              <w:bottom w:w="100" w:type="dxa"/>
              <w:right w:w="100" w:type="dxa"/>
            </w:tcMar>
          </w:tcPr>
          <w:p w14:paraId="3B00313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BC, MB, NB, NS, NL, PEI, NU, YT, GoC</w:t>
            </w:r>
          </w:p>
        </w:tc>
        <w:tc>
          <w:tcPr>
            <w:tcW w:w="1289" w:type="dxa"/>
            <w:tcBorders>
              <w:top w:val="nil"/>
              <w:left w:val="nil"/>
              <w:bottom w:val="nil"/>
              <w:right w:val="nil"/>
            </w:tcBorders>
            <w:tcMar>
              <w:top w:w="100" w:type="dxa"/>
              <w:left w:w="100" w:type="dxa"/>
              <w:bottom w:w="100" w:type="dxa"/>
              <w:right w:w="100" w:type="dxa"/>
            </w:tcMar>
          </w:tcPr>
          <w:p w14:paraId="116DE54D"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QU, NT</w:t>
            </w:r>
          </w:p>
        </w:tc>
        <w:tc>
          <w:tcPr>
            <w:tcW w:w="1289" w:type="dxa"/>
            <w:tcBorders>
              <w:top w:val="nil"/>
              <w:left w:val="nil"/>
              <w:bottom w:val="nil"/>
              <w:right w:val="nil"/>
            </w:tcBorders>
            <w:tcMar>
              <w:top w:w="100" w:type="dxa"/>
              <w:left w:w="100" w:type="dxa"/>
              <w:bottom w:w="100" w:type="dxa"/>
              <w:right w:w="100" w:type="dxa"/>
            </w:tcMar>
          </w:tcPr>
          <w:p w14:paraId="40028347"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89" w:type="dxa"/>
            <w:tcBorders>
              <w:top w:val="nil"/>
              <w:left w:val="nil"/>
              <w:bottom w:val="nil"/>
              <w:right w:val="nil"/>
            </w:tcBorders>
            <w:tcMar>
              <w:top w:w="100" w:type="dxa"/>
              <w:left w:w="100" w:type="dxa"/>
              <w:bottom w:w="100" w:type="dxa"/>
              <w:right w:w="100" w:type="dxa"/>
            </w:tcMar>
          </w:tcPr>
          <w:p w14:paraId="3B731F7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4A8C29C5" w14:textId="2DBF41CD"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5xlYW4KB","properties":{"unsorted":false,"formattedCitation":"[8\\uc0\\u8211{}11]","plainCitation":"[8–11]","noteIndex":0},"citationItems":[{"id":377,"uris":["http://zotero.org/users/13599032/items/3QE8WCFH"],"itemData":{"id":377,"type":"article-journal","citation-key":"dasilvabastosMothertochildTransmissionStreptococcus2015","container-title":"Journal of Dentistry","DOI":"10.1016/j.jdent.2014.12.001","ISSN":"03005712","issue":"2","journalAbbreviation":"Journal of Dentistry","language":"en","page":"181-191","source":"DOI.org (Crossref)","title":"Mother-to-child transmission of Streptococcus mutans: A systematic review and meta-analysis","title-short":"Mother-to-child transmission of Streptococcus mutans","volume":"43","author":[{"family":"Da Silva Bastos","given":"Valeria De Abreu"},{"family":"Freitas-Fernandes","given":"Liana Bastos"},{"family":"Fidalgo","given":"Tatiana Kelly Da Silva"},{"family":"Martins","given":"Carla"},{"family":"Mattos","given":"Cláudia Trindade"},{"family":"De Souza","given":"Ivete Pomarico Ribeiro"},{"family":"Maia","given":"Lucianne Cople"}],"issued":{"date-parts":[["2015",2]]}}},{"id":530,"uris":["http://zotero.org/users/13599032/items/DLQURSM8"],"itemData":{"id":530,"type":"article-journal","abstract":"PURPOSE: This study utilized multiple genetic analyses to detect evidence of maternal MS acquisition in children with S-ECC.\nMETHODS: Twenty-seven mother/child pairs were selected from children with 5-ECC preceding dental rehabilitation under general anesthesia. Plaque samples were collected from the mother, child, and the child's carious lesion. Arbitrarily primed-polymerase chain reaction (AP-PCR) genotyped 6-8 MS isolates from each plaque sample, and unique genotypes were identified. Representative MS isolates with unique genotypes were characterized by pulsed-field gel electrophoresis (PFGE). Cluster analysis using the Dice band-based similarity coefficient was used to generate dendrograms from gel bonding patterns. A Dice coefficient &gt;70% indicated similarity or match among PFGE genotypes.\nRESULTS: In 26% (7/27) of mother/child pairs, all of the child's isolates matched the mother. In 15% (4/27), some of the child's genotypes matched the mother, and in 59% (16/27), no isolates matched the mother. Maternal transmission was a mode of MS acquisition in 41% (11/27) of mother/child pairs, while acquisition from non-maternal sources occurred in 74% (20/27).\nCONCLUSIONS: MS genotypes that did not match maternal strains were identified in the majority of children (74%) within this S-ECC population. Evidence of maternal transmission was detected in 41% of mother/child pairs.","citation-key":"mitchellMaternalTransmissionMutans2009","container-title":"Pediatric Dentistry","ISSN":"0164-1263","issue":"3","journalAbbreviation":"Pediatr Dent","language":"eng","page":"193-201","PMID":"19552223","PMCID":"PMC3173944","source":"PubMed","title":"Maternal transmission of mutans Streptococci in severe-early childhood caries","volume":"31","author":[{"family":"Mitchell","given":"Stephen C."},{"family":"Ruby","given":"John D."},{"family":"Moser","given":"Stephen"},{"family":"Momeni","given":"Stephanie"},{"family":"Smith","given":"Anita"},{"family":"Osgood","given":"Robert"},{"family":"Litaker","given":"Mark"},{"family":"Childers","given":"Noel"}],"issued":{"date-parts":[["2009"]]}}},{"id":537,"uris":["http://zotero.org/users/13599032/items/SUVN94EW"],"itemData":{"id":537,"type":"article-journal","abstract":"This two-part study investigated the genetic diversity and transmission of Streptococcus mutans using the DiversiLab repetitive extragenic palindromic PCR (rep-PCR) approach. For children with S. mutans and participating household members, analysis for evidence of unrelated child-to-child as well as intra-familial transmission was evaluated based on commonality of genotypes. A total of 169 index children and 425 household family members from Uniontown, Alabama were evaluated for genetic diversity using rep-PCR. Thirty-four unique rep-PCR genotypes were observed for 13,906 S. mutans isolates. For transmission, 117 child and household isolates were evaluated for shared genotype (by child and by genotype cases, multiple matches possible for each child). Overall, children had 1-9 genotypes and those with multiple genotypes were 2.3 times more likely to have caries experience (decayed, missing and filled teeth/surfaces&gt;0). Only 28% of children shared all genotypes within the household, while 72% had at least 1 genotype not shared with anyone in the household. Children had genotype(s) not shared with any household members in 157 cases. In 158 cases children and household members shared a genotype in which 55% (87/158 cases) were shared with more than one family member. Children most frequently shared genotypes with their mothers (54%; 85/158), siblings (46%; 72/158) and cousins (23%; 37/158). A reference library for S. mutans for epidemiological surveillance using the DiversiLab rep-PCR approach is detailed. The genetic diversity of S. mutans in this population demonstrated frequent commonality of genotypes. Evidence for both child-to-child and intra-familial transmission of S. mutans was observed by rep-PCR.","citation-key":"momeniGeneticDiversityEvidence2016","container-title":"Journal of Microbiological Methods","DOI":"10.1016/j.mimet.2016.07.010","ISSN":"1872-8359","journalAbbreviation":"J Microbiol Methods","language":"eng","page":"108-117","PMID":"27432341","PMCID":"PMC5004344","source":"PubMed","title":"Genetic Diversity and Evidence for Transmission of Streptococcus mutans by DiversiLab rep-PCR","volume":"128","author":[{"family":"Momeni","given":"Stephanie S."},{"family":"Whiddon","given":"Jennifer"},{"family":"Cheon","given":"Kyounga"},{"family":"Ghazal","given":"Tariq"},{"family":"Moser","given":"Stephen A."},{"family":"Childers","given":"Noel K."}],"issued":{"date-parts":[["2016",9]]}}},{"id":541,"uris":["http://zotero.org/users/13599032/items/W5C5EM9X"],"itemData":{"id":541,"type":"article-journal","abstract":"OBJECTIVE: To evaluate the associations between time-varying factors (mother's oral health, oral hygiene, smoking habits, diet, food insecurity and stress) socioeconomic factors (mother's employment, marital status, household income, insurance status, household size) and medical history on children's risk of developing a carious lesion in the first 3 years of life.\nMETHODS: Longitudinal data from the Center for Oral Health Research in Appalachia Cohort Two (COHRA2) were analysed. Pregnant women ≥18 years in the USA were recruited during pregnancy; all consenting women delivering at term and their babies had regular dental assessments and complete in-person surveys and telephone interviews regarding sociodemographic factors, medical and dental history, and oral health behaviours.\nRESULTS: In a logistic regression model adjusting for covariates, children whose mother had two or more prior pregnancies, smoked cigarettes post-partum, or had a recent unfilled carious lesion were at least twice as likely to experience a dental lesion by the three-year visit. The magnitude of these associations varied by maternal education and state of residence.\nCONCLUSIONS: Untreated maternal decay but not maternal oral hygiene or diet were associated with cumulative risk of childhood caries by age three but were modified by maternal education and state of residence. Addressing structural and behavioural issues that reduce use of restorative dental care are needed to prevent the adverse impacts associated with early childhood caries.","citation-key":"foxmanMaternalFactorsRisk2023","container-title":"Community Dentistry and Oral Epidemiology","DOI":"10.1111/cdoe.12794","ISSN":"1600-0528","issue":"5","journalAbbreviation":"Community Dent Oral Epidemiol","language":"eng","page":"953-965","PMID":"36168961","PMCID":"PMC10043047","source":"PubMed","title":"Maternal factors and risk of early childhood caries: A prospective cohort study","title-short":"Maternal factors and risk of early childhood caries","volume":"51","author":[{"family":"Foxman","given":"Betsy"},{"family":"Davis","given":"Elyse"},{"family":"Neiswanger","given":"Katherine"},{"family":"McNeil","given":"Daniel"},{"family":"Shaffer","given":"John"},{"family":"Marazita","given":"Mary L."}],"issued":{"date-parts":[["2023",10]]}}}],"schema":"https://github.com/citation-style-language/schema/raw/master/csl-citation.json"} </w:instrText>
            </w:r>
            <w:r>
              <w:fldChar w:fldCharType="separate"/>
            </w:r>
            <w:r w:rsidR="00FE777A" w:rsidRPr="00FE777A">
              <w:rPr>
                <w:szCs w:val="24"/>
                <w:lang w:val="en-US"/>
              </w:rPr>
              <w:t>[8–11]</w:t>
            </w:r>
            <w:r>
              <w:fldChar w:fldCharType="end"/>
            </w:r>
          </w:p>
        </w:tc>
      </w:tr>
      <w:tr w:rsidR="003C36D5" w14:paraId="38C6B154" w14:textId="77777777">
        <w:tc>
          <w:tcPr>
            <w:tcW w:w="1031" w:type="dxa"/>
            <w:tcBorders>
              <w:top w:val="nil"/>
              <w:left w:val="nil"/>
              <w:bottom w:val="nil"/>
              <w:right w:val="nil"/>
            </w:tcBorders>
            <w:tcMar>
              <w:top w:w="100" w:type="dxa"/>
              <w:left w:w="100" w:type="dxa"/>
              <w:bottom w:w="100" w:type="dxa"/>
              <w:right w:w="100" w:type="dxa"/>
            </w:tcMar>
          </w:tcPr>
          <w:p w14:paraId="5F4AA02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C05</w:t>
            </w:r>
          </w:p>
        </w:tc>
        <w:tc>
          <w:tcPr>
            <w:tcW w:w="1547" w:type="dxa"/>
            <w:tcBorders>
              <w:top w:val="nil"/>
              <w:left w:val="nil"/>
              <w:bottom w:val="nil"/>
              <w:right w:val="nil"/>
            </w:tcBorders>
            <w:tcMar>
              <w:top w:w="100" w:type="dxa"/>
              <w:left w:w="100" w:type="dxa"/>
              <w:bottom w:w="100" w:type="dxa"/>
              <w:right w:w="100" w:type="dxa"/>
            </w:tcMar>
          </w:tcPr>
          <w:p w14:paraId="4CEF518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Brush child’s teeth twice a day</w:t>
            </w:r>
          </w:p>
        </w:tc>
        <w:tc>
          <w:tcPr>
            <w:tcW w:w="1289" w:type="dxa"/>
            <w:tcBorders>
              <w:top w:val="nil"/>
              <w:left w:val="nil"/>
              <w:bottom w:val="nil"/>
              <w:right w:val="nil"/>
            </w:tcBorders>
            <w:tcMar>
              <w:top w:w="100" w:type="dxa"/>
              <w:left w:w="100" w:type="dxa"/>
              <w:bottom w:w="100" w:type="dxa"/>
              <w:right w:w="100" w:type="dxa"/>
            </w:tcMar>
          </w:tcPr>
          <w:p w14:paraId="1417CC4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MB, NB, NS, QC, NT, GoC</w:t>
            </w:r>
          </w:p>
        </w:tc>
        <w:tc>
          <w:tcPr>
            <w:tcW w:w="1289" w:type="dxa"/>
            <w:tcBorders>
              <w:top w:val="nil"/>
              <w:left w:val="nil"/>
              <w:bottom w:val="nil"/>
              <w:right w:val="nil"/>
            </w:tcBorders>
            <w:tcMar>
              <w:top w:w="100" w:type="dxa"/>
              <w:left w:w="100" w:type="dxa"/>
              <w:bottom w:w="100" w:type="dxa"/>
              <w:right w:w="100" w:type="dxa"/>
            </w:tcMar>
          </w:tcPr>
          <w:p w14:paraId="7004EC5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NL, PEI, NU, YT</w:t>
            </w:r>
          </w:p>
        </w:tc>
        <w:tc>
          <w:tcPr>
            <w:tcW w:w="1289" w:type="dxa"/>
            <w:tcBorders>
              <w:top w:val="nil"/>
              <w:left w:val="nil"/>
              <w:bottom w:val="nil"/>
              <w:right w:val="nil"/>
            </w:tcBorders>
            <w:tcMar>
              <w:top w:w="100" w:type="dxa"/>
              <w:left w:w="100" w:type="dxa"/>
              <w:bottom w:w="100" w:type="dxa"/>
              <w:right w:w="100" w:type="dxa"/>
            </w:tcMar>
          </w:tcPr>
          <w:p w14:paraId="07EC1EC0"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89" w:type="dxa"/>
            <w:tcBorders>
              <w:top w:val="nil"/>
              <w:left w:val="nil"/>
              <w:bottom w:val="nil"/>
              <w:right w:val="nil"/>
            </w:tcBorders>
            <w:tcMar>
              <w:top w:w="100" w:type="dxa"/>
              <w:left w:w="100" w:type="dxa"/>
              <w:bottom w:w="100" w:type="dxa"/>
              <w:right w:w="100" w:type="dxa"/>
            </w:tcMar>
          </w:tcPr>
          <w:p w14:paraId="08646E5D"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Moderate</w:t>
            </w:r>
          </w:p>
        </w:tc>
        <w:tc>
          <w:tcPr>
            <w:tcW w:w="1289" w:type="dxa"/>
            <w:tcBorders>
              <w:top w:val="nil"/>
              <w:left w:val="nil"/>
              <w:bottom w:val="nil"/>
              <w:right w:val="nil"/>
            </w:tcBorders>
            <w:tcMar>
              <w:top w:w="100" w:type="dxa"/>
              <w:left w:w="100" w:type="dxa"/>
              <w:bottom w:w="100" w:type="dxa"/>
              <w:right w:w="100" w:type="dxa"/>
            </w:tcMar>
          </w:tcPr>
          <w:p w14:paraId="0FEAAB9F" w14:textId="0B6EC78F"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{"citationID":"cscMz0H9","properties":{"unsorted":false,"formattedCitation":"[12,13]","plainCitation":"[12,13]","noteIndex":0},"citationItems":[{"id":592,"uris":["http://zotero.org/users/13599032/items/VPCLHQ9E"],"itemData":{"id":592,"type":"article-journal","abstract":"PURPOSE: To study the relationship between the tooth-brushing habits during the preschool ages and caries prevalence at the age of 5 years and to investigate a possible association with the mode of delivery.\nMETHODS: The study population consisted of 336 children that were orally examined at 2, 3 and 5 years. All stages of caries were scored on tooth and surface level. Data on tooth brushing behaviour were collected through semi-structured interviews.\nRESULTS: At 5 years, the attrition rate was 13.1%. The total caries prevalence (cavitated and non-cavitated lesions) was 18.9%. The vast majority of the parents assisted their child with the brushing and 98% used fluoride toothpaste. The relative risk (RR) for caries was significantly (p &lt; 0.05) increased for \"tooth brushing less than twice daily\" at two (RR 2.1, 95% CI 1.3-3.3, p &lt; 0.01) and 3 years (RR 3.6, 95% CI 2.0-6.7; p &lt; 0.001). Likewise, reporting \"major/minor difficulties to perform tooth brushing\" at 2 and 3 years was significantly related to caries development at the age of five (RR 1.5, 95% CI 1.0-2.4, p &lt; 0.05 and RR 2.5, 95% CI 1.4-4.3; p &lt; 0.01). We found no significant association between the tooth brushing habits and the mode of delivery.\nCONCLUSIONS: Less than twice daily tooth-brushing and difficulties to perform the procedure during the first preschool years were significant determinants of caries prevalence at the age of 5 years. Health professionals should, therefore, give special attention and assist parents to improve and optimize their tooth brushing behaviour during the preschool years.","citation-key":"boustedtToothBrushingHabits2020","container-title":"European Archives of Paediatric Dentistry: Official Journal of the European Academy of Paediatric Dentistry","DOI":"10.1007/s40368-019-00463-3","ISSN":"1996-9805","issue":"1","journalAbbreviation":"Eur Arch Paediatr Dent","language":"eng","page":"155-159","PMID":"31338770","source":"PubMed","title":"Tooth brushing habits and prevalence of early childhood caries: a prospective cohort study","title-short":"Tooth brushing habits and prevalence of early childhood caries","volume":"21","author":[{"family":"Boustedt","given":"K."},{"family":"Dahlgren","given":"J."},{"family":"Twetman","given":"S."},{"family":"Roswall","given":"J."}],"issued":{"date-parts":[["2020",2]]}}},{"id":590,"uris":["http://zotero.org/users/13599032/items/XGQEJXPC"],"itemData":{"id":590,"type":"webpage","citation-key":"DoesToothBrushing","title":"Does Tooth Brushing Prevent Dental Caries among... : Journal of Indian Association of Public Health Dentistry","URL":"https://www.ovid.com/jnls/aphd/fulltext/10.4103/jiaphd.jiaphd_238_22~does-tooth-brushing-prevent-dental-caries-among-children-a","accessed":{"date-parts":[["2026",8,1]]}}}],"schema":"https://github.com/citation-style-language/schema/raw/master/csl-citation.json"} </w:instrText>
            </w:r>
            <w:r>
              <w:fldChar w:fldCharType="separate"/>
            </w:r>
            <w:r w:rsidR="00FE777A">
              <w:t>[12,13]</w:t>
            </w:r>
            <w:r>
              <w:fldChar w:fldCharType="end"/>
            </w:r>
          </w:p>
        </w:tc>
      </w:tr>
      <w:tr w:rsidR="003C36D5" w14:paraId="0672F313" w14:textId="77777777">
        <w:tc>
          <w:tcPr>
            <w:tcW w:w="1031" w:type="dxa"/>
            <w:tcBorders>
              <w:top w:val="nil"/>
              <w:left w:val="nil"/>
              <w:bottom w:val="nil"/>
              <w:right w:val="nil"/>
            </w:tcBorders>
            <w:tcMar>
              <w:top w:w="100" w:type="dxa"/>
              <w:left w:w="100" w:type="dxa"/>
              <w:bottom w:w="100" w:type="dxa"/>
              <w:right w:w="100" w:type="dxa"/>
            </w:tcMar>
          </w:tcPr>
          <w:p w14:paraId="398DB0B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C06</w:t>
            </w:r>
          </w:p>
        </w:tc>
        <w:tc>
          <w:tcPr>
            <w:tcW w:w="1547" w:type="dxa"/>
            <w:tcBorders>
              <w:top w:val="nil"/>
              <w:left w:val="nil"/>
              <w:bottom w:val="nil"/>
              <w:right w:val="nil"/>
            </w:tcBorders>
            <w:tcMar>
              <w:top w:w="100" w:type="dxa"/>
              <w:left w:w="100" w:type="dxa"/>
              <w:bottom w:w="100" w:type="dxa"/>
              <w:right w:w="100" w:type="dxa"/>
            </w:tcMar>
          </w:tcPr>
          <w:p w14:paraId="0BC05397"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Limit sugary food/drink intake</w:t>
            </w:r>
          </w:p>
        </w:tc>
        <w:tc>
          <w:tcPr>
            <w:tcW w:w="1289" w:type="dxa"/>
            <w:tcBorders>
              <w:top w:val="nil"/>
              <w:left w:val="nil"/>
              <w:bottom w:val="nil"/>
              <w:right w:val="nil"/>
            </w:tcBorders>
            <w:tcMar>
              <w:top w:w="100" w:type="dxa"/>
              <w:left w:w="100" w:type="dxa"/>
              <w:bottom w:w="100" w:type="dxa"/>
              <w:right w:w="100" w:type="dxa"/>
            </w:tcMar>
          </w:tcPr>
          <w:p w14:paraId="6C5380CC"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MB, NB, NS, PEI, NU, GoC</w:t>
            </w:r>
          </w:p>
        </w:tc>
        <w:tc>
          <w:tcPr>
            <w:tcW w:w="1289" w:type="dxa"/>
            <w:tcBorders>
              <w:top w:val="nil"/>
              <w:left w:val="nil"/>
              <w:bottom w:val="nil"/>
              <w:right w:val="nil"/>
            </w:tcBorders>
            <w:tcMar>
              <w:top w:w="100" w:type="dxa"/>
              <w:left w:w="100" w:type="dxa"/>
              <w:bottom w:w="100" w:type="dxa"/>
              <w:right w:w="100" w:type="dxa"/>
            </w:tcMar>
          </w:tcPr>
          <w:p w14:paraId="5A81141C"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NL, QC, NT, YT</w:t>
            </w:r>
          </w:p>
        </w:tc>
        <w:tc>
          <w:tcPr>
            <w:tcW w:w="1289" w:type="dxa"/>
            <w:tcBorders>
              <w:top w:val="nil"/>
              <w:left w:val="nil"/>
              <w:bottom w:val="nil"/>
              <w:right w:val="nil"/>
            </w:tcBorders>
            <w:tcMar>
              <w:top w:w="100" w:type="dxa"/>
              <w:left w:w="100" w:type="dxa"/>
              <w:bottom w:w="100" w:type="dxa"/>
              <w:right w:w="100" w:type="dxa"/>
            </w:tcMar>
          </w:tcPr>
          <w:p w14:paraId="24ED55B5"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89" w:type="dxa"/>
            <w:tcBorders>
              <w:top w:val="nil"/>
              <w:left w:val="nil"/>
              <w:bottom w:val="nil"/>
              <w:right w:val="nil"/>
            </w:tcBorders>
            <w:tcMar>
              <w:top w:w="100" w:type="dxa"/>
              <w:left w:w="100" w:type="dxa"/>
              <w:bottom w:w="100" w:type="dxa"/>
              <w:right w:w="100" w:type="dxa"/>
            </w:tcMar>
          </w:tcPr>
          <w:p w14:paraId="3FFDCAE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Moderate</w:t>
            </w:r>
          </w:p>
        </w:tc>
        <w:tc>
          <w:tcPr>
            <w:tcW w:w="1289" w:type="dxa"/>
            <w:tcBorders>
              <w:top w:val="nil"/>
              <w:left w:val="nil"/>
              <w:bottom w:val="nil"/>
              <w:right w:val="nil"/>
            </w:tcBorders>
            <w:tcMar>
              <w:top w:w="100" w:type="dxa"/>
              <w:left w:w="100" w:type="dxa"/>
              <w:bottom w:w="100" w:type="dxa"/>
              <w:right w:w="100" w:type="dxa"/>
            </w:tcMar>
          </w:tcPr>
          <w:p w14:paraId="065F05EC" w14:textId="04B937F0"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{"citationID":"ZDP2SRCl","properties":{"unsorted":false,"formattedCitation":"[14]","plainCitation":"[14]","noteIndex":0},"citationItems":[{"id":378,"uris":["http://zotero.org/users/13599032/items/W7YQ5WET"],"itemData":{"id":378,"type":"article-journal","abstract":"A systematic review of studies in humans was conducted to update evidence on the association between the amount of sugars intake and dental caries and on the effect of restricting sugars intake to &lt; 10% and &lt; 5% energy (E) on caries to inform the updating of World Health Organization guidelines on sugars consumption. Data sources included MEDLINE, EMBASE, Cochrane Database, Cochrane Central Register of Controlled Trials, Latin American and Caribbean Health Sciences, China National Knowledge Infrastructure, Wanfang, and South African Department of Health. Eligible studies reported the absolute amount of sugars and dental caries, measured as prevalence, incidence, or severity. The review was conducted and reported in accordance with the PRISMA statement, and the evidence was assessed according to GRADE Working Group guidelines. From 5,990 papers identified, 55 studies were eligible – 3 intervention, 8 cohort, 20 population, and 24 cross-sectional. Data variability limited meta-analysis. Of the studies, 42 out of 50 of those in children and 5 out of 5 in adults reported at least one positive association between sugars and caries. There is evidence of moderate quality showing that caries is lower when free-sugars intake is &lt; 10% E. With the &lt; 5% E cut-off, a significant relationship was observed, but the evidence was judged to be of very low quality. The findings are relevant to minimizing caries risk throughout the life course.","citation-key":"moynihanEffectCariesRestricting2014","container-title":"Journal of Dental Research","DOI":"10.1177/0022034513508954","ISSN":"0022-0345, 1544-0591","issue":"1","journalAbbreviation":"J Dent Res","language":"en","page":"8-18","source":"DOI.org (Crossref)","title":"Effect on Caries of Restricting Sugars Intake: Systematic Review to Inform WHO Guidelines","title-short":"Effect on Caries of Restricting Sugars Intake","volume":"93","author":[{"family":"Moynihan","given":"P.J."},{"family":"Kelly","given":"S.A.M."}],"issued":{"date-parts":[["2014",1]]}}}],"schema":"https://github.com/citation-style-language/schema/raw/master/csl-citation.json"} </w:instrText>
            </w:r>
            <w:r>
              <w:fldChar w:fldCharType="separate"/>
            </w:r>
            <w:r w:rsidR="00FE777A">
              <w:t>[14]</w:t>
            </w:r>
            <w:r>
              <w:fldChar w:fldCharType="end"/>
            </w:r>
          </w:p>
        </w:tc>
      </w:tr>
      <w:tr w:rsidR="003C36D5" w14:paraId="7676D72D" w14:textId="77777777">
        <w:tc>
          <w:tcPr>
            <w:tcW w:w="1031" w:type="dxa"/>
            <w:tcBorders>
              <w:top w:val="nil"/>
              <w:left w:val="nil"/>
              <w:bottom w:val="nil"/>
              <w:right w:val="nil"/>
            </w:tcBorders>
            <w:tcMar>
              <w:top w:w="100" w:type="dxa"/>
              <w:left w:w="100" w:type="dxa"/>
              <w:bottom w:w="100" w:type="dxa"/>
              <w:right w:w="100" w:type="dxa"/>
            </w:tcMar>
          </w:tcPr>
          <w:p w14:paraId="02E3C63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C07</w:t>
            </w:r>
          </w:p>
        </w:tc>
        <w:tc>
          <w:tcPr>
            <w:tcW w:w="1547" w:type="dxa"/>
            <w:tcBorders>
              <w:top w:val="nil"/>
              <w:left w:val="nil"/>
              <w:bottom w:val="nil"/>
              <w:right w:val="nil"/>
            </w:tcBorders>
            <w:tcMar>
              <w:top w:w="100" w:type="dxa"/>
              <w:left w:w="100" w:type="dxa"/>
              <w:bottom w:w="100" w:type="dxa"/>
              <w:right w:w="100" w:type="dxa"/>
            </w:tcMar>
          </w:tcPr>
          <w:p w14:paraId="773718AB"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Floss once teeth touch</w:t>
            </w:r>
          </w:p>
        </w:tc>
        <w:tc>
          <w:tcPr>
            <w:tcW w:w="1289" w:type="dxa"/>
            <w:tcBorders>
              <w:top w:val="nil"/>
              <w:left w:val="nil"/>
              <w:bottom w:val="nil"/>
              <w:right w:val="nil"/>
            </w:tcBorders>
            <w:tcMar>
              <w:top w:w="100" w:type="dxa"/>
              <w:left w:w="100" w:type="dxa"/>
              <w:bottom w:w="100" w:type="dxa"/>
              <w:right w:w="100" w:type="dxa"/>
            </w:tcMar>
          </w:tcPr>
          <w:p w14:paraId="17BA544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NS, NL, NT, NU, YT, GoC</w:t>
            </w:r>
          </w:p>
        </w:tc>
        <w:tc>
          <w:tcPr>
            <w:tcW w:w="1289" w:type="dxa"/>
            <w:tcBorders>
              <w:top w:val="nil"/>
              <w:left w:val="nil"/>
              <w:bottom w:val="nil"/>
              <w:right w:val="nil"/>
            </w:tcBorders>
            <w:tcMar>
              <w:top w:w="100" w:type="dxa"/>
              <w:left w:w="100" w:type="dxa"/>
              <w:bottom w:w="100" w:type="dxa"/>
              <w:right w:w="100" w:type="dxa"/>
            </w:tcMar>
          </w:tcPr>
          <w:p w14:paraId="624017C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MB, NB, PEI, QC</w:t>
            </w:r>
          </w:p>
        </w:tc>
        <w:tc>
          <w:tcPr>
            <w:tcW w:w="1289" w:type="dxa"/>
            <w:tcBorders>
              <w:top w:val="nil"/>
              <w:left w:val="nil"/>
              <w:bottom w:val="nil"/>
              <w:right w:val="nil"/>
            </w:tcBorders>
            <w:tcMar>
              <w:top w:w="100" w:type="dxa"/>
              <w:left w:w="100" w:type="dxa"/>
              <w:bottom w:w="100" w:type="dxa"/>
              <w:right w:w="100" w:type="dxa"/>
            </w:tcMar>
          </w:tcPr>
          <w:p w14:paraId="4FDE4F3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89" w:type="dxa"/>
            <w:tcBorders>
              <w:top w:val="nil"/>
              <w:left w:val="nil"/>
              <w:bottom w:val="nil"/>
              <w:right w:val="nil"/>
            </w:tcBorders>
            <w:tcMar>
              <w:top w:w="100" w:type="dxa"/>
              <w:left w:w="100" w:type="dxa"/>
              <w:bottom w:w="100" w:type="dxa"/>
              <w:right w:w="100" w:type="dxa"/>
            </w:tcMar>
          </w:tcPr>
          <w:p w14:paraId="1E92DEB5"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03768FC9" w14:textId="34FED12F"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FWxf1JpM","properties":{"unsorted":false,"formattedCitation":"[15,16]","plainCitation":"[15,16]","noteIndex":0},"citationItems":[{"id":379,"uris":["http://zotero.org/users/13599032/items/Z3NPY99E"],"itemData":{"id":379,"type":"article-journal","abstract":"Abstract\n            \n              Focused question\n              What is the effect of mechanical inter</w:instrText>
            </w:r>
            <w:r w:rsidR="00FE777A">
              <w:rPr>
                <w:rFonts w:ascii="Cambria Math" w:hAnsi="Cambria Math" w:cs="Cambria Math"/>
              </w:rPr>
              <w:instrText>‐</w:instrText>
            </w:r>
            <w:r w:rsidR="00FE777A">
              <w:instrText>dental plaque removal in addition to toothbrushing, on managing gingivitis using various formats of inter</w:instrText>
            </w:r>
            <w:r w:rsidR="00FE777A">
              <w:rPr>
                <w:rFonts w:ascii="Cambria Math" w:hAnsi="Cambria Math" w:cs="Cambria Math"/>
              </w:rPr>
              <w:instrText>‐</w:instrText>
            </w:r>
            <w:r w:rsidR="00FE777A">
              <w:instrText>dental self</w:instrText>
            </w:r>
            <w:r w:rsidR="00FE777A">
              <w:rPr>
                <w:rFonts w:ascii="Cambria Math" w:hAnsi="Cambria Math" w:cs="Cambria Math"/>
              </w:rPr>
              <w:instrText>‐</w:instrText>
            </w:r>
            <w:r w:rsidR="00FE777A">
              <w:instrText>care in adults based on evidence gathered from existing systematic reviews?\n            \n            \n              Material &amp; Methods\n              Three Internet sources were searched by a strategy designed to include systematic reviews on inter</w:instrText>
            </w:r>
            <w:r w:rsidR="00FE777A">
              <w:rPr>
                <w:rFonts w:ascii="Cambria Math" w:hAnsi="Cambria Math" w:cs="Cambria Math"/>
              </w:rPr>
              <w:instrText>‐</w:instrText>
            </w:r>
            <w:r w:rsidR="00FE777A">
              <w:instrText>dental cleaning devices. Plaque and gingivitis scores were the primary parameters of interest. Characteristics of selected papers were extracted. The potential risk of bias was estimated and the acquired evidence was graded.\n            \n            \n              Results\n              \n                Screening of 395 papers resulted in six systematic reviews. Two papers evaluated the efficacy of dental floss, two of inter</w:instrText>
            </w:r>
            <w:r w:rsidR="00FE777A">
              <w:rPr>
                <w:rFonts w:ascii="Cambria Math" w:hAnsi="Cambria Math" w:cs="Cambria Math"/>
              </w:rPr>
              <w:instrText>‐</w:instrText>
            </w:r>
            <w:r w:rsidR="00FE777A">
              <w:instrText>dental brushes (\n                IDB\n                ), one of woodsticks and one of the oral irrigator. Weak evidence of unclear or small magnitude was retrieved that supported dental floss, woodsticks and the oral irrigator to reduce gingivitis in addition to toothbrushing. No concomitant evidence for an effect on plaque emerged. There is moderate evidence that\n                IDB\n                s in combination with toothbrushing reduce both plaque and gingivitis.\n              \n            \n            \n              Conclusion\n              Evidence suggests that inter</w:instrText>
            </w:r>
            <w:r w:rsidR="00FE777A">
              <w:rPr>
                <w:rFonts w:ascii="Cambria Math" w:hAnsi="Cambria Math" w:cs="Cambria Math"/>
              </w:rPr>
              <w:instrText>‐</w:instrText>
            </w:r>
            <w:r w:rsidR="00FE777A">
              <w:instrText>dental cleaning with IDBs is the most effective method for inter</w:instrText>
            </w:r>
            <w:r w:rsidR="00FE777A">
              <w:rPr>
                <w:rFonts w:ascii="Cambria Math" w:hAnsi="Cambria Math" w:cs="Cambria Math"/>
              </w:rPr>
              <w:instrText>‐</w:instrText>
            </w:r>
            <w:r w:rsidR="00FE777A">
              <w:instrText>dental plaque removal. The majority of available studies fail to demonstrate that flossing is generally effective in plaque removal. All investigated devices for inter</w:instrText>
            </w:r>
            <w:r w:rsidR="00FE777A">
              <w:rPr>
                <w:rFonts w:ascii="Cambria Math" w:hAnsi="Cambria Math" w:cs="Cambria Math"/>
              </w:rPr>
              <w:instrText>‐</w:instrText>
            </w:r>
            <w:r w:rsidR="00FE777A">
              <w:instrText>dental self</w:instrText>
            </w:r>
            <w:r w:rsidR="00FE777A">
              <w:rPr>
                <w:rFonts w:ascii="Cambria Math" w:hAnsi="Cambria Math" w:cs="Cambria Math"/>
              </w:rPr>
              <w:instrText>‐</w:instrText>
            </w:r>
            <w:r w:rsidR="00FE777A">
              <w:instrText>care seem to support the management of gingivitis, however, to a varying extend.","citation-key":"salzerEfficacyInterdentalMechanical2015","container-title":"Journal of Clinical Periodontology","DOI":"10.1111/jcpe.12363","ISSN":"0303-6979, 1600-051X","issue":"S16","journalAbbreviation":"J Clinic Periodontology","language":"en","license":"http://onlinelibrary.wiley.com/termsAndConditions#vor","source":"DOI.org (Crossref)","title":"Efficacy of inter</w:instrText>
            </w:r>
            <w:r w:rsidR="00FE777A">
              <w:rPr>
                <w:rFonts w:ascii="Cambria Math" w:hAnsi="Cambria Math" w:cs="Cambria Math"/>
              </w:rPr>
              <w:instrText>‐</w:instrText>
            </w:r>
            <w:r w:rsidR="00FE777A">
              <w:instrText>dental mechanical plaque control in managing gingivitis – a meta</w:instrText>
            </w:r>
            <w:r w:rsidR="00FE777A">
              <w:rPr>
                <w:rFonts w:ascii="Cambria Math" w:hAnsi="Cambria Math" w:cs="Cambria Math"/>
              </w:rPr>
              <w:instrText>‐</w:instrText>
            </w:r>
            <w:r w:rsidR="00FE777A">
              <w:instrText xml:space="preserve">review","URL":"https://onlinelibrary.wiley.com/doi/10.1111/jcpe.12363","volume":"42","author":[{"family":"Sälzer","given":"Sonja"},{"family":"Slot","given":"Dagmar E."},{"family":"Van Der Weijden","given":"Fridus A."},{"family":"Dörfer","given":"Christof E."}],"accessed":{"date-parts":[["2026",8,1]]},"issued":{"date-parts":[["2015",4]]}}},{"id":538,"uris":["http://zotero.org/users/13599032/items/KUE53NY3"],"itemData":{"id":538,"type":"article-journal","abstract":"The purpose of this investigation was to determine whether flossing, as an adjunct to toothbrushing, performed in a school-based program can contribute significantly to a reduction in gingivitis. Four volunteer third grade classrooms (n = 112) were randomly assigned to finger-floss, looped-floss, flossholder, and brushing-only control group. Measures taken at baseline and in four weeks included gingival (GI), plaque (PI), and flossing dexterity indices (FDI). Results using ANOVA showed no differences in PI among groups. However, both brushing-only and finger-floss groups showed GI scores significantly lower than the looped-floss group. A repeated measures ANOVA revealed that the finger-floss group improved gingivitis scores most over time, while the flossholder group improved scores the least. The ANCOVA results with FDI showed that at the final measurement, looped-floss manual dexterity was rated significantly better than finger-floss and that both groups were rated better than flossholder. Final indications are that toothbrushing alone can produce clinical results similar to use of a combination of toothbrushing and flossing.","citation-key":"richEffectsFlossingPlaque1989","container-title":"Journal of Public Health Dentistry","DOI":"10.1111/j.1752-7325.1989.tb02029.x","ISSN":"0022-4006","issue":"2","journalAbbreviation":"J Public Health Dent","language":"eng","page":"73-77","PMID":"2709366","source":"PubMed","title":"Effects of flossing on plaque and gingivitis in third grade schoolchildren","volume":"49","author":[{"family":"Rich","given":"S. K."},{"family":"Friedman","given":"J. A."},{"family":"Schultz","given":"L. A."}],"issued":{"date-parts":[["1989"]]}}}],"schema":"https://github.com/citation-style-language/schema/raw/master/csl-citation.json"} </w:instrText>
            </w:r>
            <w:r>
              <w:fldChar w:fldCharType="separate"/>
            </w:r>
            <w:r w:rsidR="00FE777A">
              <w:t>[15,16]</w:t>
            </w:r>
            <w:r>
              <w:fldChar w:fldCharType="end"/>
            </w:r>
          </w:p>
        </w:tc>
      </w:tr>
      <w:tr w:rsidR="003C36D5" w14:paraId="252DD975" w14:textId="77777777">
        <w:tc>
          <w:tcPr>
            <w:tcW w:w="1031" w:type="dxa"/>
            <w:tcBorders>
              <w:top w:val="nil"/>
              <w:left w:val="nil"/>
              <w:bottom w:val="nil"/>
              <w:right w:val="nil"/>
            </w:tcBorders>
            <w:tcMar>
              <w:top w:w="100" w:type="dxa"/>
              <w:left w:w="100" w:type="dxa"/>
              <w:bottom w:w="100" w:type="dxa"/>
              <w:right w:w="100" w:type="dxa"/>
            </w:tcMar>
          </w:tcPr>
          <w:p w14:paraId="4829CC4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C08</w:t>
            </w:r>
          </w:p>
        </w:tc>
        <w:tc>
          <w:tcPr>
            <w:tcW w:w="1547" w:type="dxa"/>
            <w:tcBorders>
              <w:top w:val="nil"/>
              <w:left w:val="nil"/>
              <w:bottom w:val="nil"/>
              <w:right w:val="nil"/>
            </w:tcBorders>
            <w:tcMar>
              <w:top w:w="100" w:type="dxa"/>
              <w:left w:w="100" w:type="dxa"/>
              <w:bottom w:w="100" w:type="dxa"/>
              <w:right w:w="100" w:type="dxa"/>
            </w:tcMar>
          </w:tcPr>
          <w:p w14:paraId="068EFEC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Child lacks dexterity to brush alone</w:t>
            </w:r>
          </w:p>
        </w:tc>
        <w:tc>
          <w:tcPr>
            <w:tcW w:w="1289" w:type="dxa"/>
            <w:tcBorders>
              <w:top w:val="nil"/>
              <w:left w:val="nil"/>
              <w:bottom w:val="nil"/>
              <w:right w:val="nil"/>
            </w:tcBorders>
            <w:tcMar>
              <w:top w:w="100" w:type="dxa"/>
              <w:left w:w="100" w:type="dxa"/>
              <w:bottom w:w="100" w:type="dxa"/>
              <w:right w:w="100" w:type="dxa"/>
            </w:tcMar>
          </w:tcPr>
          <w:p w14:paraId="36D13EE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MB, NB, NS, NL, GoC</w:t>
            </w:r>
          </w:p>
        </w:tc>
        <w:tc>
          <w:tcPr>
            <w:tcW w:w="1289" w:type="dxa"/>
            <w:tcBorders>
              <w:top w:val="nil"/>
              <w:left w:val="nil"/>
              <w:bottom w:val="nil"/>
              <w:right w:val="nil"/>
            </w:tcBorders>
            <w:tcMar>
              <w:top w:w="100" w:type="dxa"/>
              <w:left w:w="100" w:type="dxa"/>
              <w:bottom w:w="100" w:type="dxa"/>
              <w:right w:w="100" w:type="dxa"/>
            </w:tcMar>
          </w:tcPr>
          <w:p w14:paraId="14682F7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PEI, QC, NT, NU, YT</w:t>
            </w:r>
          </w:p>
        </w:tc>
        <w:tc>
          <w:tcPr>
            <w:tcW w:w="1289" w:type="dxa"/>
            <w:tcBorders>
              <w:top w:val="nil"/>
              <w:left w:val="nil"/>
              <w:bottom w:val="nil"/>
              <w:right w:val="nil"/>
            </w:tcBorders>
            <w:tcMar>
              <w:top w:w="100" w:type="dxa"/>
              <w:left w:w="100" w:type="dxa"/>
              <w:bottom w:w="100" w:type="dxa"/>
              <w:right w:w="100" w:type="dxa"/>
            </w:tcMar>
          </w:tcPr>
          <w:p w14:paraId="7BF1BD7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289" w:type="dxa"/>
            <w:tcBorders>
              <w:top w:val="nil"/>
              <w:left w:val="nil"/>
              <w:bottom w:val="nil"/>
              <w:right w:val="nil"/>
            </w:tcBorders>
            <w:tcMar>
              <w:top w:w="100" w:type="dxa"/>
              <w:left w:w="100" w:type="dxa"/>
              <w:bottom w:w="100" w:type="dxa"/>
              <w:right w:w="100" w:type="dxa"/>
            </w:tcMar>
          </w:tcPr>
          <w:p w14:paraId="03FFA61B"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0193FBC1" w14:textId="7B18F179"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{"citationID":"MYG2ZiCz","properties":{"unsorted":false,"formattedCitation":"[17]","plainCitation":"[17]","noteIndex":0},"citationItems":[{"id":381,"uris":["http://zotero.org/users/13599032/items/NVRSHP65"],"itemData":{"id":381,"type":"article-journal","abstract":"Background\n              The meaning of the toothbrushing technique for the effectivity of toothbrushing in terms of plaque removal and parameters of gingivitis is unknown. This systematic review and network meta-analysis (NMA) aimed to synthesize evidence from randomized controlled trials (RCTs).\n            \n            \n              Methods\n              We searched MEDLINE (PubMed), the Cochrane Central Register of Controlled Trials, and the Web of Science for RCTs that compared any self-applied manual toothbrushing technique to any other technique or control and assessed plaque after toothbrushing and gingivitis. Where intervention effects were recorded repeatedly, the last post-intervention assessment was treated as the primary outcome date (POD), and the assessment closest to the intervention as the secondary outcome date (SOD). Age restrictions were not imposed. Participants with fixed orthodontic appliances were excluded. The evidence was evaluated using the Confidence in Network Meta-Analyses (CINeMA) approach, which is based on the Grading of Recommendations Assessment, Development and Evaluation (GRADE) approach.\n            \n            \n              Results\n              Thirteen publications, including 15 studies, were identified. Ten studies assessing the Fones, Bass, and Scrub techniques provided data eligible for the NMA. The confidence rating of the evidence varied from very low to high in the case of plaque, and from very low to low in the case of gingivitis. Regarding PODs, Fones probably reduces plaque slightly compared with no training; the evidence is very uncertain that Fones may have little to no effect on gingivitis. Bass may result in little to no difference in plaque; the evidence that Bass may result in a slight increase in gingivitis is very uncertain. The evidence is very uncertain that Scrub may result in little to no difference in plaque at the SOD (no POD-data available) and that it may result in a slight increase in gingivitis.\n            \n            \n              Conclusion\n              There is limited evidence regarding the effects of toothbrushing techniques on plaque after brushing or gingivitis.","citation-key":"deinzerManualToothbrushingTechniques2024","container-title":"PLOS ONE","DOI":"10.1371/journal.pone.0306302","ISSN":"1932-6203","issue":"7","journalAbbreviation":"PLoS ONE","language":"en","page":"e0306302","source":"DOI.org (Crossref)","title":"Manual toothbrushing techniques for plaque removal and the prevention of gingivitis—A systematic review with network meta-analysis","volume":"19","author":[{"family":"Deinzer","given":"Renate"},{"family":"Weik","given":"Ulrike"},{"family":"Eidenhardt","given":"Zdenka"},{"family":"Leufkens","given":"Daniel"},{"family":"Sälzer","given":"Sonja"}],"editor":[{"family":"Costa","given":"Fernando Oliveira"}],"issued":{"date-parts":[["2024",7,5]]}}}],"schema":"https://github.com/citation-style-language/schema/raw/master/csl-citation.json"} </w:instrText>
            </w:r>
            <w:r>
              <w:fldChar w:fldCharType="separate"/>
            </w:r>
            <w:r w:rsidR="00FE777A">
              <w:t>[17]</w:t>
            </w:r>
            <w:r>
              <w:fldChar w:fldCharType="end"/>
            </w:r>
          </w:p>
        </w:tc>
      </w:tr>
      <w:tr w:rsidR="003C36D5" w14:paraId="4F6A9B3C" w14:textId="77777777">
        <w:tc>
          <w:tcPr>
            <w:tcW w:w="1031" w:type="dxa"/>
            <w:tcBorders>
              <w:top w:val="nil"/>
              <w:left w:val="nil"/>
              <w:bottom w:val="nil"/>
              <w:right w:val="nil"/>
            </w:tcBorders>
            <w:tcMar>
              <w:top w:w="100" w:type="dxa"/>
              <w:left w:w="100" w:type="dxa"/>
              <w:bottom w:w="100" w:type="dxa"/>
              <w:right w:w="100" w:type="dxa"/>
            </w:tcMar>
          </w:tcPr>
          <w:p w14:paraId="6AFC15C6"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C09</w:t>
            </w:r>
          </w:p>
        </w:tc>
        <w:tc>
          <w:tcPr>
            <w:tcW w:w="1547" w:type="dxa"/>
            <w:tcBorders>
              <w:top w:val="nil"/>
              <w:left w:val="nil"/>
              <w:bottom w:val="nil"/>
              <w:right w:val="nil"/>
            </w:tcBorders>
            <w:tcMar>
              <w:top w:w="100" w:type="dxa"/>
              <w:left w:w="100" w:type="dxa"/>
              <w:bottom w:w="100" w:type="dxa"/>
              <w:right w:w="100" w:type="dxa"/>
            </w:tcMar>
          </w:tcPr>
          <w:p w14:paraId="63DC421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First dental visit/regular care</w:t>
            </w:r>
          </w:p>
        </w:tc>
        <w:tc>
          <w:tcPr>
            <w:tcW w:w="1289" w:type="dxa"/>
            <w:tcBorders>
              <w:top w:val="nil"/>
              <w:left w:val="nil"/>
              <w:bottom w:val="nil"/>
              <w:right w:val="nil"/>
            </w:tcBorders>
            <w:tcMar>
              <w:top w:w="100" w:type="dxa"/>
              <w:left w:w="100" w:type="dxa"/>
              <w:bottom w:w="100" w:type="dxa"/>
              <w:right w:w="100" w:type="dxa"/>
            </w:tcMar>
          </w:tcPr>
          <w:p w14:paraId="13DFE62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NB, NS, PEI, QC, YT, GoC</w:t>
            </w:r>
          </w:p>
        </w:tc>
        <w:tc>
          <w:tcPr>
            <w:tcW w:w="1289" w:type="dxa"/>
            <w:tcBorders>
              <w:top w:val="nil"/>
              <w:left w:val="nil"/>
              <w:bottom w:val="nil"/>
              <w:right w:val="nil"/>
            </w:tcBorders>
            <w:tcMar>
              <w:top w:w="100" w:type="dxa"/>
              <w:left w:w="100" w:type="dxa"/>
              <w:bottom w:w="100" w:type="dxa"/>
              <w:right w:w="100" w:type="dxa"/>
            </w:tcMar>
          </w:tcPr>
          <w:p w14:paraId="0F8CA3A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BC, MB, NL, NT, NU</w:t>
            </w:r>
          </w:p>
        </w:tc>
        <w:tc>
          <w:tcPr>
            <w:tcW w:w="1289" w:type="dxa"/>
            <w:tcBorders>
              <w:top w:val="nil"/>
              <w:left w:val="nil"/>
              <w:bottom w:val="nil"/>
              <w:right w:val="nil"/>
            </w:tcBorders>
            <w:tcMar>
              <w:top w:w="100" w:type="dxa"/>
              <w:left w:w="100" w:type="dxa"/>
              <w:bottom w:w="100" w:type="dxa"/>
              <w:right w:w="100" w:type="dxa"/>
            </w:tcMar>
          </w:tcPr>
          <w:p w14:paraId="216E4C4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289" w:type="dxa"/>
            <w:tcBorders>
              <w:top w:val="nil"/>
              <w:left w:val="nil"/>
              <w:bottom w:val="nil"/>
              <w:right w:val="nil"/>
            </w:tcBorders>
            <w:tcMar>
              <w:top w:w="100" w:type="dxa"/>
              <w:left w:w="100" w:type="dxa"/>
              <w:bottom w:w="100" w:type="dxa"/>
              <w:right w:w="100" w:type="dxa"/>
            </w:tcMar>
          </w:tcPr>
          <w:p w14:paraId="1F7206A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74753476" w14:textId="0370B532"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pcAkJV9e","properties":{"unsorted":false,"formattedCitation":"[18]","plainCitation":"[18]","noteIndex":0},"citationItems":[{"id":383,"uris":["http://zotero.org/users/13599032/items/NUPTENNM"],"itemData":{"id":383,"type":"article-journal","citation-key":"blackburnOutcomesAssociatedEarly2017","container-title":"JAMA Pediatrics","DOI":"10.1001/jamapediatrics.2016.4514","ISSN":"2168-6203","issue":"4","journalAbbreviation":"JAMA Pediatr","language":"en","page":"335","source":"DOI.org (Crossref)","title":"Outcomes Associated With Early Preventive Dental Care Among Medicaid-Enrolled Children in Alabama","volume":"171","author":[{"family":"Blackburn","given":"Justin"},{"family":"Morrisey","given":"Michael A."},{"family":"Sen","given":"Bisakha"}],"issued":{"date-parts":[["2017",4,1]]}}}],"schema":"https://github.com/citation-style-language/schema/raw/master/csl-citation.json"} </w:instrText>
            </w:r>
            <w:r>
              <w:fldChar w:fldCharType="separate"/>
            </w:r>
            <w:r w:rsidR="00FE777A">
              <w:t>[18]</w:t>
            </w:r>
            <w:r>
              <w:fldChar w:fldCharType="end"/>
            </w:r>
          </w:p>
        </w:tc>
      </w:tr>
      <w:tr w:rsidR="003C36D5" w14:paraId="7AF861B5" w14:textId="77777777">
        <w:tc>
          <w:tcPr>
            <w:tcW w:w="1031" w:type="dxa"/>
            <w:tcBorders>
              <w:top w:val="nil"/>
              <w:left w:val="nil"/>
              <w:bottom w:val="nil"/>
              <w:right w:val="nil"/>
            </w:tcBorders>
            <w:tcMar>
              <w:top w:w="100" w:type="dxa"/>
              <w:left w:w="100" w:type="dxa"/>
              <w:bottom w:w="100" w:type="dxa"/>
              <w:right w:w="100" w:type="dxa"/>
            </w:tcMar>
          </w:tcPr>
          <w:p w14:paraId="47D23D1D"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C10</w:t>
            </w:r>
          </w:p>
        </w:tc>
        <w:tc>
          <w:tcPr>
            <w:tcW w:w="1547" w:type="dxa"/>
            <w:tcBorders>
              <w:top w:val="nil"/>
              <w:left w:val="nil"/>
              <w:bottom w:val="nil"/>
              <w:right w:val="nil"/>
            </w:tcBorders>
            <w:tcMar>
              <w:top w:w="100" w:type="dxa"/>
              <w:left w:w="100" w:type="dxa"/>
              <w:bottom w:w="100" w:type="dxa"/>
              <w:right w:w="100" w:type="dxa"/>
            </w:tcMar>
          </w:tcPr>
          <w:p w14:paraId="677F6616"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Start brushing at first tooth eruption</w:t>
            </w:r>
          </w:p>
        </w:tc>
        <w:tc>
          <w:tcPr>
            <w:tcW w:w="1289" w:type="dxa"/>
            <w:tcBorders>
              <w:top w:val="nil"/>
              <w:left w:val="nil"/>
              <w:bottom w:val="nil"/>
              <w:right w:val="nil"/>
            </w:tcBorders>
            <w:tcMar>
              <w:top w:w="100" w:type="dxa"/>
              <w:left w:w="100" w:type="dxa"/>
              <w:bottom w:w="100" w:type="dxa"/>
              <w:right w:w="100" w:type="dxa"/>
            </w:tcMar>
          </w:tcPr>
          <w:p w14:paraId="1D7C510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SK, AB, BC, MB, NL, QC, NT, </w:t>
            </w:r>
            <w:r>
              <w:rPr>
                <w:rFonts w:ascii="Times New Roman" w:eastAsia="Times New Roman" w:hAnsi="Times New Roman" w:cs="Times New Roman"/>
                <w:sz w:val="20"/>
                <w:szCs w:val="20"/>
              </w:rPr>
              <w:lastRenderedPageBreak/>
              <w:t>GoC</w:t>
            </w:r>
          </w:p>
        </w:tc>
        <w:tc>
          <w:tcPr>
            <w:tcW w:w="1289" w:type="dxa"/>
            <w:tcBorders>
              <w:top w:val="nil"/>
              <w:left w:val="nil"/>
              <w:bottom w:val="nil"/>
              <w:right w:val="nil"/>
            </w:tcBorders>
            <w:tcMar>
              <w:top w:w="100" w:type="dxa"/>
              <w:left w:w="100" w:type="dxa"/>
              <w:bottom w:w="100" w:type="dxa"/>
              <w:right w:w="100" w:type="dxa"/>
            </w:tcMar>
          </w:tcPr>
          <w:p w14:paraId="453E519D"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NB, NS, PEI, NU, YT</w:t>
            </w:r>
          </w:p>
        </w:tc>
        <w:tc>
          <w:tcPr>
            <w:tcW w:w="1289" w:type="dxa"/>
            <w:tcBorders>
              <w:top w:val="nil"/>
              <w:left w:val="nil"/>
              <w:bottom w:val="nil"/>
              <w:right w:val="nil"/>
            </w:tcBorders>
            <w:tcMar>
              <w:top w:w="100" w:type="dxa"/>
              <w:left w:w="100" w:type="dxa"/>
              <w:bottom w:w="100" w:type="dxa"/>
              <w:right w:w="100" w:type="dxa"/>
            </w:tcMar>
          </w:tcPr>
          <w:p w14:paraId="02CDD17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289" w:type="dxa"/>
            <w:tcBorders>
              <w:top w:val="nil"/>
              <w:left w:val="nil"/>
              <w:bottom w:val="nil"/>
              <w:right w:val="nil"/>
            </w:tcBorders>
            <w:tcMar>
              <w:top w:w="100" w:type="dxa"/>
              <w:left w:w="100" w:type="dxa"/>
              <w:bottom w:w="100" w:type="dxa"/>
              <w:right w:w="100" w:type="dxa"/>
            </w:tcMar>
          </w:tcPr>
          <w:p w14:paraId="2CE9D5D7"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Moderate</w:t>
            </w:r>
          </w:p>
        </w:tc>
        <w:tc>
          <w:tcPr>
            <w:tcW w:w="1289" w:type="dxa"/>
            <w:tcBorders>
              <w:top w:val="nil"/>
              <w:left w:val="nil"/>
              <w:bottom w:val="nil"/>
              <w:right w:val="nil"/>
            </w:tcBorders>
            <w:tcMar>
              <w:top w:w="100" w:type="dxa"/>
              <w:left w:w="100" w:type="dxa"/>
              <w:bottom w:w="100" w:type="dxa"/>
              <w:right w:w="100" w:type="dxa"/>
            </w:tcMar>
          </w:tcPr>
          <w:p w14:paraId="21BD6C81" w14:textId="5EB4EC31"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Zs5zMHfn","properties":{"unsorted":false,"formattedCitation":"[4,19]","plainCitation":"[4,19]","noteIndex":0},"citationItems":[{"id":371,"uris":["http://zotero.org/users/13599032/items/F9NESMM2"],"itemData":{"id":371,"type":"article-journal","citation-key":"walshFluorideToothpastesDifferent2019","container-title":"Cochrane Database of Systematic Reviews","DOI":"10.1002/14651858.CD007868.pub3","ISSN":"14651858","issue":"11","language":"en","source":"DOI.org (Crossref)","title":"Fluoride toothpastes of different concentrations for preventing dental caries","URL":"http://doi.wiley.com/10.1002/14651858.CD007868.pub3","volume":"2019","author":[{"family":"Walsh","given":"Tanya"},{"family":"Worthington","given":"Helen V"},{"family":"Glenny","given":"Anne-Marie"},{"family":"Marinho","given":"Valeria Cc"},{"family":"Jeroncic","given":"Ana"}],"editor":[{"literal":"Cochrane Oral Health Group"}],"accessed":{"date-parts":[["2026",8,1]]},"issued":{"date-parts":[["2019",3,4]]}}},{"id":384,"uris":["http://zotero.org/users/13599032/items/B3XGRSJM"],"itemData":{"id":384,"type":"article-journal","abstract":"Objective: Early childhood caries (ECC) was prevalent in Hong Kong. Children with ECC risk should be identified early for prevention. This study aimed to identify common risk factors of ECC in Hong Kong 3-year-old children. Study design: Sample size calculation showed at least 6,321 of 3-year-old children should be invited in this study. A consent form and a questionnaire enquiring the children's oral health behaviours and social-economic background were distributed to their parents. Children with parental consent were examined by a trained dentist. Caries status was recorded in dmft index. Chi-square test and logistic regression analysis were performed to identify the risk factors of ECC. Results: A total of 5,167 children from the 6,331 children invited were examined. Among them, 1,130 children (22%) had ECC (dmft&amp;gt;0). Logistic regression analysis found age of starting tooth brushing, snack-intake frequency, dental visit experience, birthplace, family monthly income, primary caretaker, and mother's education level were factors associated with ECC of the children.\n            Conclusions: Children who started tooth brushing later, had higher snack-intake frequency, were not born in Hong Kong, and whose family monthly income was lower, mother's education level was lower, primary caretaker was not domestic helper, had a statistically significant higher chance of having ECC.","citation-key":"gaoRiskFactorsEarly2018","container-title":"Journal of Clinical Pediatric Dentistry","DOI":"10.17796/1053-4625-42.5.8","ISSN":"1053-4628, 1557-5268","issue":"5","language":"en","page":"367-372","source":"DOI.org (Crossref)","title":"Risk Factors of Early Childhood Caries among Young Children in Hong Kong: A Cross-Sectional Study","title-short":"Risk Factors of Early Childhood Caries among Young Children in Hong Kong","volume":"42","author":[{"family":"Gao","given":"Sherry Shiqian"},{"family":"Duangthip","given":"Duangporn"},{"family":"Lo","given":"Edward Chin Man"},{"family":"Chu","given":"Chun Hung"}],"issued":{"date-parts":[["2018",1,1]]}}}],"schema":"https://github.com/citation-style-language/schema/raw/master/csl-citation.json"} </w:instrText>
            </w:r>
            <w:r>
              <w:fldChar w:fldCharType="separate"/>
            </w:r>
            <w:r w:rsidR="00FE777A">
              <w:t>[4,19]</w:t>
            </w:r>
            <w:r>
              <w:fldChar w:fldCharType="end"/>
            </w:r>
          </w:p>
        </w:tc>
      </w:tr>
      <w:tr w:rsidR="003C36D5" w14:paraId="5758E7C2" w14:textId="77777777">
        <w:tc>
          <w:tcPr>
            <w:tcW w:w="1031" w:type="dxa"/>
            <w:tcBorders>
              <w:top w:val="nil"/>
              <w:left w:val="nil"/>
              <w:bottom w:val="nil"/>
              <w:right w:val="nil"/>
            </w:tcBorders>
            <w:tcMar>
              <w:top w:w="100" w:type="dxa"/>
              <w:left w:w="100" w:type="dxa"/>
              <w:bottom w:w="100" w:type="dxa"/>
              <w:right w:w="100" w:type="dxa"/>
            </w:tcMar>
          </w:tcPr>
          <w:p w14:paraId="25C95C95"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C11</w:t>
            </w:r>
          </w:p>
        </w:tc>
        <w:tc>
          <w:tcPr>
            <w:tcW w:w="1547" w:type="dxa"/>
            <w:tcBorders>
              <w:top w:val="nil"/>
              <w:left w:val="nil"/>
              <w:bottom w:val="nil"/>
              <w:right w:val="nil"/>
            </w:tcBorders>
            <w:tcMar>
              <w:top w:w="100" w:type="dxa"/>
              <w:left w:w="100" w:type="dxa"/>
              <w:bottom w:w="100" w:type="dxa"/>
              <w:right w:w="100" w:type="dxa"/>
            </w:tcMar>
          </w:tcPr>
          <w:p w14:paraId="38F1955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Lift the lip to check teeth</w:t>
            </w:r>
          </w:p>
        </w:tc>
        <w:tc>
          <w:tcPr>
            <w:tcW w:w="1289" w:type="dxa"/>
            <w:tcBorders>
              <w:top w:val="nil"/>
              <w:left w:val="nil"/>
              <w:bottom w:val="nil"/>
              <w:right w:val="nil"/>
            </w:tcBorders>
            <w:tcMar>
              <w:top w:w="100" w:type="dxa"/>
              <w:left w:w="100" w:type="dxa"/>
              <w:bottom w:w="100" w:type="dxa"/>
              <w:right w:w="100" w:type="dxa"/>
            </w:tcMar>
          </w:tcPr>
          <w:p w14:paraId="26FA58C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BC, MB, NB, NS, YT, GoC</w:t>
            </w:r>
          </w:p>
        </w:tc>
        <w:tc>
          <w:tcPr>
            <w:tcW w:w="1289" w:type="dxa"/>
            <w:tcBorders>
              <w:top w:val="nil"/>
              <w:left w:val="nil"/>
              <w:bottom w:val="nil"/>
              <w:right w:val="nil"/>
            </w:tcBorders>
            <w:tcMar>
              <w:top w:w="100" w:type="dxa"/>
              <w:left w:w="100" w:type="dxa"/>
              <w:bottom w:w="100" w:type="dxa"/>
              <w:right w:w="100" w:type="dxa"/>
            </w:tcMar>
          </w:tcPr>
          <w:p w14:paraId="6D2CE35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NL, PEI, QC, NT, NU</w:t>
            </w:r>
          </w:p>
        </w:tc>
        <w:tc>
          <w:tcPr>
            <w:tcW w:w="1289" w:type="dxa"/>
            <w:tcBorders>
              <w:top w:val="nil"/>
              <w:left w:val="nil"/>
              <w:bottom w:val="nil"/>
              <w:right w:val="nil"/>
            </w:tcBorders>
            <w:tcMar>
              <w:top w:w="100" w:type="dxa"/>
              <w:left w:w="100" w:type="dxa"/>
              <w:bottom w:w="100" w:type="dxa"/>
              <w:right w:w="100" w:type="dxa"/>
            </w:tcMar>
          </w:tcPr>
          <w:p w14:paraId="6E1B90D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289" w:type="dxa"/>
            <w:tcBorders>
              <w:top w:val="nil"/>
              <w:left w:val="nil"/>
              <w:bottom w:val="nil"/>
              <w:right w:val="nil"/>
            </w:tcBorders>
            <w:tcMar>
              <w:top w:w="100" w:type="dxa"/>
              <w:left w:w="100" w:type="dxa"/>
              <w:bottom w:w="100" w:type="dxa"/>
              <w:right w:w="100" w:type="dxa"/>
            </w:tcMar>
          </w:tcPr>
          <w:p w14:paraId="3291A14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Very Low</w:t>
            </w:r>
          </w:p>
        </w:tc>
        <w:tc>
          <w:tcPr>
            <w:tcW w:w="1289" w:type="dxa"/>
            <w:tcBorders>
              <w:top w:val="nil"/>
              <w:left w:val="nil"/>
              <w:bottom w:val="nil"/>
              <w:right w:val="nil"/>
            </w:tcBorders>
            <w:tcMar>
              <w:top w:w="100" w:type="dxa"/>
              <w:left w:w="100" w:type="dxa"/>
              <w:bottom w:w="100" w:type="dxa"/>
              <w:right w:w="100" w:type="dxa"/>
            </w:tcMar>
          </w:tcPr>
          <w:p w14:paraId="17E56B7A" w14:textId="1ED80DE5"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rgEnjQ0t","properties":{"unsorted":false,"formattedCitation":"[20]","plainCitation":"[20]","noteIndex":0},"citationItems":[{"id":385,"uris":["http://zotero.org/users/13599032/items/WBES53YD"],"itemData":{"id":385,"type":"article-journal","citation-key":"kothaLiftLipScreening2023","container-title":"Frontiers in Oral Health","DOI":"10.3389/froh.2023.1177251","ISSN":"2673-4842","journalAbbreviation":"Front. Oral. Health","page":"1177251","source":"DOI.org (Crossref)","title":"Lift the lip: a screening guide among the dental professionals","title-short":"Lift the lip","volume":"4","author":[{"family":"Kotha","given":"Sunil Babu"}],"issued":{"date-parts":[["2023",8,3]]}}}],"schema":"https://github.com/citation-style-language/schema/raw/master/csl-citation.json"} </w:instrText>
            </w:r>
            <w:r>
              <w:fldChar w:fldCharType="separate"/>
            </w:r>
            <w:r w:rsidR="00FE777A">
              <w:t>[20]</w:t>
            </w:r>
            <w:r>
              <w:fldChar w:fldCharType="end"/>
            </w:r>
          </w:p>
        </w:tc>
      </w:tr>
      <w:tr w:rsidR="003C36D5" w14:paraId="113BC9C0" w14:textId="77777777">
        <w:tc>
          <w:tcPr>
            <w:tcW w:w="1031" w:type="dxa"/>
            <w:tcBorders>
              <w:top w:val="nil"/>
              <w:left w:val="nil"/>
              <w:bottom w:val="nil"/>
              <w:right w:val="nil"/>
            </w:tcBorders>
            <w:tcMar>
              <w:top w:w="100" w:type="dxa"/>
              <w:left w:w="100" w:type="dxa"/>
              <w:bottom w:w="100" w:type="dxa"/>
              <w:right w:w="100" w:type="dxa"/>
            </w:tcMar>
          </w:tcPr>
          <w:p w14:paraId="08BFDF6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C12</w:t>
            </w:r>
          </w:p>
        </w:tc>
        <w:tc>
          <w:tcPr>
            <w:tcW w:w="1547" w:type="dxa"/>
            <w:tcBorders>
              <w:top w:val="nil"/>
              <w:left w:val="nil"/>
              <w:bottom w:val="nil"/>
              <w:right w:val="nil"/>
            </w:tcBorders>
            <w:tcMar>
              <w:top w:w="100" w:type="dxa"/>
              <w:left w:w="100" w:type="dxa"/>
              <w:bottom w:w="100" w:type="dxa"/>
              <w:right w:w="100" w:type="dxa"/>
            </w:tcMar>
          </w:tcPr>
          <w:p w14:paraId="43EA822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Transition to open cup</w:t>
            </w:r>
          </w:p>
        </w:tc>
        <w:tc>
          <w:tcPr>
            <w:tcW w:w="1289" w:type="dxa"/>
            <w:tcBorders>
              <w:top w:val="nil"/>
              <w:left w:val="nil"/>
              <w:bottom w:val="nil"/>
              <w:right w:val="nil"/>
            </w:tcBorders>
            <w:tcMar>
              <w:top w:w="100" w:type="dxa"/>
              <w:left w:w="100" w:type="dxa"/>
              <w:bottom w:w="100" w:type="dxa"/>
              <w:right w:w="100" w:type="dxa"/>
            </w:tcMar>
          </w:tcPr>
          <w:p w14:paraId="168F14A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BC, MB, NB, NS, NU, GoC</w:t>
            </w:r>
          </w:p>
        </w:tc>
        <w:tc>
          <w:tcPr>
            <w:tcW w:w="1289" w:type="dxa"/>
            <w:tcBorders>
              <w:top w:val="nil"/>
              <w:left w:val="nil"/>
              <w:bottom w:val="nil"/>
              <w:right w:val="nil"/>
            </w:tcBorders>
            <w:tcMar>
              <w:top w:w="100" w:type="dxa"/>
              <w:left w:w="100" w:type="dxa"/>
              <w:bottom w:w="100" w:type="dxa"/>
              <w:right w:w="100" w:type="dxa"/>
            </w:tcMar>
          </w:tcPr>
          <w:p w14:paraId="0A188E16"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NL, PEI, QC, NT, YT</w:t>
            </w:r>
          </w:p>
        </w:tc>
        <w:tc>
          <w:tcPr>
            <w:tcW w:w="1289" w:type="dxa"/>
            <w:tcBorders>
              <w:top w:val="nil"/>
              <w:left w:val="nil"/>
              <w:bottom w:val="nil"/>
              <w:right w:val="nil"/>
            </w:tcBorders>
            <w:tcMar>
              <w:top w:w="100" w:type="dxa"/>
              <w:left w:w="100" w:type="dxa"/>
              <w:bottom w:w="100" w:type="dxa"/>
              <w:right w:w="100" w:type="dxa"/>
            </w:tcMar>
          </w:tcPr>
          <w:p w14:paraId="6B0F8AAD"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289" w:type="dxa"/>
            <w:tcBorders>
              <w:top w:val="nil"/>
              <w:left w:val="nil"/>
              <w:bottom w:val="nil"/>
              <w:right w:val="nil"/>
            </w:tcBorders>
            <w:tcMar>
              <w:top w:w="100" w:type="dxa"/>
              <w:left w:w="100" w:type="dxa"/>
              <w:bottom w:w="100" w:type="dxa"/>
              <w:right w:w="100" w:type="dxa"/>
            </w:tcMar>
          </w:tcPr>
          <w:p w14:paraId="4E4800E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3B56EFD6" w14:textId="10A3DE2F"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PKPPQs0K","properties":{"unsorted":false,"formattedCitation":"[21\\uc0\\u8211{}23]","plainCitation":"[21–23]","noteIndex":0},"citationItems":[{"id":387,"uris":["http://zotero.org/users/13599032/items/WNAB5Z9A"],"itemData":{"id":387,"type":"article-journal","citation-key":"goozeProlongedBottleUse2011","container-title":"The Journal of Pediatrics","DOI":"10.1016/j.jpeds.2011.02.037","ISSN":"00223476","issue":"3","journalAbbreviation":"The Journal of Pediatrics","language":"en","license":"https://www.elsevier.com/tdm/userlicense/1.0/","page":"431-436","source":"DOI.org (Crossref)","title":"Prolonged Bottle Use and Obesity at 5.5 Years of Age in US Children","volume":"159","author":[{"family":"Gooze","given":"Rachel A."},{"family":"Anderson","given":"Sarah E."},{"family":"Whitaker","given":"Robert C."}],"issued":{"date-parts":[["2011",9]]}}},{"id":578,"uris":["http://zotero.org/users/13599032/items/WIKEP6PL"],"itemData":{"id":578,"type":"article-journal","abstract":"Purpose:\n The purpose of this study was to perform a systematic review to assess current evidence for association between various risk factors and the prevalence or incidence of early childhood caries (ECC). \nMethods:\n Two reviewers searched various databases\nuntil January 2019. The Newcastle-Ottawa scale was used to perform risk of bias assessment. The included studies were categorized according to the World Bank classification. Data were summarized in a meta-analysis using fixed and random effects inverse-generic meta-analyses. \nResults:\n\nA total of 7,034 records involving 89 studies that evaluated 1,352,097 individuals were included; 23 were high, 46 were moderate, and 20 were of low quality. A total of 123 risk factors were found. Meta-analysis revealed that the strongest risk factors found in the high-income countries were\npresence of dentinal caries (dmft greater than zero; odds ratio [OR] equals 4.21 [2.18 to 8.16]) and high levels of mutans streptococci (OR equals 3.83 [1.81 to 8.09]). In upper-middle-income countries, presence of enamel defects (OR equals 14.62 [6.10 to 35.03]) was found to be the strongest\nrisk factor. \nConclusion:\n The strongest risk factors associated with early childhood caries was the presence of enamel defects, presence of dentinal caries and high levels of mutans streptococci.","citation-key":"kirthigaRiskFactorsEarly2019","container-title":"Pediatric Dentistry","issue":"2","journalAbbreviation":"Pediatric Dentistry","page":"95-112","source":"IngentaConnect","title":"Risk Factors for Early Childhood Caries: A Systematic Review and Meta-Analysis of Case Control and Cohort Studies","title-short":"Risk Factors for Early Childhood Caries","volume":"41","author":[{"family":"Kirthiga","given":"M"},{"family":"Murugan","given":"Muthu"},{"family":"Saikia","given":"Ankita"},{"family":"Kirubakaran","given":"Richard"}],"issued":{"date-parts":[["2019",3,15]]}}},{"id":395,"uris":["http://zotero.org/users/13599032/items/7Q84YNC6"],"itemData":{"id":395,"type":"article-journal","citation-key":"scarboroughOpenCupDrinkingDevelopment2018","container-title":"Dysphagia","DOI":"10.1007/s00455-017-9871-6","ISSN":"0179-051X, 1432-0460","issue":"3","journalAbbreviation":"Dysphagia","language":"en","page":"293-302","source":"DOI.org (Crossref)","title":"Open-Cup Drinking Development: A Review of the Literature","title-short":"Open-Cup Drinking Development","volume":"33","author":[{"family":"Scarborough","given":"Donna"},{"family":"Brink","given":"Katherine E."},{"family":"Bailey-Van Kuren","given":"Michael"}],"issued":{"date-parts":[["2018",6]]}}}],"schema":"https://github.com/citation-style-language/schema/raw/master/csl-citation.json"} </w:instrText>
            </w:r>
            <w:r>
              <w:fldChar w:fldCharType="separate"/>
            </w:r>
            <w:r w:rsidR="00FE777A" w:rsidRPr="00FE777A">
              <w:rPr>
                <w:szCs w:val="24"/>
                <w:lang w:val="en-US"/>
              </w:rPr>
              <w:t>[21–23]</w:t>
            </w:r>
            <w:r>
              <w:fldChar w:fldCharType="end"/>
            </w:r>
          </w:p>
        </w:tc>
      </w:tr>
      <w:tr w:rsidR="003C36D5" w14:paraId="284A1802" w14:textId="77777777">
        <w:tc>
          <w:tcPr>
            <w:tcW w:w="1031" w:type="dxa"/>
            <w:tcBorders>
              <w:top w:val="nil"/>
              <w:left w:val="nil"/>
              <w:bottom w:val="nil"/>
              <w:right w:val="nil"/>
            </w:tcBorders>
            <w:tcMar>
              <w:top w:w="100" w:type="dxa"/>
              <w:left w:w="100" w:type="dxa"/>
              <w:bottom w:w="100" w:type="dxa"/>
              <w:right w:w="100" w:type="dxa"/>
            </w:tcMar>
          </w:tcPr>
          <w:p w14:paraId="3DB7788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C13</w:t>
            </w:r>
          </w:p>
        </w:tc>
        <w:tc>
          <w:tcPr>
            <w:tcW w:w="1547" w:type="dxa"/>
            <w:tcBorders>
              <w:top w:val="nil"/>
              <w:left w:val="nil"/>
              <w:bottom w:val="nil"/>
              <w:right w:val="nil"/>
            </w:tcBorders>
            <w:tcMar>
              <w:top w:w="100" w:type="dxa"/>
              <w:left w:w="100" w:type="dxa"/>
              <w:bottom w:w="100" w:type="dxa"/>
              <w:right w:w="100" w:type="dxa"/>
            </w:tcMar>
          </w:tcPr>
          <w:p w14:paraId="4297D29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Pea-sized fluoride toothpaste (3+)</w:t>
            </w:r>
          </w:p>
        </w:tc>
        <w:tc>
          <w:tcPr>
            <w:tcW w:w="1289" w:type="dxa"/>
            <w:tcBorders>
              <w:top w:val="nil"/>
              <w:left w:val="nil"/>
              <w:bottom w:val="nil"/>
              <w:right w:val="nil"/>
            </w:tcBorders>
            <w:tcMar>
              <w:top w:w="100" w:type="dxa"/>
              <w:left w:w="100" w:type="dxa"/>
              <w:bottom w:w="100" w:type="dxa"/>
              <w:right w:w="100" w:type="dxa"/>
            </w:tcMar>
          </w:tcPr>
          <w:p w14:paraId="55760AB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MB, NL, GoC</w:t>
            </w:r>
          </w:p>
        </w:tc>
        <w:tc>
          <w:tcPr>
            <w:tcW w:w="1289" w:type="dxa"/>
            <w:tcBorders>
              <w:top w:val="nil"/>
              <w:left w:val="nil"/>
              <w:bottom w:val="nil"/>
              <w:right w:val="nil"/>
            </w:tcBorders>
            <w:tcMar>
              <w:top w:w="100" w:type="dxa"/>
              <w:left w:w="100" w:type="dxa"/>
              <w:bottom w:w="100" w:type="dxa"/>
              <w:right w:w="100" w:type="dxa"/>
            </w:tcMar>
          </w:tcPr>
          <w:p w14:paraId="2C86335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NB, NS, PEI, QC, NT, NU, YT</w:t>
            </w:r>
          </w:p>
        </w:tc>
        <w:tc>
          <w:tcPr>
            <w:tcW w:w="1289" w:type="dxa"/>
            <w:tcBorders>
              <w:top w:val="nil"/>
              <w:left w:val="nil"/>
              <w:bottom w:val="nil"/>
              <w:right w:val="nil"/>
            </w:tcBorders>
            <w:tcMar>
              <w:top w:w="100" w:type="dxa"/>
              <w:left w:w="100" w:type="dxa"/>
              <w:bottom w:w="100" w:type="dxa"/>
              <w:right w:w="100" w:type="dxa"/>
            </w:tcMar>
          </w:tcPr>
          <w:p w14:paraId="336BC20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89" w:type="dxa"/>
            <w:tcBorders>
              <w:top w:val="nil"/>
              <w:left w:val="nil"/>
              <w:bottom w:val="nil"/>
              <w:right w:val="nil"/>
            </w:tcBorders>
            <w:tcMar>
              <w:top w:w="100" w:type="dxa"/>
              <w:left w:w="100" w:type="dxa"/>
              <w:bottom w:w="100" w:type="dxa"/>
              <w:right w:w="100" w:type="dxa"/>
            </w:tcMar>
          </w:tcPr>
          <w:p w14:paraId="47FE8BC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Moderate</w:t>
            </w:r>
          </w:p>
        </w:tc>
        <w:tc>
          <w:tcPr>
            <w:tcW w:w="1289" w:type="dxa"/>
            <w:tcBorders>
              <w:top w:val="nil"/>
              <w:left w:val="nil"/>
              <w:bottom w:val="nil"/>
              <w:right w:val="nil"/>
            </w:tcBorders>
            <w:tcMar>
              <w:top w:w="100" w:type="dxa"/>
              <w:left w:w="100" w:type="dxa"/>
              <w:bottom w:w="100" w:type="dxa"/>
              <w:right w:w="100" w:type="dxa"/>
            </w:tcMar>
          </w:tcPr>
          <w:p w14:paraId="0B46702D" w14:textId="5BC2C432" w:rsidR="003C36D5" w:rsidRDefault="00000000">
            <w:pPr>
              <w:widowControl w:val="0"/>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EFruc1UT","properties":{"unsorted":false,"formattedCitation":"[4,5]","plainCitation":"[4,5]","noteIndex":0},"citationItems":[{"id":371,"uris":["http://zotero.org/users/13599032/items/F9NESMM2"],"itemData":{"id":371,"type":"article-journal","citation-key":"walshFluorideToothpastesDifferent2019","container-title":"Cochrane Database of Systematic Reviews","DOI":"10.1002/14651858.CD007868.pub3","ISSN":"14651858","issue":"11","language":"en","source":"DOI.org (Crossref)","title":"Fluoride toothpastes of different concentrations for preventing dental caries","URL":"http://doi.wiley.com/10.1002/14651858.CD007868.pub3","volume":"2019","author":[{"family":"Walsh","given":"Tanya"},{"family":"Worthington","given":"Helen V"},{"family":"Glenny","given":"Anne-Marie"},{"family":"Marinho","given":"Valeria Cc"},{"family":"Jeroncic","given":"Ana"}],"editor":[{"literal":"Cochrane Oral Health Group"}],"accessed":{"date-parts":[["2026",8,1]]},"issued":{"date-parts":[["2019",3,4]]}}},{"id":372,"uris":["http://zotero.org/users/13599032/items/RPVKNWSX"],"itemData":{"id":372,"type":"article-journal","citation-key":"wrightFluorideToothpasteEfficacy2014","container-title":"The Journal of the American Dental Association","DOI":"10.14219/jada.2013.37","ISSN":"00028177","issue":"2","journalAbbreviation":"The Journal of the American Dental Association","language":"en","license":"https://www.elsevier.com/tdm/userlicense/1.0/","page":"182-189","source":"DOI.org (Crossref)","title":"Fluoride toothpaste efficacy and safety in children younger than 6 years","volume":"145","author":[{"family":"Wright","given":"J. Timothy"},{"family":"Hanson","given":"Nicholas"},{"family":"Ristic","given":"Helen"},{"family":"Whall","given":"Clifford W."},{"family":"Estrich","given":"Cameron G."},{"family":"Zentz","given":"Ronald R."}],"issued":{"date-parts":[["2014",2]]}}}],"schema":"https://github.com/citation-style-language/schema/raw/master/csl-citation.json"} </w:instrText>
            </w:r>
            <w:r>
              <w:fldChar w:fldCharType="separate"/>
            </w:r>
            <w:r w:rsidR="00FE777A">
              <w:t>[4,5]</w:t>
            </w:r>
            <w:r>
              <w:fldChar w:fldCharType="end"/>
            </w:r>
          </w:p>
        </w:tc>
      </w:tr>
      <w:tr w:rsidR="003C36D5" w14:paraId="29057A9C" w14:textId="77777777">
        <w:tc>
          <w:tcPr>
            <w:tcW w:w="1031" w:type="dxa"/>
            <w:tcBorders>
              <w:top w:val="nil"/>
              <w:left w:val="nil"/>
              <w:bottom w:val="nil"/>
              <w:right w:val="nil"/>
            </w:tcBorders>
            <w:tcMar>
              <w:top w:w="100" w:type="dxa"/>
              <w:left w:w="100" w:type="dxa"/>
              <w:bottom w:w="100" w:type="dxa"/>
              <w:right w:w="100" w:type="dxa"/>
            </w:tcMar>
          </w:tcPr>
          <w:p w14:paraId="3D87DE4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C14</w:t>
            </w:r>
          </w:p>
        </w:tc>
        <w:tc>
          <w:tcPr>
            <w:tcW w:w="1547" w:type="dxa"/>
            <w:tcBorders>
              <w:top w:val="nil"/>
              <w:left w:val="nil"/>
              <w:bottom w:val="nil"/>
              <w:right w:val="nil"/>
            </w:tcBorders>
            <w:tcMar>
              <w:top w:w="100" w:type="dxa"/>
              <w:left w:w="100" w:type="dxa"/>
              <w:bottom w:w="100" w:type="dxa"/>
              <w:right w:w="100" w:type="dxa"/>
            </w:tcMar>
          </w:tcPr>
          <w:p w14:paraId="2066B2D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Never sweeten pacifier</w:t>
            </w:r>
          </w:p>
        </w:tc>
        <w:tc>
          <w:tcPr>
            <w:tcW w:w="1289" w:type="dxa"/>
            <w:tcBorders>
              <w:top w:val="nil"/>
              <w:left w:val="nil"/>
              <w:bottom w:val="nil"/>
              <w:right w:val="nil"/>
            </w:tcBorders>
            <w:tcMar>
              <w:top w:w="100" w:type="dxa"/>
              <w:left w:w="100" w:type="dxa"/>
              <w:bottom w:w="100" w:type="dxa"/>
              <w:right w:w="100" w:type="dxa"/>
            </w:tcMar>
          </w:tcPr>
          <w:p w14:paraId="1EE8B22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MB, NB, NS, NL, PEI, GoC</w:t>
            </w:r>
          </w:p>
        </w:tc>
        <w:tc>
          <w:tcPr>
            <w:tcW w:w="1289" w:type="dxa"/>
            <w:tcBorders>
              <w:top w:val="nil"/>
              <w:left w:val="nil"/>
              <w:bottom w:val="nil"/>
              <w:right w:val="nil"/>
            </w:tcBorders>
            <w:tcMar>
              <w:top w:w="100" w:type="dxa"/>
              <w:left w:w="100" w:type="dxa"/>
              <w:bottom w:w="100" w:type="dxa"/>
              <w:right w:w="100" w:type="dxa"/>
            </w:tcMar>
          </w:tcPr>
          <w:p w14:paraId="60079B9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QC, NT, NU, YT</w:t>
            </w:r>
          </w:p>
        </w:tc>
        <w:tc>
          <w:tcPr>
            <w:tcW w:w="1289" w:type="dxa"/>
            <w:tcBorders>
              <w:top w:val="nil"/>
              <w:left w:val="nil"/>
              <w:bottom w:val="nil"/>
              <w:right w:val="nil"/>
            </w:tcBorders>
            <w:tcMar>
              <w:top w:w="100" w:type="dxa"/>
              <w:left w:w="100" w:type="dxa"/>
              <w:bottom w:w="100" w:type="dxa"/>
              <w:right w:w="100" w:type="dxa"/>
            </w:tcMar>
          </w:tcPr>
          <w:p w14:paraId="1EE9FC9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89" w:type="dxa"/>
            <w:tcBorders>
              <w:top w:val="nil"/>
              <w:left w:val="nil"/>
              <w:bottom w:val="nil"/>
              <w:right w:val="nil"/>
            </w:tcBorders>
            <w:tcMar>
              <w:top w:w="100" w:type="dxa"/>
              <w:left w:w="100" w:type="dxa"/>
              <w:bottom w:w="100" w:type="dxa"/>
              <w:right w:w="100" w:type="dxa"/>
            </w:tcMar>
          </w:tcPr>
          <w:p w14:paraId="118C719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53EF93C9" w14:textId="75CAB89E"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N4ByxhCJ","properties":{"unsorted":false,"formattedCitation":"[24\\uc0\\u8211{}26]","plainCitation":"[24–26]","noteIndex":0},"citationItems":[{"id":568,"uris":["http://zotero.org/users/13599032/items/QTNBRAYY"],"itemData":{"id":568,"type":"article-journal","citation-key":"khodkeInfantDietaryPattern2023","container-title":"International Journal of Clinical Pediatric Dentistry","DOI":"10.5005/jp-journals-10005-2356","ISSN":"0974-7052, 0975-1904","issue":"3","language":"en","page":"421-425","source":"DOI.org (Crossref)","title":"Infant Dietary Pattern and its Association with Early Childhood Caries in Preschool Children: A Cross-sectional Study","title-short":"Infant Dietary Pattern and its Association with Early Childhood Caries in Preschool Children","volume":"16","author":[{"family":"Khodke","given":"Shreya"},{"family":"Agarwal","given":"Nupur"}],"issued":{"date-parts":[["2023",7,3]]}}},{"id":595,"uris":["http://zotero.org/users/13599032/items/ZDVJS32J"],"itemData":{"id":595,"type":"article-journal","abstract":"BACKGROUND: Infant botulism (IB) is caused by the intestinal colonization by Clostridium botulinum in the first year of life and its subsequent production of neurotoxins. Traditionally, IB has been associated to honey consumption. IB cases tend to cluster in geographic regions. In Europe, IB is a rare disorder. From 1976 through 2006, 65 cases were identified in 13 European countries. In Spain, in the last 15 years, most of the cases have been reported in one region, Andalusia (Southern Spain). A specific treatment for IB type A and type B (BabyBIG) is available outside of the United States since 2005.\nMETHODS: and aims: We performed a retrospective review of IB cases detected in Andalusia since 1997 and compare them with the cases of IB reported in Europe.\nRESULTS: We identified 11 confirmed cases of IB in Andalusia since 1997, and 14 cases in Spain. Nine out of 11 cases were detected since 2007; none of these infants had been exposed to honey consumption. One case in 1997 and another in 2000 were associated to honey. Two cases were treated with BabyBIG in 2007. In the period 2006-2012 the cases of IB reported in Europe were 54.\nCONCLUSIONS: We identified a considerable increase in the incidence of IB since 2006. A tendency to a reduction in the number of cases of IB linked to honey consumption has also been identified. An increase in the exposure to these bacteria from the environment could be presumed. Clinicians should maintain a high index of suspicion for this treatable disorder.","citation-key":"lopez-lasoInfantBotulismAndalusia2014","container-title":"European journal of paediatric neurology: EJPN: official journal of the European Paediatric Neurology Society","DOI":"10.1016/j.ejpn.2013.12.008","ISSN":"1532-2130","issue":"3","journalAbbreviation":"Eur J Paediatr Neurol","language":"eng","page":"321-326","PMID":"24468429","source":"PubMed","title":"Infant botulism in Andalusia (Southern Spain)","volume":"18","author":[{"family":"López-Laso","given":"Eduardo"},{"family":"Roncero-Sánchez-Cano","given":"Inés"},{"family":"Arce-Portillo","given":"Elena"},{"family":"Ley-Martos","given":"Myriam"},{"family":"Aguirre-Rodríguez","given":"Javier"},{"family":"García-Ron","given":"Adrián"},{"family":"Mora-Navarro","given":"David"},{"family":"Méndez-García","given":"Mario"},{"family":"Camino-León","given":"Rafael"}],"issued":{"date-parts":[["2014",5]]}}},{"id":597,"uris":["http://zotero.org/users/13599032/items/VBQSE6SU"],"itemData":{"id":597,"type":"webpage","citation-key":"NoStrongConsistent","title":"No strong or consistent association between early childhood caries and pacifier use | Evidence-Based Dentistry","URL":"https://www.nature.com/articles/6400249","accessed":{"date-parts":[["2026",8,1]]}}}],"schema":"https://github.com/citation-style-language/schema/raw/master/csl-citation.json"} </w:instrText>
            </w:r>
            <w:r>
              <w:fldChar w:fldCharType="separate"/>
            </w:r>
            <w:r w:rsidR="00FE777A" w:rsidRPr="00FE777A">
              <w:rPr>
                <w:szCs w:val="24"/>
                <w:lang w:val="en-US"/>
              </w:rPr>
              <w:t>[24–26]</w:t>
            </w:r>
            <w:r>
              <w:fldChar w:fldCharType="end"/>
            </w:r>
          </w:p>
        </w:tc>
      </w:tr>
      <w:tr w:rsidR="003C36D5" w14:paraId="3456239C" w14:textId="77777777">
        <w:tc>
          <w:tcPr>
            <w:tcW w:w="1031" w:type="dxa"/>
            <w:tcBorders>
              <w:top w:val="nil"/>
              <w:left w:val="nil"/>
              <w:bottom w:val="nil"/>
              <w:right w:val="nil"/>
            </w:tcBorders>
            <w:tcMar>
              <w:top w:w="100" w:type="dxa"/>
              <w:left w:w="100" w:type="dxa"/>
              <w:bottom w:w="100" w:type="dxa"/>
              <w:right w:w="100" w:type="dxa"/>
            </w:tcMar>
          </w:tcPr>
          <w:p w14:paraId="523D7E6C"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C15</w:t>
            </w:r>
          </w:p>
        </w:tc>
        <w:tc>
          <w:tcPr>
            <w:tcW w:w="1547" w:type="dxa"/>
            <w:tcBorders>
              <w:top w:val="nil"/>
              <w:left w:val="nil"/>
              <w:bottom w:val="nil"/>
              <w:right w:val="nil"/>
            </w:tcBorders>
            <w:tcMar>
              <w:top w:w="100" w:type="dxa"/>
              <w:left w:w="100" w:type="dxa"/>
              <w:bottom w:w="100" w:type="dxa"/>
              <w:right w:w="100" w:type="dxa"/>
            </w:tcMar>
          </w:tcPr>
          <w:p w14:paraId="1C27E79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Teach child to spit toothpaste</w:t>
            </w:r>
          </w:p>
        </w:tc>
        <w:tc>
          <w:tcPr>
            <w:tcW w:w="1289" w:type="dxa"/>
            <w:tcBorders>
              <w:top w:val="nil"/>
              <w:left w:val="nil"/>
              <w:bottom w:val="nil"/>
              <w:right w:val="nil"/>
            </w:tcBorders>
            <w:tcMar>
              <w:top w:w="100" w:type="dxa"/>
              <w:left w:w="100" w:type="dxa"/>
              <w:bottom w:w="100" w:type="dxa"/>
              <w:right w:w="100" w:type="dxa"/>
            </w:tcMar>
          </w:tcPr>
          <w:p w14:paraId="41EBD34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MB, NL, GoC</w:t>
            </w:r>
          </w:p>
        </w:tc>
        <w:tc>
          <w:tcPr>
            <w:tcW w:w="1289" w:type="dxa"/>
            <w:tcBorders>
              <w:top w:val="nil"/>
              <w:left w:val="nil"/>
              <w:bottom w:val="nil"/>
              <w:right w:val="nil"/>
            </w:tcBorders>
            <w:tcMar>
              <w:top w:w="100" w:type="dxa"/>
              <w:left w:w="100" w:type="dxa"/>
              <w:bottom w:w="100" w:type="dxa"/>
              <w:right w:w="100" w:type="dxa"/>
            </w:tcMar>
          </w:tcPr>
          <w:p w14:paraId="0F156C0B"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NB, NS, PEI, QC, NT, NU, YT</w:t>
            </w:r>
          </w:p>
        </w:tc>
        <w:tc>
          <w:tcPr>
            <w:tcW w:w="1289" w:type="dxa"/>
            <w:tcBorders>
              <w:top w:val="nil"/>
              <w:left w:val="nil"/>
              <w:bottom w:val="nil"/>
              <w:right w:val="nil"/>
            </w:tcBorders>
            <w:tcMar>
              <w:top w:w="100" w:type="dxa"/>
              <w:left w:w="100" w:type="dxa"/>
              <w:bottom w:w="100" w:type="dxa"/>
              <w:right w:w="100" w:type="dxa"/>
            </w:tcMar>
          </w:tcPr>
          <w:p w14:paraId="43DE9147"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89" w:type="dxa"/>
            <w:tcBorders>
              <w:top w:val="nil"/>
              <w:left w:val="nil"/>
              <w:bottom w:val="nil"/>
              <w:right w:val="nil"/>
            </w:tcBorders>
            <w:tcMar>
              <w:top w:w="100" w:type="dxa"/>
              <w:left w:w="100" w:type="dxa"/>
              <w:bottom w:w="100" w:type="dxa"/>
              <w:right w:w="100" w:type="dxa"/>
            </w:tcMar>
          </w:tcPr>
          <w:p w14:paraId="4C781BD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Moderate</w:t>
            </w:r>
          </w:p>
        </w:tc>
        <w:tc>
          <w:tcPr>
            <w:tcW w:w="1289" w:type="dxa"/>
            <w:tcBorders>
              <w:top w:val="nil"/>
              <w:left w:val="nil"/>
              <w:bottom w:val="nil"/>
              <w:right w:val="nil"/>
            </w:tcBorders>
            <w:tcMar>
              <w:top w:w="100" w:type="dxa"/>
              <w:left w:w="100" w:type="dxa"/>
              <w:bottom w:w="100" w:type="dxa"/>
              <w:right w:w="100" w:type="dxa"/>
            </w:tcMar>
          </w:tcPr>
          <w:p w14:paraId="36D21400" w14:textId="2AD63734"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CvB10BXY","properties":{"unsorted":false,"formattedCitation":"[5]","plainCitation":"[5]","noteIndex":0},"citationItems":[{"id":372,"uris":["http://zotero.org/users/13599032/items/RPVKNWSX"],"itemData":{"id":372,"type":"article-journal","citation-key":"wrightFluorideToothpasteEfficacy2014","container-title":"The Journal of the American Dental Association","DOI":"10.14219/jada.2013.37","ISSN":"00028177","issue":"2","journalAbbreviation":"The Journal of the American Dental Association","language":"en","license":"https://www.elsevier.com/tdm/userlicense/1.0/","page":"182-189","source":"DOI.org (Crossref)","title":"Fluoride toothpaste efficacy and safety in children younger than 6 years","volume":"145","author":[{"family":"Wright","given":"J. Timothy"},{"family":"Hanson","given":"Nicholas"},{"family":"Ristic","given":"Helen"},{"family":"Whall","given":"Clifford W."},{"family":"Estrich","given":"Cameron G."},{"family":"Zentz","given":"Ronald R."}],"issued":{"date-parts":[["2014",2]]}}}],"schema":"https://github.com/citation-style-language/schema/raw/master/csl-citation.json"} </w:instrText>
            </w:r>
            <w:r>
              <w:fldChar w:fldCharType="separate"/>
            </w:r>
            <w:r w:rsidR="00FE777A">
              <w:t>[5]</w:t>
            </w:r>
            <w:r>
              <w:fldChar w:fldCharType="end"/>
            </w:r>
          </w:p>
        </w:tc>
      </w:tr>
      <w:tr w:rsidR="003C36D5" w14:paraId="3E110F13" w14:textId="77777777">
        <w:tc>
          <w:tcPr>
            <w:tcW w:w="1031" w:type="dxa"/>
            <w:tcBorders>
              <w:top w:val="nil"/>
              <w:left w:val="nil"/>
              <w:bottom w:val="nil"/>
              <w:right w:val="nil"/>
            </w:tcBorders>
            <w:tcMar>
              <w:top w:w="100" w:type="dxa"/>
              <w:left w:w="100" w:type="dxa"/>
              <w:bottom w:w="100" w:type="dxa"/>
              <w:right w:w="100" w:type="dxa"/>
            </w:tcMar>
          </w:tcPr>
          <w:p w14:paraId="67A0E8D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C16</w:t>
            </w:r>
          </w:p>
        </w:tc>
        <w:tc>
          <w:tcPr>
            <w:tcW w:w="1547" w:type="dxa"/>
            <w:tcBorders>
              <w:top w:val="nil"/>
              <w:left w:val="nil"/>
              <w:bottom w:val="nil"/>
              <w:right w:val="nil"/>
            </w:tcBorders>
            <w:tcMar>
              <w:top w:w="100" w:type="dxa"/>
              <w:left w:w="100" w:type="dxa"/>
              <w:bottom w:w="100" w:type="dxa"/>
              <w:right w:w="100" w:type="dxa"/>
            </w:tcMar>
          </w:tcPr>
          <w:p w14:paraId="23108F4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Brush together/model </w:t>
            </w:r>
            <w:proofErr w:type="spellStart"/>
            <w:r>
              <w:rPr>
                <w:rFonts w:ascii="Times New Roman" w:eastAsia="Times New Roman" w:hAnsi="Times New Roman" w:cs="Times New Roman"/>
                <w:sz w:val="20"/>
                <w:szCs w:val="20"/>
              </w:rPr>
              <w:t>behavior</w:t>
            </w:r>
            <w:proofErr w:type="spellEnd"/>
          </w:p>
        </w:tc>
        <w:tc>
          <w:tcPr>
            <w:tcW w:w="1289" w:type="dxa"/>
            <w:tcBorders>
              <w:top w:val="nil"/>
              <w:left w:val="nil"/>
              <w:bottom w:val="nil"/>
              <w:right w:val="nil"/>
            </w:tcBorders>
            <w:tcMar>
              <w:top w:w="100" w:type="dxa"/>
              <w:left w:w="100" w:type="dxa"/>
              <w:bottom w:w="100" w:type="dxa"/>
              <w:right w:w="100" w:type="dxa"/>
            </w:tcMar>
          </w:tcPr>
          <w:p w14:paraId="4D54E86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NB, NS, NU, QC, GoC</w:t>
            </w:r>
          </w:p>
        </w:tc>
        <w:tc>
          <w:tcPr>
            <w:tcW w:w="1289" w:type="dxa"/>
            <w:tcBorders>
              <w:top w:val="nil"/>
              <w:left w:val="nil"/>
              <w:bottom w:val="nil"/>
              <w:right w:val="nil"/>
            </w:tcBorders>
            <w:tcMar>
              <w:top w:w="100" w:type="dxa"/>
              <w:left w:w="100" w:type="dxa"/>
              <w:bottom w:w="100" w:type="dxa"/>
              <w:right w:w="100" w:type="dxa"/>
            </w:tcMar>
          </w:tcPr>
          <w:p w14:paraId="4D64F3A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BC, MB, NL, PEI, NT, YT</w:t>
            </w:r>
          </w:p>
        </w:tc>
        <w:tc>
          <w:tcPr>
            <w:tcW w:w="1289" w:type="dxa"/>
            <w:tcBorders>
              <w:top w:val="nil"/>
              <w:left w:val="nil"/>
              <w:bottom w:val="nil"/>
              <w:right w:val="nil"/>
            </w:tcBorders>
            <w:tcMar>
              <w:top w:w="100" w:type="dxa"/>
              <w:left w:w="100" w:type="dxa"/>
              <w:bottom w:w="100" w:type="dxa"/>
              <w:right w:w="100" w:type="dxa"/>
            </w:tcMar>
          </w:tcPr>
          <w:p w14:paraId="34E398D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89" w:type="dxa"/>
            <w:tcBorders>
              <w:top w:val="nil"/>
              <w:left w:val="nil"/>
              <w:bottom w:val="nil"/>
              <w:right w:val="nil"/>
            </w:tcBorders>
            <w:tcMar>
              <w:top w:w="100" w:type="dxa"/>
              <w:left w:w="100" w:type="dxa"/>
              <w:bottom w:w="100" w:type="dxa"/>
              <w:right w:w="100" w:type="dxa"/>
            </w:tcMar>
          </w:tcPr>
          <w:p w14:paraId="1A6B6E2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266CFC20" w14:textId="5E87B3B8"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zQAEbxvH","properties":{"unsorted":false,"formattedCitation":"[27\\uc0\\u8211{}29]","plainCitation":"[27–29]","noteIndex":0},"citationItems":[{"id":534,"uris":["http://zotero.org/users/13599032/items/PSSA78HF"],"itemData":{"id":534,"type":"article-journal","abstract":"BACKGROUND: Regular and consistent parental involvement in children's oral hygiene practices is crucial to prevent oral diseases in young children. This emphasizes the need for interventions targeting parental-supervised oral hygiene behavior. To inform the design of future interventions, this meta-analysis aimed to identify the parental social-cognitive factors associated with oral hygiene behavior of preschoolers.\nMETHOD: Five bibliographic databases were searched. A study was eligible for inclusion when it reported an association between a parental social-cognitive factor and an oral hygiene behavior in the targeted age cohort. Meta-analyses were performed when there were at least four independent effect sizes (k &gt; 3).\nRESULTS: Of the 5945 records identified, 25 studies contained eligible data to be included in four meta-analyses: attitude (k = 12); self-efficacy (k = 12); intention (k = 6), and sense of coherence (k = 5). The results showed that greater frequency of preschoolers' oral hygiene behavior is significantly associated with parental attitudes (r+ = 0.18), self-efficacy (r+ = 0.34), and intention (r+ = 0.29), and not significantly associated with parental sense of coherence (r+ = 0.08).\nCONCLUSION: Self-efficacy, attitudes, and intention were identified as significant correlates of parental-supervised oral hygiene behavior. However, this is a limited evidence base and many social-cognitive factors, such as self-regulatory processes including planning and action control, have yet to be explored in this context. The significant social-cognitive correlates identified in this study, as well as potential other self-regulatory factors, should be targeted in future intervention studies aimed at improving this important preventive behavior.","citation-key":"smithParentalSocialcognitiveCorrelates2020","container-title":"Social Science &amp; Medicine","DOI":"10.1016/j.socscimed.2020.113322","ISSN":"1873-5347","journalAbbreviation":"Soc Sci Med","language":"eng","page":"113322","PMID":"32916333","publisher-place":"1982","source":"PubMed","title":"Parental social-cognitive correlates of preschoolers' oral hygiene behavior: A systematic review and meta-analysis","title-short":"Parental social-cognitive correlates of preschoolers' oral hygiene behavior","volume":"264","author":[{"family":"Smith","given":"Stephanie R."},{"family":"Kroon","given":"Jeroen"},{"family":"Schwarzer","given":"Ralf"},{"family":"Hamilton","given":"Kyra"}],"issued":{"date-parts":[["2020",11]]}}},{"id":433,"uris":["http://zotero.org/users/13599032/items/73S74IHP"],"itemData":{"id":433,"type":"article-journal","abstract":"Abstract\n            \n              Background\n              Brushing teeth with fluoride</w:instrText>
            </w:r>
            <w:r w:rsidR="00FE777A">
              <w:rPr>
                <w:rFonts w:ascii="Cambria Math" w:hAnsi="Cambria Math" w:cs="Cambria Math"/>
              </w:rPr>
              <w:instrText>‐</w:instrText>
            </w:r>
            <w:r w:rsidR="00FE777A">
              <w:instrText>containing toothpaste and flossing are considered as effective solutions for preventing dental caries and periodontal diseases.\n            \n            \n              Aim\n              The aim of this study was to use the promoted social cognitive theory (SCT) to investigate factors influencing adherence to oral hygiene behaviors by elementary school children.\n            \n            \n              Design\n              In this cross</w:instrText>
            </w:r>
            <w:r w:rsidR="00FE777A">
              <w:rPr>
                <w:rFonts w:ascii="Cambria Math" w:hAnsi="Cambria Math" w:cs="Cambria Math"/>
              </w:rPr>
              <w:instrText>‐</w:instrText>
            </w:r>
            <w:r w:rsidR="00FE777A">
              <w:instrText>sectional study, 988 elementary school children were chosen using the multistage cluster sampling method. Data were collected using the SCT scale, and its validity and reliability were confirmed. Theoretical models were examined using the structural equation modeling.\n            \n            \n              Results\n              \n                The SCT explained 50% of the variance in brushing with fluoridated toothpaste and 55.6% of the variance in flossing behaviors. The total effect of family environment (\n                β\n                 = .60,\n                P\n                 &lt; .05), self</w:instrText>
            </w:r>
            <w:r w:rsidR="00FE777A">
              <w:rPr>
                <w:rFonts w:ascii="Cambria Math" w:hAnsi="Cambria Math" w:cs="Cambria Math"/>
              </w:rPr>
              <w:instrText>‐</w:instrText>
            </w:r>
            <w:r w:rsidR="00FE777A">
              <w:instrText>efficacy in overcoming impediments (\n                β\n                 = .50,\n                P\n                 &lt; .05), and emotional coping (\n                β\n                 = .40,\n                P\n                 &lt; .05) variables in the conceptual model had significantly influenced tooth brushing behavior. The total effect of self</w:instrText>
            </w:r>
            <w:r w:rsidR="00FE777A">
              <w:rPr>
                <w:rFonts w:ascii="Cambria Math" w:hAnsi="Cambria Math" w:cs="Cambria Math"/>
              </w:rPr>
              <w:instrText>‐</w:instrText>
            </w:r>
            <w:r w:rsidR="00FE777A">
              <w:instrText>efficacy (\n                β\n                 = .79,\n                P\n                 &lt; .05), family environment (\n                β\n                 = .41,\n                P\n                 &lt; .05), and situational perception (\n                β\n                 = .35,\n                P\n                 &lt; .05) variables of the conceptual model significantly influenced the flossing behavior.\n              \n            \n            \n              Conclusions\n              The SCT, self</w:instrText>
            </w:r>
            <w:r w:rsidR="00FE777A">
              <w:rPr>
                <w:rFonts w:ascii="Cambria Math" w:hAnsi="Cambria Math" w:cs="Cambria Math"/>
              </w:rPr>
              <w:instrText>‐</w:instrText>
            </w:r>
            <w:r w:rsidR="00FE777A">
              <w:instrText>efficacy, and family environment were strongly associated with brushing and flossing behaviors. Therefore, supportive family environments should be considered as one of the top contributors to successful oral health promotion.","citation-key":"bashirianPredictorsOralHealth2021","container-title":"International Journal of Paediatric Dentistry","DOI":"10.1111/ipd.12659","ISSN":"0960-7439, 1365-263X","issue":"2","journalAbbreviation":"Int J Paed Dentistry","language":"en","page":"191-203","source":"DOI.org (Crossref)","title":"Predictors of oral health promotion behaviors among elementary school children: Examination of an extended social cognitive theory","title-short":"Predictors of oral health promotion behaviors among elementary school children","volume":"31","author":[{"family":"Bashirian","given":"Saeed"},{"family":"Seyedzadeh</w:instrText>
            </w:r>
            <w:r w:rsidR="00FE777A">
              <w:rPr>
                <w:rFonts w:ascii="Cambria Math" w:hAnsi="Cambria Math" w:cs="Cambria Math"/>
              </w:rPr>
              <w:instrText>‐</w:instrText>
            </w:r>
            <w:r w:rsidR="00FE777A">
              <w:instrText>Sabounchi","given":"Shabnam"},{"family":"Shirahmadi","given":"Samane"},{"family":"Karimi</w:instrText>
            </w:r>
            <w:r w:rsidR="00FE777A">
              <w:rPr>
                <w:rFonts w:ascii="Cambria Math" w:hAnsi="Cambria Math" w:cs="Cambria Math"/>
              </w:rPr>
              <w:instrText>‐</w:instrText>
            </w:r>
            <w:r w:rsidR="00FE777A">
              <w:instrText xml:space="preserve">Shahanjarini","given":"Akram"},{"family":"Soltanian","given":"Ali Reza"},{"family":"Vahdatinia","given":"Farshid"}],"issued":{"date-parts":[["2021",3]]}}},{"id":558,"uris":["http://zotero.org/users/13599032/items/PBSRAYK4"],"itemData":{"id":558,"type":"article-journal","abstract":"Background/Objectives: Parental attitudes play a crucial role in shaping children’s oral health habits and preventing dental diseases. This study aimed to explore the theoretical pathways through which parental behavior and attitudes toward child oral health can influence the dental caries experience as measured by the dmf-t index in preschool children in Lithuania. Methods: A cross-sectional study was conducted involving 302 children aged 4–7 years and their parents (262 mothers). Parental attitudes were assessed using the Parental Attitudes Towards Child Oral Health (PACOH) scale. For the children, the following variables were considered: sex, age, dental caries experience (dmf-t index in the primary dentition), oral hygiene index (Silness–Löe Plaque Index), toothbrushing frequency, and parental assistance with toothbrushing. Structural Equation Modeling (SEM) was applied for the data analysis. Results: The main path through which parental attitudes towards child oral health influenced the dmf-t index was via toothbrushing frequency (β = −0.17) or parental assistance with toothbrushing (β = 0.24). These factors were then linked to the oral hygiene index (β = 0.20 and β = −0.47, respectively), which ultimately influenced dmf-t (β = 0.52). The parents’ attitudes and toothbrushing frequency per se had no significant effect on children’s dmf-t (β = −0.06 and β = −0.04, respectively). The final model met all goodness-of-fit criteria: Chi-square test p = 0.211, Incremental Fit Index IFI = 0.994, Tucker–Lewis Index TLI = 0.982, Comparative Fit Index CFI = 0.994, and Root Mean Square Error of Approximation RMSEA = 0.038. Conclusions: Findings from this study demonstrate that parents play a significant role in determining children’s oral health. Regular toothbrushing, parental assistance with toothbrushing, and good oral hygiene are critical factors linking parents’ oral health-related attitudes to a child’s experience of early caries. Identifying the associations between dental caries risk factors helps plan interventions.","citation-key":"zaborskisPathwaysParentalAttitudes2025","container-title":"Dentistry Journal","DOI":"10.3390/dj13050205","ISSN":"2304-6767","issue":"5","journalAbbreviation":"Dentistry Journal","language":"en","page":"205","source":"DOI.org (Crossref)","title":"Pathways Between Parental Attitudes and Early Childhood Caries in Preschool Children","volume":"13","author":[{"family":"Zaborskis","given":"Apolinaras"},{"family":"Kavaliauskienė","given":"Aistė"},{"family":"Razmienė","given":"Jaunė"},{"family":"Razmaitė","given":"Augustė"},{"family":"Andruškevičienė","given":"Vilija"},{"family":"Narbutaitė","given":"Julija"},{"family":"Bendoraitienė","given":"Eglė Aida"}],"issued":{"date-parts":[["2025",5,2]]}}}],"schema":"https://github.com/citation-style-language/schema/raw/master/csl-citation.json"} </w:instrText>
            </w:r>
            <w:r>
              <w:fldChar w:fldCharType="separate"/>
            </w:r>
            <w:r w:rsidR="00FE777A" w:rsidRPr="00FE777A">
              <w:rPr>
                <w:rFonts w:ascii="Times New Roman" w:hAnsi="Times New Roman" w:cs="Times New Roman"/>
                <w:szCs w:val="24"/>
                <w:lang w:val="en-US"/>
              </w:rPr>
              <w:t>[27–29]</w:t>
            </w:r>
            <w:r>
              <w:fldChar w:fldCharType="end"/>
            </w:r>
          </w:p>
        </w:tc>
      </w:tr>
      <w:tr w:rsidR="003C36D5" w14:paraId="6566430F" w14:textId="77777777">
        <w:tc>
          <w:tcPr>
            <w:tcW w:w="1031" w:type="dxa"/>
            <w:tcBorders>
              <w:top w:val="nil"/>
              <w:left w:val="nil"/>
              <w:bottom w:val="nil"/>
              <w:right w:val="nil"/>
            </w:tcBorders>
            <w:tcMar>
              <w:top w:w="100" w:type="dxa"/>
              <w:left w:w="100" w:type="dxa"/>
              <w:bottom w:w="100" w:type="dxa"/>
              <w:right w:w="100" w:type="dxa"/>
            </w:tcMar>
          </w:tcPr>
          <w:p w14:paraId="2F7C0F4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C17</w:t>
            </w:r>
          </w:p>
        </w:tc>
        <w:tc>
          <w:tcPr>
            <w:tcW w:w="1547" w:type="dxa"/>
            <w:tcBorders>
              <w:top w:val="nil"/>
              <w:left w:val="nil"/>
              <w:bottom w:val="nil"/>
              <w:right w:val="nil"/>
            </w:tcBorders>
            <w:tcMar>
              <w:top w:w="100" w:type="dxa"/>
              <w:left w:w="100" w:type="dxa"/>
              <w:bottom w:w="100" w:type="dxa"/>
              <w:right w:w="100" w:type="dxa"/>
            </w:tcMar>
          </w:tcPr>
          <w:p w14:paraId="4562627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 constant </w:t>
            </w:r>
            <w:proofErr w:type="spellStart"/>
            <w:r>
              <w:rPr>
                <w:rFonts w:ascii="Times New Roman" w:eastAsia="Times New Roman" w:hAnsi="Times New Roman" w:cs="Times New Roman"/>
                <w:sz w:val="20"/>
                <w:szCs w:val="20"/>
              </w:rPr>
              <w:t>siping</w:t>
            </w:r>
            <w:proofErr w:type="spellEnd"/>
            <w:r>
              <w:rPr>
                <w:rFonts w:ascii="Times New Roman" w:eastAsia="Times New Roman" w:hAnsi="Times New Roman" w:cs="Times New Roman"/>
                <w:sz w:val="20"/>
                <w:szCs w:val="20"/>
              </w:rPr>
              <w:t>/grazing</w:t>
            </w:r>
          </w:p>
        </w:tc>
        <w:tc>
          <w:tcPr>
            <w:tcW w:w="1289" w:type="dxa"/>
            <w:tcBorders>
              <w:top w:val="nil"/>
              <w:left w:val="nil"/>
              <w:bottom w:val="nil"/>
              <w:right w:val="nil"/>
            </w:tcBorders>
            <w:tcMar>
              <w:top w:w="100" w:type="dxa"/>
              <w:left w:w="100" w:type="dxa"/>
              <w:bottom w:w="100" w:type="dxa"/>
              <w:right w:w="100" w:type="dxa"/>
            </w:tcMar>
          </w:tcPr>
          <w:p w14:paraId="6A695DD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MB, NB, NS, NL, QC</w:t>
            </w:r>
          </w:p>
        </w:tc>
        <w:tc>
          <w:tcPr>
            <w:tcW w:w="1289" w:type="dxa"/>
            <w:tcBorders>
              <w:top w:val="nil"/>
              <w:left w:val="nil"/>
              <w:bottom w:val="nil"/>
              <w:right w:val="nil"/>
            </w:tcBorders>
            <w:tcMar>
              <w:top w:w="100" w:type="dxa"/>
              <w:left w:w="100" w:type="dxa"/>
              <w:bottom w:w="100" w:type="dxa"/>
              <w:right w:w="100" w:type="dxa"/>
            </w:tcMar>
          </w:tcPr>
          <w:p w14:paraId="67426B7B"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PEI, NT, NU, YT, GoC</w:t>
            </w:r>
          </w:p>
        </w:tc>
        <w:tc>
          <w:tcPr>
            <w:tcW w:w="1289" w:type="dxa"/>
            <w:tcBorders>
              <w:top w:val="nil"/>
              <w:left w:val="nil"/>
              <w:bottom w:val="nil"/>
              <w:right w:val="nil"/>
            </w:tcBorders>
            <w:tcMar>
              <w:top w:w="100" w:type="dxa"/>
              <w:left w:w="100" w:type="dxa"/>
              <w:bottom w:w="100" w:type="dxa"/>
              <w:right w:w="100" w:type="dxa"/>
            </w:tcMar>
          </w:tcPr>
          <w:p w14:paraId="7A222E1D"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289" w:type="dxa"/>
            <w:tcBorders>
              <w:top w:val="nil"/>
              <w:left w:val="nil"/>
              <w:bottom w:val="nil"/>
              <w:right w:val="nil"/>
            </w:tcBorders>
            <w:tcMar>
              <w:top w:w="100" w:type="dxa"/>
              <w:left w:w="100" w:type="dxa"/>
              <w:bottom w:w="100" w:type="dxa"/>
              <w:right w:w="100" w:type="dxa"/>
            </w:tcMar>
          </w:tcPr>
          <w:p w14:paraId="0C5005F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7501E976" w14:textId="37E3AD24"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w8xkeXxE","properties":{"unsorted":false,"formattedCitation":"[30\\uc0\\u8211{}32]","plainCitation":"[30–32]","noteIndex":0},"citationItems":[{"id":536,"uris":["http://zotero.org/users/13599032/items/9L2JSY7W"],"itemData":{"id":536,"type":"article-journal","abstract":"OBJECTIVE: To describe the epidemiology of injuries related to bottles, pacifiers, and sippy cups among young children in the United States.\nMETHODS: A retrospective analysis was conducted by using data from the National Electronic Injury Surveillance System for children &lt;3 years of age treated in emergency departments (1991-2010) for an injury associated with a bottle, pacifier, or sippy cup.\nRESULTS: An estimated 45398 (95% confidence interval: 38 770-52 026) children aged &lt;3 years were treated in emergency departments for injuries related to these products during the study period, an average of 2270 cases per year. Most injuries involved bottles (65.8%), followed by pacifiers (19.9%) and sippy cups (14.3%). The most common mechanism was a fall while using the product (86.1% of injuries). Lacerations comprised the most common diagnosis (70.4%), and the most frequently injured body region was the mouth (71.0%). One-year-old children were injured most often. Children who were aged 1 or 2 years were nearly 2.99 times (95% confidence interval: 2.07-4.33) more likely to sustain a laceration compared with any other diagnosis. Product malfunctions were relatively uncommon (4.4% of cases).\nCONCLUSIONS: This study is the first to use a nationally representative sample to examine injuries associated with these products. Given the number of injuries, particularly those associated with falls while using the product, greater efforts are needed to promote proper usage, ensure safety in product design, and increase awareness of American Academy of Pediatrics' recommendations for transitioning to a cup and discontinuing pacifier use.","citation-key":"keimInjuriesAssociatedBottles2012","container-title":"Pediatrics","DOI":"10.1542/peds.2011-3348","ISSN":"1098-4275","issue":"6","journalAbbreviation":"Pediatrics","language":"eng","page":"1104-1110","PMID":"22585773","source":"PubMed","title":"Injuries associated with bottles, pacifiers, and sippy cups in the United States, 1991-2010","volume":"129","author":[{"family":"Keim","given":"Sarah A."},{"family":"Fletcher","given":"Erica N."},{"family":"TePoel","given":"Megan R. W."},{"family":"McKenzie","given":"Lara B."}],"issued":{"date-parts":[["2012",6]]}}},{"id":566,"uris":["http://zotero.org/users/13599032/items/TTF97VVK"],"itemData":{"id":566,"type":"article-journal","abstract":"Objective\n              To inform drinking water guidance and intervention, this randomized controlled trial tested the hypothesis that a standard serving of drinking water would normalize saliva insulin and improve caries risk factors to a greater extent, within 60 min, than no beverage or a standard serving of apple juice.\n            \n            \n              Methods\n              After baseline saliva collection, 105 healthy children (5–10y), attending routine dental check-ups, were randomly assigned to receive 500 mL water, 200 mL apple juice, or no drink. Simple unblinded randomization was stratified by age-and-sex-specific BMI percentile (5–85th or &amp;gt;85th). Follow-up saliva was collected at 45–60 min and classified with respect to insulin&amp;lt;170 pg/mL, pH &amp;gt; 7.0, buffering&amp;gt;5.0, osmolality&amp;lt;70 mmol/kg, amylase&amp;lt;60 μ/mL, IgG &amp;gt; 10 μg/mL, IgA &amp;lt; 112 μg/mL, and the sum of protective factors. In intention-to-treat analyses, quantile regression models tested for drinking water effects on median oral health factors and logistic regression models tested for greater relative odds of normalized saliva insulin and protective factors after drinking water.\n            \n            \n              Results\n              \n                Drinking water instead of apple juice resulted in a significantly lower median saliva insulin (172 vs. 364 pg/mL), 10 times greater relative odds of saliva insulin below 170 pg/mL (OR = 10.84, 95%CI: 3.86–30.49,\n                p\n                 &amp;lt; 0.001), and 5 times greater relative odds of 4 to 7 co-occurring saliva factors that protect against tooth decay (OR = 4.98, 95%CI: 1.42–17.48,\n                p\n                 &amp;lt; 0.012). Drinking water instead of apple juice significantly increased the relative odds of pH &amp;gt; 7.0, buffering capacity&amp;gt;5.0, alpha-amylase&amp;lt;60 u/mL, and IgG &amp;gt; 10 μg/mL. Drinking water instead of no drink resulted in significantly lower median saliva insulin (172 vs. 266 pg/mL), significantly greater odds of saliva osmolality &amp;lt;70 mmol/kg, IgA &amp;lt; 112 μg/mL, and 4 to 7 co-occurring protective factors (OR = 4.63, 95%CI: 2.90–7.34,\n                p\n                 &amp;lt; 0.001).\n              \n            \n            \n              Conclusion\n              Drinking water instead of apple juice or no drink significantly improved 4 to 7 caries risk factors, simultaneously, within 60 min. The results warrant drinking water intervention to promote oral health.","citation-key":"choleraDrinkingWaterInstead2025","container-title":"Frontiers in Nutrition","DOI":"10.3389/fnut.2025.1561771","ISSN":"2296-861X","journalAbbreviation":"Front. Nutr.","page":"1561771","source":"DOI.org (Crossref)","title":"Drinking water instead of apple juice or no drink results in greater odds of 4 to 7 co-occurring protective oral health factors within the hour","volume":"12","author":[{"family":"Cholera","given":"Mimansa"},{"family":"Cape","given":"Rowena"},{"family":"Tanbonliong","given":"Thomas"},{"family":"Stookey","given":"Jodi D."}],"issued":{"date-parts":[["2025",6,10]]}}},{"id":435,"uris":["http://zotero.org/users/13599032/items/YML765M2"],"itemData":{"id":435,"type":"article-journal","abstract":"Introduction\n              . Diet is a major aetiological factor for dental caries and enamel erosion. This study was undertaken with the aim of assessing the effect of selected locally available beverages on salivary pH, flow rate, and oral clearance rate amongst adults.\n              Materials and Method\n              . This clinical trial comprised 120 subjects. Test beverages undertaken were pepsi, fruit drink, coffee, and sweetened milk. Statistical analysis was carried out using SPSS version 17. Descriptive statistics, one-way ANOVA, and post hoc Tukey’s test were applied in the statistical tests.\n              Results\n              . It was found that salivary pH decreased for all the beverages immediately after consumption and the salivary flow rate increased after their consumption. The oral clearance rate of sweetened milk was found to be the least at 6.5 minutes and that of pepsi was found to be 13 minutes. However, the oral clearance rates of fruit drink and coffee were found to be equal at 15 minutes.\n              Conclusion\n              . Although it was found out that liquids cleared rapidly from the oral cavity, they had a significant cariogenic and erosive potential. Hence, it is always advised to minimise the consumption of beverages, especially amongst children and young adults to maintain a good oral health.","citation-key":"hansEffectVariousSugary2016","container-title":"Scientifica","DOI":"10.1155/2016/5027283","ISSN":"2090-908X","journalAbbreviation":"Scientifica","language":"en","license":"http://creativecommons.org/licenses/by/4.0/","page":"1-6","source":"DOI.org (Crossref)","title":"Effect of Various Sugary Beverages on Salivary pH, Flow Rate, and Oral Clearance Rate amongst Adults","volume":"2016","author":[{"family":"Hans","given":"Rinki"},{"family":"Thomas","given":"Susan"},{"family":"Garla","given":"Bharat"},{"family":"Dagli","given":"Rushabh J."},{"family":"Hans","given":"Manoj Kumar"}],"issued":{"date-parts":[["2016"]]}}}],"schema":"https://github.com/citation-style-language/schema/raw/master/csl-citation.json"} </w:instrText>
            </w:r>
            <w:r>
              <w:fldChar w:fldCharType="separate"/>
            </w:r>
            <w:r w:rsidR="00FE777A" w:rsidRPr="00FE777A">
              <w:rPr>
                <w:szCs w:val="24"/>
                <w:lang w:val="en-US"/>
              </w:rPr>
              <w:t>[30–32]</w:t>
            </w:r>
            <w:r>
              <w:fldChar w:fldCharType="end"/>
            </w:r>
          </w:p>
        </w:tc>
      </w:tr>
      <w:tr w:rsidR="003C36D5" w14:paraId="467D7987" w14:textId="77777777">
        <w:tc>
          <w:tcPr>
            <w:tcW w:w="1031" w:type="dxa"/>
            <w:tcBorders>
              <w:top w:val="nil"/>
              <w:left w:val="nil"/>
              <w:bottom w:val="nil"/>
              <w:right w:val="nil"/>
            </w:tcBorders>
            <w:tcMar>
              <w:top w:w="100" w:type="dxa"/>
              <w:left w:w="100" w:type="dxa"/>
              <w:bottom w:w="100" w:type="dxa"/>
              <w:right w:w="100" w:type="dxa"/>
            </w:tcMar>
          </w:tcPr>
          <w:p w14:paraId="1F27859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C18</w:t>
            </w:r>
          </w:p>
        </w:tc>
        <w:tc>
          <w:tcPr>
            <w:tcW w:w="1547" w:type="dxa"/>
            <w:tcBorders>
              <w:top w:val="nil"/>
              <w:left w:val="nil"/>
              <w:bottom w:val="nil"/>
              <w:right w:val="nil"/>
            </w:tcBorders>
            <w:tcMar>
              <w:top w:w="100" w:type="dxa"/>
              <w:left w:w="100" w:type="dxa"/>
              <w:bottom w:w="100" w:type="dxa"/>
              <w:right w:w="100" w:type="dxa"/>
            </w:tcMar>
          </w:tcPr>
          <w:p w14:paraId="4A3BF3D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Hold baby during feeding</w:t>
            </w:r>
          </w:p>
        </w:tc>
        <w:tc>
          <w:tcPr>
            <w:tcW w:w="1289" w:type="dxa"/>
            <w:tcBorders>
              <w:top w:val="nil"/>
              <w:left w:val="nil"/>
              <w:bottom w:val="nil"/>
              <w:right w:val="nil"/>
            </w:tcBorders>
            <w:tcMar>
              <w:top w:w="100" w:type="dxa"/>
              <w:left w:w="100" w:type="dxa"/>
              <w:bottom w:w="100" w:type="dxa"/>
              <w:right w:w="100" w:type="dxa"/>
            </w:tcMar>
          </w:tcPr>
          <w:p w14:paraId="7905D1EC"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MB, NB, NS, YT</w:t>
            </w:r>
          </w:p>
        </w:tc>
        <w:tc>
          <w:tcPr>
            <w:tcW w:w="1289" w:type="dxa"/>
            <w:tcBorders>
              <w:top w:val="nil"/>
              <w:left w:val="nil"/>
              <w:bottom w:val="nil"/>
              <w:right w:val="nil"/>
            </w:tcBorders>
            <w:tcMar>
              <w:top w:w="100" w:type="dxa"/>
              <w:left w:w="100" w:type="dxa"/>
              <w:bottom w:w="100" w:type="dxa"/>
              <w:right w:w="100" w:type="dxa"/>
            </w:tcMar>
          </w:tcPr>
          <w:p w14:paraId="6F5336A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NL, PEI, QC, NT, NU, GoC</w:t>
            </w:r>
          </w:p>
        </w:tc>
        <w:tc>
          <w:tcPr>
            <w:tcW w:w="1289" w:type="dxa"/>
            <w:tcBorders>
              <w:top w:val="nil"/>
              <w:left w:val="nil"/>
              <w:bottom w:val="nil"/>
              <w:right w:val="nil"/>
            </w:tcBorders>
            <w:tcMar>
              <w:top w:w="100" w:type="dxa"/>
              <w:left w:w="100" w:type="dxa"/>
              <w:bottom w:w="100" w:type="dxa"/>
              <w:right w:w="100" w:type="dxa"/>
            </w:tcMar>
          </w:tcPr>
          <w:p w14:paraId="6663ADE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89" w:type="dxa"/>
            <w:tcBorders>
              <w:top w:val="nil"/>
              <w:left w:val="nil"/>
              <w:bottom w:val="nil"/>
              <w:right w:val="nil"/>
            </w:tcBorders>
            <w:tcMar>
              <w:top w:w="100" w:type="dxa"/>
              <w:left w:w="100" w:type="dxa"/>
              <w:bottom w:w="100" w:type="dxa"/>
              <w:right w:w="100" w:type="dxa"/>
            </w:tcMar>
          </w:tcPr>
          <w:p w14:paraId="19137B05"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1B632B36" w14:textId="6F155E9B"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{"citationID":"DJBdvV9A","properties":{"unsorted":false,"formattedCitation":"[33,34]","plainCitation":"[33,34]","noteIndex":0},"citationItems":[{"id":599,"uris":["http://zotero.org/users/13599032/items/V6IZPRGT"],"itemData":{"id":599,"type":"article-journal","abstract":"The prevalence of bottle propping (permitting an infant to drink from a bottle unattended) and the determinants of this practice at 1 week and 4 months of life were studied in a selected sample of urban women in Hermosillo, Mexico. The sample (n = 165) consisted of mothers planning to breast-feed who gave birth to healthy infants at one of two public hospitals. Data were obtained by interviewing women shortly before they were discharged from the hospital and at about 1 week and 4 months postpartum. Among those mothers giving liquid breast milk substitutes to their infants, the percentage practicing bottle propping increased from 27% at 1 week (n = 20/74) to 67% at 4 months (n = 87/130). Women who practiced bottle propping at 1 week were significantly more likely to continue this practice at 4 months. Bottle propping was significantly more common, both at 1 week and 4 months, among women who had completely weaned their infants than among those who were still combining breast and formula feeding. Multivariate logistic regression indicated that 1-week risk factors for bottle propping were low socioeconomic status, being a multiparous single mother, and being a young mother (&lt; or = 18 years old) with a female infant, while 4-month risk factors were complete weaning, delivery in a \"nursery\" (versus a \"rooming-in\") hospital, and lack of support by the mother's partner for breast-feeding. While the possible health risks associated with early bottle propping have not been well defined, the extent of the practice observed in this study suggests that such risks deserve further investigation.","citation-key":"perez-escamillaInfantBottlePropping1995","container-title":"Bulletin of the Pan American Health Organization","ISSN":"0085-4638","issue":"2","journalAbbreviation":"Bull Pan Am Health Organ","language":"eng","page":"138-146","PMID":"7640692","source":"PubMed","title":"Infant bottle propping among a low-income urban population in Mexico","volume":"29","author":[{"family":"Pérez-Escamilla","given":"R."},{"family":"Segura-Millán","given":"S."},{"family":"Dewey","given":"K. G."}],"issued":{"date-parts":[["1995",6]]}},"locator":"50","label":"page"},{"id":601,"uris":["http://zotero.org/users/13599032/items/33ZXVW2S"],"itemData":{"id":601,"type":"webpage","citation-key":"50YearsAgo","title":"50 Years Ago in The Journal of Pediatrics - The Journal of Pediatrics","URL":"https://www.jpeds.com/article/S0022-3476(21)00419-4/fulltext","accessed":{"date-parts":[["2026",8,1]]}}}],"schema":"https://github.com/citation-style-language/schema/raw/master/csl-citation.json"} </w:instrText>
            </w:r>
            <w:r>
              <w:fldChar w:fldCharType="separate"/>
            </w:r>
            <w:r w:rsidR="00FE777A">
              <w:t>[33,34]</w:t>
            </w:r>
            <w:r>
              <w:fldChar w:fldCharType="end"/>
            </w:r>
          </w:p>
        </w:tc>
      </w:tr>
      <w:tr w:rsidR="003C36D5" w14:paraId="7987A7DE" w14:textId="77777777">
        <w:tc>
          <w:tcPr>
            <w:tcW w:w="1031" w:type="dxa"/>
            <w:tcBorders>
              <w:top w:val="nil"/>
              <w:left w:val="nil"/>
              <w:bottom w:val="nil"/>
              <w:right w:val="nil"/>
            </w:tcBorders>
            <w:tcMar>
              <w:top w:w="100" w:type="dxa"/>
              <w:left w:w="100" w:type="dxa"/>
              <w:bottom w:w="100" w:type="dxa"/>
              <w:right w:w="100" w:type="dxa"/>
            </w:tcMar>
          </w:tcPr>
          <w:p w14:paraId="56AC11C0" w14:textId="77777777" w:rsidR="003C36D5" w:rsidRDefault="0000000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C19</w:t>
            </w:r>
          </w:p>
        </w:tc>
        <w:tc>
          <w:tcPr>
            <w:tcW w:w="1547" w:type="dxa"/>
            <w:tcBorders>
              <w:top w:val="nil"/>
              <w:left w:val="nil"/>
              <w:bottom w:val="nil"/>
              <w:right w:val="nil"/>
            </w:tcBorders>
            <w:tcMar>
              <w:top w:w="100" w:type="dxa"/>
              <w:left w:w="100" w:type="dxa"/>
              <w:bottom w:w="100" w:type="dxa"/>
              <w:right w:w="100" w:type="dxa"/>
            </w:tcMar>
          </w:tcPr>
          <w:p w14:paraId="2231C732"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No-fluoride brushing for under 3 not at risk of tooth decay</w:t>
            </w:r>
          </w:p>
        </w:tc>
        <w:tc>
          <w:tcPr>
            <w:tcW w:w="1289" w:type="dxa"/>
            <w:tcBorders>
              <w:top w:val="nil"/>
              <w:left w:val="nil"/>
              <w:bottom w:val="nil"/>
              <w:right w:val="nil"/>
            </w:tcBorders>
            <w:tcMar>
              <w:top w:w="100" w:type="dxa"/>
              <w:left w:w="100" w:type="dxa"/>
              <w:bottom w:w="100" w:type="dxa"/>
              <w:right w:w="100" w:type="dxa"/>
            </w:tcMar>
          </w:tcPr>
          <w:p w14:paraId="6AB397D6"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MB, NB, NS, NT</w:t>
            </w:r>
          </w:p>
        </w:tc>
        <w:tc>
          <w:tcPr>
            <w:tcW w:w="1289" w:type="dxa"/>
            <w:tcBorders>
              <w:top w:val="nil"/>
              <w:left w:val="nil"/>
              <w:bottom w:val="nil"/>
              <w:right w:val="nil"/>
            </w:tcBorders>
            <w:tcMar>
              <w:top w:w="100" w:type="dxa"/>
              <w:left w:w="100" w:type="dxa"/>
              <w:bottom w:w="100" w:type="dxa"/>
              <w:right w:w="100" w:type="dxa"/>
            </w:tcMar>
          </w:tcPr>
          <w:p w14:paraId="06D4E24F"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NL, PEI, QC, NU, YT, GoC</w:t>
            </w:r>
          </w:p>
        </w:tc>
        <w:tc>
          <w:tcPr>
            <w:tcW w:w="1289" w:type="dxa"/>
            <w:tcBorders>
              <w:top w:val="nil"/>
              <w:left w:val="nil"/>
              <w:bottom w:val="nil"/>
              <w:right w:val="nil"/>
            </w:tcBorders>
            <w:tcMar>
              <w:top w:w="100" w:type="dxa"/>
              <w:left w:w="100" w:type="dxa"/>
              <w:bottom w:w="100" w:type="dxa"/>
              <w:right w:w="100" w:type="dxa"/>
            </w:tcMar>
          </w:tcPr>
          <w:p w14:paraId="2FFAA3F4"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89" w:type="dxa"/>
            <w:tcBorders>
              <w:top w:val="nil"/>
              <w:left w:val="nil"/>
              <w:bottom w:val="nil"/>
              <w:right w:val="nil"/>
            </w:tcBorders>
            <w:tcMar>
              <w:top w:w="100" w:type="dxa"/>
              <w:left w:w="100" w:type="dxa"/>
              <w:bottom w:w="100" w:type="dxa"/>
              <w:right w:w="100" w:type="dxa"/>
            </w:tcMar>
          </w:tcPr>
          <w:p w14:paraId="3D708468"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Very Low</w:t>
            </w:r>
          </w:p>
        </w:tc>
        <w:tc>
          <w:tcPr>
            <w:tcW w:w="1289" w:type="dxa"/>
            <w:tcBorders>
              <w:top w:val="nil"/>
              <w:left w:val="nil"/>
              <w:bottom w:val="nil"/>
              <w:right w:val="nil"/>
            </w:tcBorders>
            <w:tcMar>
              <w:top w:w="100" w:type="dxa"/>
              <w:left w:w="100" w:type="dxa"/>
              <w:bottom w:w="100" w:type="dxa"/>
              <w:right w:w="100" w:type="dxa"/>
            </w:tcMar>
          </w:tcPr>
          <w:p w14:paraId="20946F89" w14:textId="581D8209" w:rsidR="003C36D5" w:rsidRDefault="00000000">
            <w:pPr>
              <w:widowControl w:val="0"/>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eZUlZepG","properties":{"unsorted":false,"formattedCitation":"[35,36]","plainCitation":"[35,36]","noteIndex":0},"citationItems":[{"id":559,"uris":["http://zotero.org/users/13599032/items/IFCSHTI4"],"itemData":{"id":559,"type":"article-journal","abstract":"Abstract\n            \n              Aim\n              To evaluate the difference in plaque score reduction achieved by 1 and 2 min of toothbrushing, based on data from single brushing exercises.\n            \n            \n              Methods\n              MEDLINE</w:instrText>
            </w:r>
            <w:r w:rsidR="00FE777A">
              <w:rPr>
                <w:rFonts w:ascii="Cambria Math" w:hAnsi="Cambria Math" w:cs="Cambria Math"/>
              </w:rPr>
              <w:instrText>‐</w:instrText>
            </w:r>
            <w:r w:rsidR="00FE777A">
              <w:instrText>PubMed, Cochrane</w:instrText>
            </w:r>
            <w:r w:rsidR="00FE777A">
              <w:rPr>
                <w:rFonts w:ascii="Cambria Math" w:hAnsi="Cambria Math" w:cs="Cambria Math"/>
              </w:rPr>
              <w:instrText>‐</w:instrText>
            </w:r>
            <w:r w:rsidR="00FE777A">
              <w:instrText>CENTRAL databases and the first five pages of Google Scholar were searched for randomised controlled trials. Extracted data were summarised in a descriptive and, if possible, a meta</w:instrText>
            </w:r>
            <w:r w:rsidR="00FE777A">
              <w:rPr>
                <w:rFonts w:ascii="Cambria Math" w:hAnsi="Cambria Math" w:cs="Cambria Math"/>
              </w:rPr>
              <w:instrText>‐</w:instrText>
            </w:r>
            <w:r w:rsidR="00FE777A">
              <w:instrText>analysis using standardised mean difference (SMD). Separate analyses were performed for manual (MTB) and powered (PTB) toothbrushes.\n            \n            \n              Results\n              \n                Based on the selection criteria, the search identified five unique eligible publications providing 16 comparisons. For both toothbrush types, 2 min of brushing resulted in a significantly higher plaque score reduction. The SMD of 1 versus 2 min of brushing using MTB was 0.69 [95% CI: 0.06, 1.33] (\n                p\n                 = 0.03) can be interpreted as a medium size effect and the SMD of using a PTB was 0.47 [95% CI: 0.28, 0.66], (\n                p\n                 &lt; 0.00001) interpreted as a small size effect.\n              \n            \n            \n              Conclusion\n              With respect to plaque scores, based on single brushing exercises, there is moderate certainty for the recommendation to brush for 2 min over 1 min.","citation-key":"seuntjensPlaqueScores12025","container-title":"International Journal of Dental Hygiene","DOI":"10.1111/idh.12840","ISSN":"1601-5029, 1601-5037","issue":"3","journalAbbreviation":"Int J Dental Hygiene","language":"en","page":"614-624","source":"DOI.org (Crossref)","title":"Plaque scores after 1 or 2 minutes of toothbrushing A systematic review and meta</w:instrText>
            </w:r>
            <w:r w:rsidR="00FE777A">
              <w:rPr>
                <w:rFonts w:ascii="Cambria Math" w:hAnsi="Cambria Math" w:cs="Cambria Math"/>
              </w:rPr>
              <w:instrText>‐</w:instrText>
            </w:r>
            <w:r w:rsidR="00FE777A">
              <w:instrText xml:space="preserve">analysis","volume":"23","author":[{"family":"Seuntjens","given":"Marion T."},{"family":"Thomassen","given":"Tim M. J. A."},{"family":"Van Der Weijden","given":"Fridus (G. A.)"},{"family":"Slot","given":"Dagmar Else"}],"issued":{"date-parts":[["2025",8]]}}},{"id":406,"uris":["http://zotero.org/users/13599032/items/SI5D47S6"],"itemData":{"id":406,"type":"article-journal","citation-key":"yaacobPoweredManualToothbrushing2014","container-title":"Cochrane Database of Systematic Reviews","DOI":"10.1002/14651858.CD002281.pub3","ISSN":"14651858","issue":"6","language":"en","source":"DOI.org (Crossref)","title":"Powered versus manual toothbrushing for oral health","URL":"http://doi.wiley.com/10.1002/14651858.CD002281.pub3","volume":"2014","author":[{"family":"Yaacob","given":"Munirah"},{"family":"Worthington","given":"Helen V"},{"family":"Deacon","given":"Scott A"},{"family":"Deery","given":"Chris"},{"family":"Walmsley","given":"A Damien"},{"family":"Robinson","given":"Peter G"},{"family":"Glenny","given":"Anne-Marie"}],"editor":[{"literal":"Cochrane Oral Health Group"}],"accessed":{"date-parts":[["2026",8,1]]},"issued":{"date-parts":[["2014",6,17]]}}}],"schema":"https://github.com/citation-style-language/schema/raw/master/csl-citation.json"} </w:instrText>
            </w:r>
            <w:r>
              <w:fldChar w:fldCharType="separate"/>
            </w:r>
            <w:r w:rsidR="00FE777A">
              <w:t>[35,36]</w:t>
            </w:r>
            <w:r>
              <w:fldChar w:fldCharType="end"/>
            </w:r>
          </w:p>
        </w:tc>
      </w:tr>
      <w:tr w:rsidR="003C36D5" w14:paraId="5D5260E7" w14:textId="77777777">
        <w:tc>
          <w:tcPr>
            <w:tcW w:w="1031" w:type="dxa"/>
            <w:tcBorders>
              <w:top w:val="nil"/>
              <w:left w:val="nil"/>
              <w:bottom w:val="nil"/>
              <w:right w:val="nil"/>
            </w:tcBorders>
            <w:tcMar>
              <w:top w:w="100" w:type="dxa"/>
              <w:left w:w="100" w:type="dxa"/>
              <w:bottom w:w="100" w:type="dxa"/>
              <w:right w:w="100" w:type="dxa"/>
            </w:tcMar>
          </w:tcPr>
          <w:p w14:paraId="643FEC54" w14:textId="77777777" w:rsidR="003C36D5" w:rsidRDefault="0000000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C20</w:t>
            </w:r>
          </w:p>
        </w:tc>
        <w:tc>
          <w:tcPr>
            <w:tcW w:w="1547" w:type="dxa"/>
            <w:tcBorders>
              <w:top w:val="nil"/>
              <w:left w:val="nil"/>
              <w:bottom w:val="nil"/>
              <w:right w:val="nil"/>
            </w:tcBorders>
            <w:tcMar>
              <w:top w:w="100" w:type="dxa"/>
              <w:left w:w="100" w:type="dxa"/>
              <w:bottom w:w="100" w:type="dxa"/>
              <w:right w:w="100" w:type="dxa"/>
            </w:tcMar>
          </w:tcPr>
          <w:p w14:paraId="035A35F3"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Keep toothpaste out of reach</w:t>
            </w:r>
          </w:p>
        </w:tc>
        <w:tc>
          <w:tcPr>
            <w:tcW w:w="1289" w:type="dxa"/>
            <w:tcBorders>
              <w:top w:val="nil"/>
              <w:left w:val="nil"/>
              <w:bottom w:val="nil"/>
              <w:right w:val="nil"/>
            </w:tcBorders>
            <w:tcMar>
              <w:top w:w="100" w:type="dxa"/>
              <w:left w:w="100" w:type="dxa"/>
              <w:bottom w:w="100" w:type="dxa"/>
              <w:right w:w="100" w:type="dxa"/>
            </w:tcMar>
          </w:tcPr>
          <w:p w14:paraId="36D4602D"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MB, NB, NS</w:t>
            </w:r>
          </w:p>
        </w:tc>
        <w:tc>
          <w:tcPr>
            <w:tcW w:w="1289" w:type="dxa"/>
            <w:tcBorders>
              <w:top w:val="nil"/>
              <w:left w:val="nil"/>
              <w:bottom w:val="nil"/>
              <w:right w:val="nil"/>
            </w:tcBorders>
            <w:tcMar>
              <w:top w:w="100" w:type="dxa"/>
              <w:left w:w="100" w:type="dxa"/>
              <w:bottom w:w="100" w:type="dxa"/>
              <w:right w:w="100" w:type="dxa"/>
            </w:tcMar>
          </w:tcPr>
          <w:p w14:paraId="0C7A8155"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BC, NL, PEI, QC, NT, NU, YT, GoC</w:t>
            </w:r>
          </w:p>
        </w:tc>
        <w:tc>
          <w:tcPr>
            <w:tcW w:w="1289" w:type="dxa"/>
            <w:tcBorders>
              <w:top w:val="nil"/>
              <w:left w:val="nil"/>
              <w:bottom w:val="nil"/>
              <w:right w:val="nil"/>
            </w:tcBorders>
            <w:tcMar>
              <w:top w:w="100" w:type="dxa"/>
              <w:left w:w="100" w:type="dxa"/>
              <w:bottom w:w="100" w:type="dxa"/>
              <w:right w:w="100" w:type="dxa"/>
            </w:tcMar>
          </w:tcPr>
          <w:p w14:paraId="52C04B55"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89" w:type="dxa"/>
            <w:tcBorders>
              <w:top w:val="nil"/>
              <w:left w:val="nil"/>
              <w:bottom w:val="nil"/>
              <w:right w:val="nil"/>
            </w:tcBorders>
            <w:tcMar>
              <w:top w:w="100" w:type="dxa"/>
              <w:left w:w="100" w:type="dxa"/>
              <w:bottom w:w="100" w:type="dxa"/>
              <w:right w:w="100" w:type="dxa"/>
            </w:tcMar>
          </w:tcPr>
          <w:p w14:paraId="3616D139"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Very Low</w:t>
            </w:r>
          </w:p>
        </w:tc>
        <w:tc>
          <w:tcPr>
            <w:tcW w:w="1289" w:type="dxa"/>
            <w:tcBorders>
              <w:top w:val="nil"/>
              <w:left w:val="nil"/>
              <w:bottom w:val="nil"/>
              <w:right w:val="nil"/>
            </w:tcBorders>
            <w:tcMar>
              <w:top w:w="100" w:type="dxa"/>
              <w:left w:w="100" w:type="dxa"/>
              <w:bottom w:w="100" w:type="dxa"/>
              <w:right w:w="100" w:type="dxa"/>
            </w:tcMar>
          </w:tcPr>
          <w:p w14:paraId="24654D47"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Consensus; no outcome study identified</w:t>
            </w:r>
          </w:p>
        </w:tc>
      </w:tr>
      <w:tr w:rsidR="003C36D5" w14:paraId="7615BEEF" w14:textId="77777777">
        <w:tc>
          <w:tcPr>
            <w:tcW w:w="1031" w:type="dxa"/>
            <w:tcBorders>
              <w:top w:val="nil"/>
              <w:left w:val="nil"/>
              <w:bottom w:val="nil"/>
              <w:right w:val="nil"/>
            </w:tcBorders>
            <w:tcMar>
              <w:top w:w="100" w:type="dxa"/>
              <w:left w:w="100" w:type="dxa"/>
              <w:bottom w:w="100" w:type="dxa"/>
              <w:right w:w="100" w:type="dxa"/>
            </w:tcMar>
          </w:tcPr>
          <w:p w14:paraId="3C5C5C07" w14:textId="77777777" w:rsidR="003C36D5" w:rsidRDefault="0000000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C21</w:t>
            </w:r>
          </w:p>
        </w:tc>
        <w:tc>
          <w:tcPr>
            <w:tcW w:w="1547" w:type="dxa"/>
            <w:tcBorders>
              <w:top w:val="nil"/>
              <w:left w:val="nil"/>
              <w:bottom w:val="nil"/>
              <w:right w:val="nil"/>
            </w:tcBorders>
            <w:tcMar>
              <w:top w:w="100" w:type="dxa"/>
              <w:left w:w="100" w:type="dxa"/>
              <w:bottom w:w="100" w:type="dxa"/>
              <w:right w:w="100" w:type="dxa"/>
            </w:tcMar>
          </w:tcPr>
          <w:p w14:paraId="3E4357C7"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Breastfeeding supports jaw development</w:t>
            </w:r>
          </w:p>
        </w:tc>
        <w:tc>
          <w:tcPr>
            <w:tcW w:w="1289" w:type="dxa"/>
            <w:tcBorders>
              <w:top w:val="nil"/>
              <w:left w:val="nil"/>
              <w:bottom w:val="nil"/>
              <w:right w:val="nil"/>
            </w:tcBorders>
            <w:tcMar>
              <w:top w:w="100" w:type="dxa"/>
              <w:left w:w="100" w:type="dxa"/>
              <w:bottom w:w="100" w:type="dxa"/>
              <w:right w:w="100" w:type="dxa"/>
            </w:tcMar>
          </w:tcPr>
          <w:p w14:paraId="388B41F6"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MB, NU</w:t>
            </w:r>
          </w:p>
        </w:tc>
        <w:tc>
          <w:tcPr>
            <w:tcW w:w="1289" w:type="dxa"/>
            <w:tcBorders>
              <w:top w:val="nil"/>
              <w:left w:val="nil"/>
              <w:bottom w:val="nil"/>
              <w:right w:val="nil"/>
            </w:tcBorders>
            <w:tcMar>
              <w:top w:w="100" w:type="dxa"/>
              <w:left w:w="100" w:type="dxa"/>
              <w:bottom w:w="100" w:type="dxa"/>
              <w:right w:w="100" w:type="dxa"/>
            </w:tcMar>
          </w:tcPr>
          <w:p w14:paraId="516E5DF2" w14:textId="77777777" w:rsidR="003C36D5" w:rsidRDefault="00000000">
            <w:pPr>
              <w:widowControl w:val="0"/>
              <w:spacing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AB,  BC,  NB,  NS</w:t>
            </w:r>
            <w:proofErr w:type="gramEnd"/>
            <w:r>
              <w:rPr>
                <w:rFonts w:ascii="Times New Roman" w:eastAsia="Times New Roman" w:hAnsi="Times New Roman" w:cs="Times New Roman"/>
                <w:sz w:val="20"/>
                <w:szCs w:val="20"/>
              </w:rPr>
              <w:t>, NL, PEI, QC, NT, YT, GoC</w:t>
            </w:r>
          </w:p>
        </w:tc>
        <w:tc>
          <w:tcPr>
            <w:tcW w:w="1289" w:type="dxa"/>
            <w:tcBorders>
              <w:top w:val="nil"/>
              <w:left w:val="nil"/>
              <w:bottom w:val="nil"/>
              <w:right w:val="nil"/>
            </w:tcBorders>
            <w:tcMar>
              <w:top w:w="100" w:type="dxa"/>
              <w:left w:w="100" w:type="dxa"/>
              <w:bottom w:w="100" w:type="dxa"/>
              <w:right w:w="100" w:type="dxa"/>
            </w:tcMar>
          </w:tcPr>
          <w:p w14:paraId="1216F61E"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89" w:type="dxa"/>
            <w:tcBorders>
              <w:top w:val="nil"/>
              <w:left w:val="nil"/>
              <w:bottom w:val="nil"/>
              <w:right w:val="nil"/>
            </w:tcBorders>
            <w:tcMar>
              <w:top w:w="100" w:type="dxa"/>
              <w:left w:w="100" w:type="dxa"/>
              <w:bottom w:w="100" w:type="dxa"/>
              <w:right w:w="100" w:type="dxa"/>
            </w:tcMar>
          </w:tcPr>
          <w:p w14:paraId="15EC9147"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2F8E02FF" w14:textId="22E64C8F" w:rsidR="003C36D5" w:rsidRDefault="00000000">
            <w:pPr>
              <w:widowControl w:val="0"/>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{"citationID":"HPn7n3yj","properties":{"unsorted":false,"formattedCitation":"[37]","plainCitation":"[37]","noteIndex":0},"citationItems":[{"id":564,"uris":["http://zotero.org/users/13599032/items/D58VNLXS"],"itemData":{"id":564,"type":"article-journal","abstract":"Background: The purpose of this systematic review was to analyze the available literature about the influence of breastfeeding in primary and mixed dentition on different types of malocclusions. Methods: Preferred Reporting Items for Systematic Reviews and Meta-Analyses Protocols (PRISMA-P) guidelines were used to perform the present review. The following electronic databases were searched: Pubmed, Evidence-Based Medicine Reviews (EBMR), Embase, Cochrane Library, Medline, Web of Science and Ovid. Results: A primary research found a total of 279 articles. Two more papers were also considered from the gray literature. Two hundred sixty-three articles were excluded as they were deemed irrelevant on the basis of: duplicates, title, abstract, methods and/or irrelevant contents. Eighteen papers were selected and included in the qualitative analysis. Conclusions: breastfeeding is a positive factor that seems to reduce the incidence of posterior crossbite, skeletal class II and distoclusion in primary and mixed dentition. A sort of positive relationship between months of breastfeeding and risk reduction seems to exist. More longitudinal research is needed to avoid bias in the results, with data collected prospectively on the months of exclusive breastfeeding, by means of specific questionnaires and successive clinical evaluation of the occlusal condition at the primary dentition, mixed dentition and permanent dentition stages.","citation-key":"abateRelationshipBreastfeedingMalocclusion2020","container-title":"Nutrients","DOI":"10.3390/nu12123688","ISSN":"2072-6643","issue":"12","journalAbbreviation":"Nutrients","language":"en","page":"3688","source":"DOI.org (Crossref)","title":"Relationship between Breastfeeding and Malocclusion: A Systematic Review of the Literature","title-short":"Relationship between Breastfeeding and Malocclusion","volume":"12","author":[{"family":"Abate","given":"Andrea"},{"family":"Cavagnetto","given":"Davide"},{"family":"Fama","given":"Andrea"},{"family":"Maspero","given":"Cinzia"},{"family":"Farronato","given":"Giampietro"}],"issued":{"date-parts":[["2020",11,30]]}}}],"schema":"https://github.com/citation-style-language/schema/raw/master/csl-citation.json"} </w:instrText>
            </w:r>
            <w:r>
              <w:fldChar w:fldCharType="separate"/>
            </w:r>
            <w:r w:rsidR="00FE777A">
              <w:t>[37]</w:t>
            </w:r>
            <w:r>
              <w:fldChar w:fldCharType="end"/>
            </w:r>
          </w:p>
        </w:tc>
      </w:tr>
      <w:tr w:rsidR="003C36D5" w14:paraId="171DCE4A" w14:textId="77777777">
        <w:tc>
          <w:tcPr>
            <w:tcW w:w="1031" w:type="dxa"/>
            <w:tcBorders>
              <w:top w:val="nil"/>
              <w:left w:val="nil"/>
              <w:bottom w:val="nil"/>
              <w:right w:val="nil"/>
            </w:tcBorders>
            <w:tcMar>
              <w:top w:w="100" w:type="dxa"/>
              <w:left w:w="100" w:type="dxa"/>
              <w:bottom w:w="100" w:type="dxa"/>
              <w:right w:w="100" w:type="dxa"/>
            </w:tcMar>
          </w:tcPr>
          <w:p w14:paraId="3B4ACFE9" w14:textId="77777777" w:rsidR="003C36D5" w:rsidRDefault="0000000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C22</w:t>
            </w:r>
          </w:p>
        </w:tc>
        <w:tc>
          <w:tcPr>
            <w:tcW w:w="1547" w:type="dxa"/>
            <w:tcBorders>
              <w:top w:val="nil"/>
              <w:left w:val="nil"/>
              <w:bottom w:val="nil"/>
              <w:right w:val="nil"/>
            </w:tcBorders>
            <w:tcMar>
              <w:top w:w="100" w:type="dxa"/>
              <w:left w:w="100" w:type="dxa"/>
              <w:bottom w:w="100" w:type="dxa"/>
              <w:right w:w="100" w:type="dxa"/>
            </w:tcMar>
          </w:tcPr>
          <w:p w14:paraId="4016E580"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Discourage prolonged pacifier use/thumb-suckling</w:t>
            </w:r>
          </w:p>
        </w:tc>
        <w:tc>
          <w:tcPr>
            <w:tcW w:w="1289" w:type="dxa"/>
            <w:tcBorders>
              <w:top w:val="nil"/>
              <w:left w:val="nil"/>
              <w:bottom w:val="nil"/>
              <w:right w:val="nil"/>
            </w:tcBorders>
            <w:tcMar>
              <w:top w:w="100" w:type="dxa"/>
              <w:left w:w="100" w:type="dxa"/>
              <w:bottom w:w="100" w:type="dxa"/>
              <w:right w:w="100" w:type="dxa"/>
            </w:tcMar>
          </w:tcPr>
          <w:p w14:paraId="496F40C2"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NL, QC, GoC</w:t>
            </w:r>
          </w:p>
        </w:tc>
        <w:tc>
          <w:tcPr>
            <w:tcW w:w="1289" w:type="dxa"/>
            <w:tcBorders>
              <w:top w:val="nil"/>
              <w:left w:val="nil"/>
              <w:bottom w:val="nil"/>
              <w:right w:val="nil"/>
            </w:tcBorders>
            <w:tcMar>
              <w:top w:w="100" w:type="dxa"/>
              <w:left w:w="100" w:type="dxa"/>
              <w:bottom w:w="100" w:type="dxa"/>
              <w:right w:w="100" w:type="dxa"/>
            </w:tcMar>
          </w:tcPr>
          <w:p w14:paraId="4C142379"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 AB, BC, MB, NB, NS, PEI, NT, NU, YT</w:t>
            </w:r>
          </w:p>
        </w:tc>
        <w:tc>
          <w:tcPr>
            <w:tcW w:w="1289" w:type="dxa"/>
            <w:tcBorders>
              <w:top w:val="nil"/>
              <w:left w:val="nil"/>
              <w:bottom w:val="nil"/>
              <w:right w:val="nil"/>
            </w:tcBorders>
            <w:tcMar>
              <w:top w:w="100" w:type="dxa"/>
              <w:left w:w="100" w:type="dxa"/>
              <w:bottom w:w="100" w:type="dxa"/>
              <w:right w:w="100" w:type="dxa"/>
            </w:tcMar>
          </w:tcPr>
          <w:p w14:paraId="3BA1C05C"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89" w:type="dxa"/>
            <w:tcBorders>
              <w:top w:val="nil"/>
              <w:left w:val="nil"/>
              <w:bottom w:val="nil"/>
              <w:right w:val="nil"/>
            </w:tcBorders>
            <w:tcMar>
              <w:top w:w="100" w:type="dxa"/>
              <w:left w:w="100" w:type="dxa"/>
              <w:bottom w:w="100" w:type="dxa"/>
              <w:right w:w="100" w:type="dxa"/>
            </w:tcMar>
          </w:tcPr>
          <w:p w14:paraId="475D5660"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289" w:type="dxa"/>
            <w:tcBorders>
              <w:top w:val="nil"/>
              <w:left w:val="nil"/>
              <w:bottom w:val="nil"/>
              <w:right w:val="nil"/>
            </w:tcBorders>
            <w:tcMar>
              <w:top w:w="100" w:type="dxa"/>
              <w:left w:w="100" w:type="dxa"/>
              <w:bottom w:w="100" w:type="dxa"/>
              <w:right w:w="100" w:type="dxa"/>
            </w:tcMar>
          </w:tcPr>
          <w:p w14:paraId="62C76941" w14:textId="224E0DA5" w:rsidR="003C36D5" w:rsidRDefault="00000000">
            <w:pPr>
              <w:widowControl w:val="0"/>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{"citationID":"zmRsYfO8","properties":{"unsorted":false,"formattedCitation":"[38]","plainCitation":"[38]","noteIndex":0},"citationItems":[{"id":428,"uris":["http://zotero.org/users/13599032/items/7T4TARRW"],"itemData":{"id":428,"type":"article-journal","abstract":"Abstract\n            \n              Background/rationale\n              Systematic reviews on the effects of pacifiers on occlusion have highlighted the need for quality RCTs.\n            \n            \n              Trial design\n              Single region, three parallel-armed, prospective, randomized controlled trial.\n            \n            \n              Objectives\n              To investigate the correlations between early childhood non-nutritive sucking habits and malocclusion. Specifically to test whether the use of a study pacifier has differing effects compared to other pacifiers and control, and whether the duration of pacifier use or digit sucking influence the occlusion.\n            \n            \n              Participants\n              The subjects were firstborn children, born in 2008 in Vantaa, Finland.\n            \n            \n              Intervention\n              One-third of participants were offered study pacifiers, free of charge, from birth up to 2 years of age. The history of the subjects’ sucking habits, including pacifier use was screened in a questionnaire at the age of 2 years, and clinical examinations were performed at the age of 7 years. In addition, the subjects were divided into groups that were equally matched regarding their mother’s level of education.\n            \n            \n              Outcomes\n              Posterior crossbite, anterior crossbite, overjet, deep bite, open bite, and crowding.\n            \n            \n              Randomization method\n              Three districts were randomly allocated to three study groups by drawing lots.\n            \n            \n              Blinding\n              It was not possible to blind the clinicians or parents from the intervention. Blinding during data analysis was performed.\n            \n            \n              Results\n              From the original cohort of 2715 children born in the town of Vantaa, 1911 were excluded and 353 were lost to follow-up. The remaining 451 children were divided into three groups according to the use of pacifiers. The prevalence of posterior crossbite at the age of 7 years was higher if a non-study pacifier had been used (P = .005) even when matched for the mother’s level of education (P = .029). The prevalence of posterior crossbite was higher if the pacifier habit had continued for 12 months or more compared to 11 months or less, 7% and 1%, respectively, (P = .003). Digit sucking for 12 months or more was associated with crowding (P = .016). The prevalence of crossbite in the study pacifier group was less than in control pacifiers.\n            \n            \n              Harms\n              No adverse harms were reported other than effects on the dentition.\n            \n            \n              Conclusion\n              The use of pacifiers is associated with the posterior crossbite, especially if their use continues for a year or more. Parents/guardians should be advised to stop the use or reduce the use of pacifiers to a minimum after their child’s first birthday.\n            \n            \n              Trial registration\n              ClinicalTrials.gov NCT01854502.","citation-key":"arpalahtiEffectEarlyChildhood2024","container-title":"European Journal of Orthodontics","DOI":"10.1093/ejo/cjae024","ISSN":"0141-5387, 1460-2210","issue":"5","language":"en","license":"https://creativecommons.org/licenses/by-nc/4.0/","page":"cjae024","source":"DOI.org (Crossref)","title":"The effect of early childhood non-nutritive sucking behavior including pacifiers on malocclusion: a randomized controlled trial","title-short":"The effect of early childhood non-nutritive sucking behavior including pacifiers on malocclusion","volume":"46","author":[{"family":"Arpalahti","given":"Irma"},{"family":"Hänninen","given":"Krista"},{"family":"Tolvanen","given":"Mimmi"},{"family":"Varrela","given":"Juha"},{"family":"Rice","given":"David P"}],"issued":{"date-parts":[["2024",10,1]]}}}],"schema":"https://github.com/citation-style-language/schema/raw/master/csl-citation.json"} </w:instrText>
            </w:r>
            <w:r>
              <w:fldChar w:fldCharType="separate"/>
            </w:r>
            <w:r w:rsidR="00FE777A">
              <w:t>[38]</w:t>
            </w:r>
            <w:r>
              <w:fldChar w:fldCharType="end"/>
            </w:r>
          </w:p>
        </w:tc>
      </w:tr>
      <w:tr w:rsidR="003C36D5" w14:paraId="0DD8102C" w14:textId="77777777">
        <w:tc>
          <w:tcPr>
            <w:tcW w:w="1031" w:type="dxa"/>
            <w:tcBorders>
              <w:top w:val="nil"/>
              <w:left w:val="nil"/>
              <w:bottom w:val="nil"/>
              <w:right w:val="nil"/>
            </w:tcBorders>
            <w:tcMar>
              <w:top w:w="100" w:type="dxa"/>
              <w:left w:w="100" w:type="dxa"/>
              <w:bottom w:w="100" w:type="dxa"/>
              <w:right w:w="100" w:type="dxa"/>
            </w:tcMar>
          </w:tcPr>
          <w:p w14:paraId="6D7FA108" w14:textId="77777777" w:rsidR="003C36D5" w:rsidRDefault="0000000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C23</w:t>
            </w:r>
          </w:p>
        </w:tc>
        <w:tc>
          <w:tcPr>
            <w:tcW w:w="1547" w:type="dxa"/>
            <w:tcBorders>
              <w:top w:val="nil"/>
              <w:left w:val="nil"/>
              <w:bottom w:val="nil"/>
              <w:right w:val="nil"/>
            </w:tcBorders>
            <w:tcMar>
              <w:top w:w="100" w:type="dxa"/>
              <w:left w:w="100" w:type="dxa"/>
              <w:bottom w:w="100" w:type="dxa"/>
              <w:right w:w="100" w:type="dxa"/>
            </w:tcMar>
          </w:tcPr>
          <w:p w14:paraId="545199EE"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Professional topical fluoride </w:t>
            </w:r>
            <w:r>
              <w:rPr>
                <w:rFonts w:ascii="Times New Roman" w:eastAsia="Times New Roman" w:hAnsi="Times New Roman" w:cs="Times New Roman"/>
                <w:sz w:val="20"/>
                <w:szCs w:val="20"/>
              </w:rPr>
              <w:lastRenderedPageBreak/>
              <w:t>application</w:t>
            </w:r>
          </w:p>
        </w:tc>
        <w:tc>
          <w:tcPr>
            <w:tcW w:w="1289" w:type="dxa"/>
            <w:tcBorders>
              <w:top w:val="nil"/>
              <w:left w:val="nil"/>
              <w:bottom w:val="nil"/>
              <w:right w:val="nil"/>
            </w:tcBorders>
            <w:tcMar>
              <w:top w:w="100" w:type="dxa"/>
              <w:left w:w="100" w:type="dxa"/>
              <w:bottom w:w="100" w:type="dxa"/>
              <w:right w:w="100" w:type="dxa"/>
            </w:tcMar>
          </w:tcPr>
          <w:p w14:paraId="598B1A33"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PEI, GoC</w:t>
            </w:r>
          </w:p>
        </w:tc>
        <w:tc>
          <w:tcPr>
            <w:tcW w:w="1289" w:type="dxa"/>
            <w:tcBorders>
              <w:top w:val="nil"/>
              <w:left w:val="nil"/>
              <w:bottom w:val="nil"/>
              <w:right w:val="nil"/>
            </w:tcBorders>
            <w:tcMar>
              <w:top w:w="100" w:type="dxa"/>
              <w:left w:w="100" w:type="dxa"/>
              <w:bottom w:w="100" w:type="dxa"/>
              <w:right w:w="100" w:type="dxa"/>
            </w:tcMar>
          </w:tcPr>
          <w:p w14:paraId="4878EF18"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SK, AB, BC, MB, NB, </w:t>
            </w:r>
            <w:r>
              <w:rPr>
                <w:rFonts w:ascii="Times New Roman" w:eastAsia="Times New Roman" w:hAnsi="Times New Roman" w:cs="Times New Roman"/>
                <w:sz w:val="20"/>
                <w:szCs w:val="20"/>
              </w:rPr>
              <w:lastRenderedPageBreak/>
              <w:t>NS, NL, QC, NT, NU, YT</w:t>
            </w:r>
          </w:p>
        </w:tc>
        <w:tc>
          <w:tcPr>
            <w:tcW w:w="1289" w:type="dxa"/>
            <w:tcBorders>
              <w:top w:val="nil"/>
              <w:left w:val="nil"/>
              <w:bottom w:val="nil"/>
              <w:right w:val="nil"/>
            </w:tcBorders>
            <w:tcMar>
              <w:top w:w="100" w:type="dxa"/>
              <w:left w:w="100" w:type="dxa"/>
              <w:bottom w:w="100" w:type="dxa"/>
              <w:right w:w="100" w:type="dxa"/>
            </w:tcMar>
          </w:tcPr>
          <w:p w14:paraId="62793A04"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w:t>
            </w:r>
          </w:p>
        </w:tc>
        <w:tc>
          <w:tcPr>
            <w:tcW w:w="1289" w:type="dxa"/>
            <w:tcBorders>
              <w:top w:val="nil"/>
              <w:left w:val="nil"/>
              <w:bottom w:val="nil"/>
              <w:right w:val="nil"/>
            </w:tcBorders>
            <w:tcMar>
              <w:top w:w="100" w:type="dxa"/>
              <w:left w:w="100" w:type="dxa"/>
              <w:bottom w:w="100" w:type="dxa"/>
              <w:right w:w="100" w:type="dxa"/>
            </w:tcMar>
          </w:tcPr>
          <w:p w14:paraId="5FB3A489"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Moderate</w:t>
            </w:r>
          </w:p>
        </w:tc>
        <w:tc>
          <w:tcPr>
            <w:tcW w:w="1289" w:type="dxa"/>
            <w:tcBorders>
              <w:top w:val="nil"/>
              <w:left w:val="nil"/>
              <w:bottom w:val="nil"/>
              <w:right w:val="nil"/>
            </w:tcBorders>
            <w:tcMar>
              <w:top w:w="100" w:type="dxa"/>
              <w:left w:w="100" w:type="dxa"/>
              <w:bottom w:w="100" w:type="dxa"/>
              <w:right w:w="100" w:type="dxa"/>
            </w:tcMar>
          </w:tcPr>
          <w:p w14:paraId="09BC09FE" w14:textId="2E522A3F" w:rsidR="003C36D5" w:rsidRDefault="00000000">
            <w:pPr>
              <w:spacing w:after="160" w:line="301" w:lineRule="auto"/>
              <w:rPr>
                <w:rFonts w:ascii="Times New Roman" w:eastAsia="Times New Roman" w:hAnsi="Times New Roman" w:cs="Times New Roman"/>
                <w:sz w:val="24"/>
                <w:szCs w:val="24"/>
              </w:rPr>
            </w:pPr>
            <w:r>
              <w:fldChar w:fldCharType="begin"/>
            </w:r>
            <w:r w:rsidR="00FE777A">
              <w:instrText xml:space="preserve"> ADDIN ZOTERO_ITEM CSL_CITATION {"citationID":"b0gF5msi","properties":{"unsorted":false,"formattedCitation":"[39,40]","plainCitation":"[39,40]","noteIndex":0},"citationItems":[{"id":388,"uris":["http://zotero.org/users/13599032/items/IS8GLDL9"],"itemData":{"id":388,"type":"article-journal","citation-key":"marinhoFluorideVarnishesPreventing2013","container-title":"Cochrane Database of Systematic Reviews","DOI":"10.1002/14651858.CD002279.pub2","ISSN":"14651858","issue":"2","language":"en","source":"DOI.org (Crossref)","title":"Fluoride varnishes for preventing dental caries in children and adolescents","URL":"http://doi.wiley.com/10.1002/14651858.CD002279.pub2","volume":"2014","author":[{"family":"Marinho","given":"Valeria Cc"},{"family":"Worthington","given":"Helen V"},{"family":"Walsh","given":"Tanya"},{"family":"Clarkson","given":"Jan E"}],"editor":[{"literal":"Cochrane Oral Health Group"}],"accessed":{"date-parts":[["2026",8,1]]},"issued":{"date-parts":[["2013",7,11]]}}},{"id":396,"uris":["http://zotero.org/users/13599032/items/4KZXAUWB"],"itemData":{"id":396,"type":"article-journal","abstract":"ABSTRACT\n            \n              Objectives\n              This study aimed to overview the available evidence from systematic reviews (SRs) on the effects of fluoride varnish (FV) for caries prevention in preschoolers.\n            \n            \n              Methods\n              Systematic reviews, with or without meta</w:instrText>
            </w:r>
            <w:r w:rsidR="00FE777A">
              <w:rPr>
                <w:rFonts w:ascii="Cambria Math" w:hAnsi="Cambria Math" w:cs="Cambria Math"/>
              </w:rPr>
              <w:instrText>‐</w:instrText>
            </w:r>
            <w:r w:rsidR="00FE777A">
              <w:instrText>analyses, of randomised controlled trials (RCTs) and quasi</w:instrText>
            </w:r>
            <w:r w:rsidR="00FE777A">
              <w:rPr>
                <w:rFonts w:ascii="Cambria Math" w:hAnsi="Cambria Math" w:cs="Cambria Math"/>
              </w:rPr>
              <w:instrText>‐</w:instrText>
            </w:r>
            <w:r w:rsidR="00FE777A">
              <w:instrText>randomised trials evaluating the use of FV in preschoolers to prevent dentin caries compared to placebo, standard care, or no intervention were included. The search was last updated in July 2025 across eight electronic databases. Two researchers independently assessed eligibility and extracted data, resolving disagreements by discussion or with a third researcher if needed. The methodological quality, risk of bias, and certainty of evidence of the SRs were assessed using AMSTAR</w:instrText>
            </w:r>
            <w:r w:rsidR="00FE777A">
              <w:rPr>
                <w:rFonts w:ascii="Cambria Math" w:hAnsi="Cambria Math" w:cs="Cambria Math"/>
              </w:rPr>
              <w:instrText>‐</w:instrText>
            </w:r>
            <w:r w:rsidR="00FE777A">
              <w:instrText>2, ROBIS, and GRADE, respectively. The results were synthesised descriptively.\n            \n            \n              Results\n              Fourteen SRs published between 2001 and 2023 were included. Six SRs reported insufficient evidence to conclude on the effectiveness of FV; six concluded that FV is effective; and two suggested that FV provides a probably irrelevant clinical benefit. One SR had a high methodological quality, two had low, and 11 were rated as critically low. The risk of bias was considered low in three SRs and high in 11. The certainty of evidence ranged from moderate to very low, with the risk of bias being the criterion that most contributed to downgrading it.\n            \n            \n              Conclusions\n              Most systematic reviews on the effectiveness of fluoride varnish in preventing caries in preschoolers are of critically low quality and high risk of bias, with conflicting findings. Systematic reviews that included more recent studies with lower risk of bias indicated that fluoride varnish provides relatively limited or no additional benefit to children who use fluoride toothpaste. Therefore, the routine application of fluoride varnish in preschoolers should be reconsidered.","citation-key":"coutoFluorideVarnishCaries2026","container-title":"Community Dentistry and Oral Epidemiology","DOI":"10.1111/cdoe.70032","ISSN":"0301-5661, 1600-0528","issue":"2","journalAbbreviation":"Comm Dent Oral Epid","language":"en","page":"203-219","source":"DOI.org (Crossref)","title":"Fluoride Varnish for Caries Prevention in Preschoolers: An Overview of Reviews","title-short":"Fluoride Varnish for Caries Prevention in Preschoolers","volume":"54","author":[{"family":"Couto","given":"Flávia Macedo"},{"family":"Sousa","given":"Fernanda Santos De Oliveira"},{"family":"Dhyppolito","given":"Izabel Monteiro"},{"family":"Barja</w:instrText>
            </w:r>
            <w:r w:rsidR="00FE777A">
              <w:rPr>
                <w:rFonts w:ascii="Cambria Math" w:hAnsi="Cambria Math" w:cs="Cambria Math"/>
              </w:rPr>
              <w:instrText>‐</w:instrText>
            </w:r>
            <w:r w:rsidR="00FE777A">
              <w:instrText xml:space="preserve">Fidalgo","given":"Fernanda"},{"family":"Dos Santos","given":"Ana Paula Pires"},{"family":"Nadanovsky","given":"Paulo"}],"issued":{"date-parts":[["2026",4]]}}}],"schema":"https://github.com/citation-style-language/schema/raw/master/csl-citation.json"} </w:instrText>
            </w:r>
            <w:r>
              <w:fldChar w:fldCharType="separate"/>
            </w:r>
            <w:r w:rsidR="00FE777A">
              <w:t>[39,40]</w:t>
            </w:r>
            <w:r>
              <w:fldChar w:fldCharType="end"/>
            </w:r>
          </w:p>
        </w:tc>
      </w:tr>
    </w:tbl>
    <w:p w14:paraId="34F1129F" w14:textId="77777777" w:rsidR="003C36D5" w:rsidRDefault="00000000">
      <w:pPr>
        <w:spacing w:after="160" w:line="301"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ECC: early childhood caries; GRADE: Grading of Recommendations, Assessment, Development and Evaluation. Jurisdiction abbreviations: AB: Alberta; BC; British Columbia; MB: Manitoba; NB: New Brunswick; NS: Nova Scotia; NL: Newfoundland and Labrador; PEI: Prince Edward Island; QC: Quebec; SK: Saskatchewan; NT: Northwest Territories; NU: Nunavut; YT: Yukon; GoC: Government of Canada</w:t>
      </w:r>
    </w:p>
    <w:p w14:paraId="1F641ECD" w14:textId="77777777" w:rsidR="003C36D5" w:rsidRDefault="003C36D5">
      <w:pPr>
        <w:spacing w:after="160" w:line="301" w:lineRule="auto"/>
        <w:rPr>
          <w:rFonts w:ascii="Times New Roman" w:eastAsia="Times New Roman" w:hAnsi="Times New Roman" w:cs="Times New Roman"/>
          <w:sz w:val="24"/>
          <w:szCs w:val="24"/>
        </w:rPr>
      </w:pPr>
    </w:p>
    <w:p w14:paraId="5EFE6B6C" w14:textId="77777777" w:rsidR="003C36D5" w:rsidRDefault="00000000">
      <w:pPr>
        <w:spacing w:after="160"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ECC, early childhood caries; GRADE, Grading of Recommendations, Assessment, Development and Evaluation. Jurisdiction abbreviations: SK, Saskatchewan; AB, Alberta; BC, British Columbia; MB, Manitoba; NB, New Brunswick; NS, Nova Scotia; NL, Newfoundland and Labrador; PEI, Prince Edward Island; QC, Quebec; NT, Northwest Territories; NU, Nunavut; YT, Yukon; GoC, Government of Canada.</w:t>
      </w:r>
    </w:p>
    <w:p w14:paraId="616BFCFA" w14:textId="77777777" w:rsidR="003C36D5" w:rsidRDefault="003C36D5">
      <w:pPr>
        <w:spacing w:after="160" w:line="301" w:lineRule="auto"/>
        <w:rPr>
          <w:rFonts w:ascii="Times New Roman" w:eastAsia="Times New Roman" w:hAnsi="Times New Roman" w:cs="Times New Roman"/>
          <w:sz w:val="24"/>
          <w:szCs w:val="24"/>
        </w:rPr>
      </w:pPr>
    </w:p>
    <w:p w14:paraId="06D4EE7F" w14:textId="77777777" w:rsidR="003C36D5" w:rsidRDefault="003C36D5">
      <w:pPr>
        <w:spacing w:after="160" w:line="301" w:lineRule="auto"/>
        <w:rPr>
          <w:rFonts w:ascii="Times New Roman" w:eastAsia="Times New Roman" w:hAnsi="Times New Roman" w:cs="Times New Roman"/>
          <w:sz w:val="24"/>
          <w:szCs w:val="24"/>
        </w:rPr>
      </w:pPr>
    </w:p>
    <w:p w14:paraId="31CE324A" w14:textId="77777777" w:rsidR="003C36D5" w:rsidRDefault="00000000">
      <w:pPr>
        <w:spacing w:after="160" w:line="301" w:lineRule="auto"/>
        <w:rPr>
          <w:b/>
          <w:bCs/>
          <w:sz w:val="26"/>
          <w:szCs w:val="26"/>
        </w:rPr>
      </w:pPr>
      <w:r>
        <w:rPr>
          <w:rFonts w:ascii="Times New Roman" w:eastAsia="Times New Roman" w:hAnsi="Times New Roman" w:cs="Times New Roman"/>
          <w:sz w:val="20"/>
          <w:szCs w:val="20"/>
        </w:rPr>
        <w:t>Supplementary Table S2: Unique recommendations by jurisdiction and certainty</w:t>
      </w:r>
    </w:p>
    <w:tbl>
      <w:tblPr>
        <w:tblStyle w:val="a0"/>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
        <w:gridCol w:w="2616"/>
        <w:gridCol w:w="1805"/>
        <w:gridCol w:w="1805"/>
        <w:gridCol w:w="1805"/>
      </w:tblGrid>
      <w:tr w:rsidR="003C36D5" w14:paraId="479131F8" w14:textId="77777777">
        <w:tc>
          <w:tcPr>
            <w:tcW w:w="993" w:type="dxa"/>
            <w:tcBorders>
              <w:top w:val="nil"/>
              <w:left w:val="nil"/>
              <w:right w:val="nil"/>
            </w:tcBorders>
            <w:tcMar>
              <w:top w:w="100" w:type="dxa"/>
              <w:left w:w="100" w:type="dxa"/>
              <w:bottom w:w="100" w:type="dxa"/>
              <w:right w:w="100" w:type="dxa"/>
            </w:tcMar>
          </w:tcPr>
          <w:p w14:paraId="4E6C048B"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Reference #</w:t>
            </w:r>
          </w:p>
        </w:tc>
        <w:tc>
          <w:tcPr>
            <w:tcW w:w="2616" w:type="dxa"/>
            <w:tcBorders>
              <w:top w:val="nil"/>
              <w:left w:val="nil"/>
              <w:right w:val="nil"/>
            </w:tcBorders>
            <w:tcMar>
              <w:top w:w="100" w:type="dxa"/>
              <w:left w:w="100" w:type="dxa"/>
              <w:bottom w:w="100" w:type="dxa"/>
              <w:right w:w="100" w:type="dxa"/>
            </w:tcMar>
          </w:tcPr>
          <w:p w14:paraId="20F7232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Recommendation</w:t>
            </w:r>
          </w:p>
        </w:tc>
        <w:tc>
          <w:tcPr>
            <w:tcW w:w="1805" w:type="dxa"/>
            <w:tcBorders>
              <w:top w:val="nil"/>
              <w:left w:val="nil"/>
              <w:right w:val="nil"/>
            </w:tcBorders>
            <w:tcMar>
              <w:top w:w="100" w:type="dxa"/>
              <w:left w:w="100" w:type="dxa"/>
              <w:bottom w:w="100" w:type="dxa"/>
              <w:right w:w="100" w:type="dxa"/>
            </w:tcMar>
          </w:tcPr>
          <w:p w14:paraId="440CAD7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Jurisdiction</w:t>
            </w:r>
          </w:p>
        </w:tc>
        <w:tc>
          <w:tcPr>
            <w:tcW w:w="1805" w:type="dxa"/>
            <w:tcBorders>
              <w:top w:val="nil"/>
              <w:left w:val="nil"/>
              <w:right w:val="nil"/>
            </w:tcBorders>
            <w:tcMar>
              <w:top w:w="100" w:type="dxa"/>
              <w:left w:w="100" w:type="dxa"/>
              <w:bottom w:w="100" w:type="dxa"/>
              <w:right w:w="100" w:type="dxa"/>
            </w:tcMar>
          </w:tcPr>
          <w:p w14:paraId="35688D3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GRADE-informed certainty</w:t>
            </w:r>
          </w:p>
        </w:tc>
        <w:tc>
          <w:tcPr>
            <w:tcW w:w="1805" w:type="dxa"/>
            <w:tcBorders>
              <w:top w:val="nil"/>
              <w:left w:val="nil"/>
              <w:right w:val="nil"/>
            </w:tcBorders>
            <w:tcMar>
              <w:top w:w="100" w:type="dxa"/>
              <w:left w:w="100" w:type="dxa"/>
              <w:bottom w:w="100" w:type="dxa"/>
              <w:right w:w="100" w:type="dxa"/>
            </w:tcMar>
          </w:tcPr>
          <w:p w14:paraId="06FD8984" w14:textId="77777777" w:rsidR="003C36D5" w:rsidRDefault="0000000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Refs that informed certainty</w:t>
            </w:r>
          </w:p>
        </w:tc>
      </w:tr>
      <w:tr w:rsidR="003C36D5" w14:paraId="03DCD52E" w14:textId="77777777">
        <w:tc>
          <w:tcPr>
            <w:tcW w:w="993" w:type="dxa"/>
            <w:tcBorders>
              <w:left w:val="nil"/>
              <w:bottom w:val="nil"/>
              <w:right w:val="nil"/>
            </w:tcBorders>
            <w:tcMar>
              <w:top w:w="100" w:type="dxa"/>
              <w:left w:w="100" w:type="dxa"/>
              <w:bottom w:w="100" w:type="dxa"/>
              <w:right w:w="100" w:type="dxa"/>
            </w:tcMar>
          </w:tcPr>
          <w:p w14:paraId="2836C69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U01</w:t>
            </w:r>
          </w:p>
        </w:tc>
        <w:tc>
          <w:tcPr>
            <w:tcW w:w="2616" w:type="dxa"/>
            <w:tcBorders>
              <w:left w:val="nil"/>
              <w:bottom w:val="nil"/>
              <w:right w:val="nil"/>
            </w:tcBorders>
            <w:tcMar>
              <w:top w:w="100" w:type="dxa"/>
              <w:left w:w="100" w:type="dxa"/>
              <w:bottom w:w="100" w:type="dxa"/>
              <w:right w:w="100" w:type="dxa"/>
            </w:tcMar>
          </w:tcPr>
          <w:p w14:paraId="586D845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Daily cleaning removes plaque</w:t>
            </w:r>
          </w:p>
        </w:tc>
        <w:tc>
          <w:tcPr>
            <w:tcW w:w="1805" w:type="dxa"/>
            <w:tcBorders>
              <w:left w:val="nil"/>
              <w:bottom w:val="nil"/>
              <w:right w:val="nil"/>
            </w:tcBorders>
            <w:tcMar>
              <w:top w:w="100" w:type="dxa"/>
              <w:left w:w="100" w:type="dxa"/>
              <w:bottom w:w="100" w:type="dxa"/>
              <w:right w:w="100" w:type="dxa"/>
            </w:tcMar>
          </w:tcPr>
          <w:p w14:paraId="7C7AF69C"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w:t>
            </w:r>
          </w:p>
        </w:tc>
        <w:tc>
          <w:tcPr>
            <w:tcW w:w="1805" w:type="dxa"/>
            <w:tcBorders>
              <w:left w:val="nil"/>
              <w:bottom w:val="nil"/>
              <w:right w:val="nil"/>
            </w:tcBorders>
            <w:tcMar>
              <w:top w:w="100" w:type="dxa"/>
              <w:left w:w="100" w:type="dxa"/>
              <w:bottom w:w="100" w:type="dxa"/>
              <w:right w:w="100" w:type="dxa"/>
            </w:tcMar>
          </w:tcPr>
          <w:p w14:paraId="1453CC4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left w:val="nil"/>
              <w:bottom w:val="nil"/>
              <w:right w:val="nil"/>
            </w:tcBorders>
            <w:tcMar>
              <w:top w:w="100" w:type="dxa"/>
              <w:left w:w="100" w:type="dxa"/>
              <w:bottom w:w="100" w:type="dxa"/>
              <w:right w:w="100" w:type="dxa"/>
            </w:tcMar>
          </w:tcPr>
          <w:p w14:paraId="6DD0F1E5" w14:textId="51DDB006"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YgKAhTxg","properties":{"unsorted":false,"formattedCitation":"[22,41]","plainCitation":"[22,41]","noteIndex":0},"citationItems":[{"id":578,"uris":["http://zotero.org/users/13599032/items/WIKEP6PL"],"itemData":{"id":578,"type":"article-journal","abstract":"Purpose:\n The purpose of this study was to perform a systematic review to assess current evidence for association between various risk factors and the prevalence or incidence of early childhood caries (ECC). \nMethods:\n Two reviewers searched various databases\nuntil January 2019. The Newcastle-Ottawa scale was used to perform risk of bias assessment. The included studies were categorized according to the World Bank classification. Data were summarized in a meta-analysis using fixed and random effects inverse-generic meta-analyses. \nResults:\n\nA total of 7,034 records involving 89 studies that evaluated 1,352,097 individuals were included; 23 were high, 46 were moderate, and 20 were of low quality. A total of 123 risk factors were found. Meta-analysis revealed that the strongest risk factors found in the high-income countries were\npresence of dentinal caries (dmft greater than zero; odds ratio [OR] equals 4.21 [2.18 to 8.16]) and high levels of mutans streptococci (OR equals 3.83 [1.81 to 8.09]). In upper-middle-income countries, presence of enamel defects (OR equals 14.62 [6.10 to 35.03]) was found to be the strongest\nrisk factor. \nConclusion:\n The strongest risk factors associated with early childhood caries was the presence of enamel defects, presence of dentinal caries and high levels of mutans streptococci.","citation-key":"kirthigaRiskFactorsEarly2019","container-title":"Pediatric Dentistry","issue":"2","journalAbbreviation":"Pediatric Dentistry","page":"95-112","source":"IngentaConnect","title":"Risk Factors for Early Childhood Caries: A Systematic Review and Meta-Analysis of Case Control and Cohort Studies","title-short":"Risk Factors for Early Childhood Caries","volume":"41","author":[{"family":"Kirthiga","given":"M"},{"family":"Murugan","given":"Muthu"},{"family":"Saikia","given":"Ankita"},{"family":"Kirubakaran","given":"Richard"}],"issued":{"date-parts":[["2019",3,15]]}}},{"id":389,"uris":["http://zotero.org/users/13599032/items/W7UM6LKP"],"itemData":{"id":389,"type":"article-journal","abstract":"Objective\n              To conduct a systematic review of randomised trials assessing the association between personal oral hygiene and dental caries in the absence of the confounding effects of fluoride.\n            \n            \n              Background\n              Dental caries continues to affect close to 100% of the global population. There is a century</w:instrText>
            </w:r>
            <w:r w:rsidR="00FE777A">
              <w:rPr>
                <w:rFonts w:ascii="Cambria Math" w:hAnsi="Cambria Math" w:cs="Cambria Math"/>
              </w:rPr>
              <w:instrText>‐</w:instrText>
            </w:r>
            <w:r w:rsidR="00FE777A">
              <w:instrText>old conflict on whether dental caries is caused by poor oral hygiene or poorly formed teeth (ie, teeth with dental defects). Resolving this conflict is of significant public health importance as these two hypotheses on dental caries aetiology can lead to different prevention strategies.\n            \n            \n              Methods\n              A systematic search for randomised trials was conducted using predefined criteria in 3 databases. The impact of personal oral hygiene interventions on coronal dental caries incidence was evaluated using random</w:instrText>
            </w:r>
            <w:r w:rsidR="00FE777A">
              <w:rPr>
                <w:rFonts w:ascii="Cambria Math" w:hAnsi="Cambria Math" w:cs="Cambria Math"/>
              </w:rPr>
              <w:instrText>‐</w:instrText>
            </w:r>
            <w:r w:rsidR="00FE777A">
              <w:instrText xml:space="preserve">effects models.\n            \n            \n              Results\n              \n                Three randomised studies involving a total of 743 participants were included. Personal oral hygiene interventions failed to influence the incidence of dental caries (Δ Decayed, Missing and Filled Surfaces (\n                DFMS\n                ) = −0.11; 95% confidence interval: (−0.91, 0.69;\n                P\n                </w:instrText>
            </w:r>
            <w:r w:rsidR="00FE777A">
              <w:rPr>
                <w:rFonts w:ascii="Cambria Math" w:hAnsi="Cambria Math" w:cs="Cambria Math"/>
              </w:rPr>
              <w:instrText>‐</w:instrText>
            </w:r>
            <w:r w:rsidR="00FE777A">
              <w:instrText>value &lt; .79)) despite meticulous deplaquing of teeth. There was no significant heterogeneity in the trial results (heterogeneity chi</w:instrText>
            </w:r>
            <w:r w:rsidR="00FE777A">
              <w:rPr>
                <w:rFonts w:ascii="Cambria Math" w:hAnsi="Cambria Math" w:cs="Cambria Math"/>
              </w:rPr>
              <w:instrText>‐</w:instrText>
            </w:r>
            <w:r w:rsidR="00FE777A">
              <w:instrText xml:space="preserve">squared = 1.88,\n                P\n                 = .39). The findings were robust to sensitivity analyses, including consideration of the results of nonrandomised studies.\n              \n            \n            \n              Conclusion\n              Personal oral hygiene in the absence of fluorides has failed to show a benefit in terms of reducing the incidence of dental caries.","citation-key":"hujoelPersonalOralHygiene2018","container-title":"Gerodontology","DOI":"10.1111/ger.12331","ISSN":"0734-0664, 1741-2358","issue":"4","journalAbbreviation":"Gerodontology","language":"en","page":"282-289","source":"DOI.org (Crossref)","title":"Personal oral hygiene and dental caries: A systematic review of randomised controlled trials","title-short":"Personal oral hygiene and dental caries","volume":"35","author":[{"family":"Hujoel","given":"Philippe Pierre"},{"family":"Hujoel","given":"Margaux Louise A."},{"family":"Kotsakis","given":"Georgios A."}],"issued":{"date-parts":[["2018",12]]}}}],"schema":"https://github.com/citation-style-language/schema/raw/master/csl-citation.json"} </w:instrText>
            </w:r>
            <w:r>
              <w:fldChar w:fldCharType="separate"/>
            </w:r>
            <w:r w:rsidR="00FE777A">
              <w:t>[22,41]</w:t>
            </w:r>
            <w:r>
              <w:fldChar w:fldCharType="end"/>
            </w:r>
          </w:p>
        </w:tc>
      </w:tr>
      <w:tr w:rsidR="003C36D5" w14:paraId="64977D2F" w14:textId="77777777">
        <w:tc>
          <w:tcPr>
            <w:tcW w:w="993" w:type="dxa"/>
            <w:tcBorders>
              <w:top w:val="nil"/>
              <w:left w:val="nil"/>
              <w:bottom w:val="nil"/>
              <w:right w:val="nil"/>
            </w:tcBorders>
            <w:tcMar>
              <w:top w:w="100" w:type="dxa"/>
              <w:left w:w="100" w:type="dxa"/>
              <w:bottom w:w="100" w:type="dxa"/>
              <w:right w:w="100" w:type="dxa"/>
            </w:tcMar>
          </w:tcPr>
          <w:p w14:paraId="49EB0A45"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U02</w:t>
            </w:r>
          </w:p>
        </w:tc>
        <w:tc>
          <w:tcPr>
            <w:tcW w:w="2616" w:type="dxa"/>
            <w:tcBorders>
              <w:top w:val="nil"/>
              <w:left w:val="nil"/>
              <w:bottom w:val="nil"/>
              <w:right w:val="nil"/>
            </w:tcBorders>
            <w:tcMar>
              <w:top w:w="100" w:type="dxa"/>
              <w:left w:w="100" w:type="dxa"/>
              <w:bottom w:w="100" w:type="dxa"/>
              <w:right w:w="100" w:type="dxa"/>
            </w:tcMar>
          </w:tcPr>
          <w:p w14:paraId="58F5DA9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Stay </w:t>
            </w:r>
            <w:proofErr w:type="gramStart"/>
            <w:r>
              <w:rPr>
                <w:rFonts w:ascii="Times New Roman" w:eastAsia="Times New Roman" w:hAnsi="Times New Roman" w:cs="Times New Roman"/>
                <w:sz w:val="20"/>
                <w:szCs w:val="20"/>
              </w:rPr>
              <w:t>up-to-date</w:t>
            </w:r>
            <w:proofErr w:type="gramEnd"/>
            <w:r>
              <w:rPr>
                <w:rFonts w:ascii="Times New Roman" w:eastAsia="Times New Roman" w:hAnsi="Times New Roman" w:cs="Times New Roman"/>
                <w:sz w:val="20"/>
                <w:szCs w:val="20"/>
              </w:rPr>
              <w:t xml:space="preserve"> on dental appointments</w:t>
            </w:r>
          </w:p>
        </w:tc>
        <w:tc>
          <w:tcPr>
            <w:tcW w:w="1805" w:type="dxa"/>
            <w:tcBorders>
              <w:top w:val="nil"/>
              <w:left w:val="nil"/>
              <w:bottom w:val="nil"/>
              <w:right w:val="nil"/>
            </w:tcBorders>
            <w:tcMar>
              <w:top w:w="100" w:type="dxa"/>
              <w:left w:w="100" w:type="dxa"/>
              <w:bottom w:w="100" w:type="dxa"/>
              <w:right w:w="100" w:type="dxa"/>
            </w:tcMar>
          </w:tcPr>
          <w:p w14:paraId="6AD0F2A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w:t>
            </w:r>
          </w:p>
        </w:tc>
        <w:tc>
          <w:tcPr>
            <w:tcW w:w="1805" w:type="dxa"/>
            <w:tcBorders>
              <w:top w:val="nil"/>
              <w:left w:val="nil"/>
              <w:bottom w:val="nil"/>
              <w:right w:val="nil"/>
            </w:tcBorders>
            <w:tcMar>
              <w:top w:w="100" w:type="dxa"/>
              <w:left w:w="100" w:type="dxa"/>
              <w:bottom w:w="100" w:type="dxa"/>
              <w:right w:w="100" w:type="dxa"/>
            </w:tcMar>
          </w:tcPr>
          <w:p w14:paraId="6CF907C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top w:val="nil"/>
              <w:left w:val="nil"/>
              <w:bottom w:val="nil"/>
              <w:right w:val="nil"/>
            </w:tcBorders>
            <w:tcMar>
              <w:top w:w="100" w:type="dxa"/>
              <w:left w:w="100" w:type="dxa"/>
              <w:bottom w:w="100" w:type="dxa"/>
              <w:right w:w="100" w:type="dxa"/>
            </w:tcMar>
          </w:tcPr>
          <w:p w14:paraId="28ABDF05" w14:textId="336FB89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908P2zmC","properties":{"unsorted":false,"formattedCitation":"[18]","plainCitation":"[18]","noteIndex":0},"citationItems":[{"id":383,"uris":["http://zotero.org/users/13599032/items/NUPTENNM"],"itemData":{"id":383,"type":"article-journal","citation-key":"blackburnOutcomesAssociatedEarly2017","container-title":"JAMA Pediatrics","DOI":"10.1001/jamapediatrics.2016.4514","ISSN":"2168-6203","issue":"4","journalAbbreviation":"JAMA Pediatr","language":"en","page":"335","source":"DOI.org (Crossref)","title":"Outcomes Associated With Early Preventive Dental Care Among Medicaid-Enrolled Children in Alabama","volume":"171","author":[{"family":"Blackburn","given":"Justin"},{"family":"Morrisey","given":"Michael A."},{"family":"Sen","given":"Bisakha"}],"issued":{"date-parts":[["2017",4,1]]}}}],"schema":"https://github.com/citation-style-language/schema/raw/master/csl-citation.json"} </w:instrText>
            </w:r>
            <w:r>
              <w:fldChar w:fldCharType="separate"/>
            </w:r>
            <w:r w:rsidR="00FE777A">
              <w:t>[18]</w:t>
            </w:r>
            <w:r>
              <w:fldChar w:fldCharType="end"/>
            </w:r>
          </w:p>
        </w:tc>
      </w:tr>
      <w:tr w:rsidR="003C36D5" w14:paraId="032693C9" w14:textId="77777777">
        <w:tc>
          <w:tcPr>
            <w:tcW w:w="993" w:type="dxa"/>
            <w:tcBorders>
              <w:top w:val="nil"/>
              <w:left w:val="nil"/>
              <w:bottom w:val="nil"/>
              <w:right w:val="nil"/>
            </w:tcBorders>
            <w:tcMar>
              <w:top w:w="100" w:type="dxa"/>
              <w:left w:w="100" w:type="dxa"/>
              <w:bottom w:w="100" w:type="dxa"/>
              <w:right w:w="100" w:type="dxa"/>
            </w:tcMar>
          </w:tcPr>
          <w:p w14:paraId="22AA6106"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U03</w:t>
            </w:r>
          </w:p>
        </w:tc>
        <w:tc>
          <w:tcPr>
            <w:tcW w:w="2616" w:type="dxa"/>
            <w:tcBorders>
              <w:top w:val="nil"/>
              <w:left w:val="nil"/>
              <w:bottom w:val="nil"/>
              <w:right w:val="nil"/>
            </w:tcBorders>
            <w:tcMar>
              <w:top w:w="100" w:type="dxa"/>
              <w:left w:w="100" w:type="dxa"/>
              <w:bottom w:w="100" w:type="dxa"/>
              <w:right w:w="100" w:type="dxa"/>
            </w:tcMar>
          </w:tcPr>
          <w:p w14:paraId="7D58DAB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Choose toothpaste brands </w:t>
            </w:r>
            <w:proofErr w:type="spellStart"/>
            <w:r>
              <w:rPr>
                <w:rFonts w:ascii="Times New Roman" w:eastAsia="Times New Roman" w:hAnsi="Times New Roman" w:cs="Times New Roman"/>
                <w:sz w:val="20"/>
                <w:szCs w:val="20"/>
              </w:rPr>
              <w:t>labeled</w:t>
            </w:r>
            <w:proofErr w:type="spellEnd"/>
            <w:r>
              <w:rPr>
                <w:rFonts w:ascii="Times New Roman" w:eastAsia="Times New Roman" w:hAnsi="Times New Roman" w:cs="Times New Roman"/>
                <w:sz w:val="20"/>
                <w:szCs w:val="20"/>
              </w:rPr>
              <w:t xml:space="preserve"> “recognized by the CDA”</w:t>
            </w:r>
          </w:p>
        </w:tc>
        <w:tc>
          <w:tcPr>
            <w:tcW w:w="1805" w:type="dxa"/>
            <w:tcBorders>
              <w:top w:val="nil"/>
              <w:left w:val="nil"/>
              <w:bottom w:val="nil"/>
              <w:right w:val="nil"/>
            </w:tcBorders>
            <w:tcMar>
              <w:top w:w="100" w:type="dxa"/>
              <w:left w:w="100" w:type="dxa"/>
              <w:bottom w:w="100" w:type="dxa"/>
              <w:right w:w="100" w:type="dxa"/>
            </w:tcMar>
          </w:tcPr>
          <w:p w14:paraId="54CAF5B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MB</w:t>
            </w:r>
          </w:p>
        </w:tc>
        <w:tc>
          <w:tcPr>
            <w:tcW w:w="1805" w:type="dxa"/>
            <w:tcBorders>
              <w:top w:val="nil"/>
              <w:left w:val="nil"/>
              <w:bottom w:val="nil"/>
              <w:right w:val="nil"/>
            </w:tcBorders>
            <w:tcMar>
              <w:top w:w="100" w:type="dxa"/>
              <w:left w:w="100" w:type="dxa"/>
              <w:bottom w:w="100" w:type="dxa"/>
              <w:right w:w="100" w:type="dxa"/>
            </w:tcMar>
          </w:tcPr>
          <w:p w14:paraId="094174E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Very Low</w:t>
            </w:r>
          </w:p>
        </w:tc>
        <w:tc>
          <w:tcPr>
            <w:tcW w:w="1805" w:type="dxa"/>
            <w:tcBorders>
              <w:top w:val="nil"/>
              <w:left w:val="nil"/>
              <w:bottom w:val="nil"/>
              <w:right w:val="nil"/>
            </w:tcBorders>
            <w:tcMar>
              <w:top w:w="100" w:type="dxa"/>
              <w:left w:w="100" w:type="dxa"/>
              <w:bottom w:w="100" w:type="dxa"/>
              <w:right w:w="100" w:type="dxa"/>
            </w:tcMar>
          </w:tcPr>
          <w:p w14:paraId="2F2D97D5"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Consensus; no outcome study identified</w:t>
            </w:r>
          </w:p>
        </w:tc>
      </w:tr>
      <w:tr w:rsidR="003C36D5" w14:paraId="4D342C37" w14:textId="77777777">
        <w:tc>
          <w:tcPr>
            <w:tcW w:w="993" w:type="dxa"/>
            <w:tcBorders>
              <w:top w:val="nil"/>
              <w:left w:val="nil"/>
              <w:bottom w:val="nil"/>
              <w:right w:val="nil"/>
            </w:tcBorders>
            <w:tcMar>
              <w:top w:w="100" w:type="dxa"/>
              <w:left w:w="100" w:type="dxa"/>
              <w:bottom w:w="100" w:type="dxa"/>
              <w:right w:w="100" w:type="dxa"/>
            </w:tcMar>
          </w:tcPr>
          <w:p w14:paraId="7A002B7B"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U04</w:t>
            </w:r>
          </w:p>
        </w:tc>
        <w:tc>
          <w:tcPr>
            <w:tcW w:w="2616" w:type="dxa"/>
            <w:tcBorders>
              <w:top w:val="nil"/>
              <w:left w:val="nil"/>
              <w:bottom w:val="nil"/>
              <w:right w:val="nil"/>
            </w:tcBorders>
            <w:tcMar>
              <w:top w:w="100" w:type="dxa"/>
              <w:left w:w="100" w:type="dxa"/>
              <w:bottom w:w="100" w:type="dxa"/>
              <w:right w:w="100" w:type="dxa"/>
            </w:tcMar>
          </w:tcPr>
          <w:p w14:paraId="739106FE"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Too much toothpaste can cause permanent </w:t>
            </w:r>
            <w:proofErr w:type="spellStart"/>
            <w:r>
              <w:rPr>
                <w:rFonts w:ascii="Times New Roman" w:eastAsia="Times New Roman" w:hAnsi="Times New Roman" w:cs="Times New Roman"/>
                <w:sz w:val="20"/>
                <w:szCs w:val="20"/>
              </w:rPr>
              <w:t>discolored</w:t>
            </w:r>
            <w:proofErr w:type="spellEnd"/>
            <w:r>
              <w:rPr>
                <w:rFonts w:ascii="Times New Roman" w:eastAsia="Times New Roman" w:hAnsi="Times New Roman" w:cs="Times New Roman"/>
                <w:sz w:val="20"/>
                <w:szCs w:val="20"/>
              </w:rPr>
              <w:t xml:space="preserve"> spots on teeth</w:t>
            </w:r>
          </w:p>
        </w:tc>
        <w:tc>
          <w:tcPr>
            <w:tcW w:w="1805" w:type="dxa"/>
            <w:tcBorders>
              <w:top w:val="nil"/>
              <w:left w:val="nil"/>
              <w:bottom w:val="nil"/>
              <w:right w:val="nil"/>
            </w:tcBorders>
            <w:tcMar>
              <w:top w:w="100" w:type="dxa"/>
              <w:left w:w="100" w:type="dxa"/>
              <w:bottom w:w="100" w:type="dxa"/>
              <w:right w:w="100" w:type="dxa"/>
            </w:tcMar>
          </w:tcPr>
          <w:p w14:paraId="1DC6320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MB</w:t>
            </w:r>
          </w:p>
        </w:tc>
        <w:tc>
          <w:tcPr>
            <w:tcW w:w="1805" w:type="dxa"/>
            <w:tcBorders>
              <w:top w:val="nil"/>
              <w:left w:val="nil"/>
              <w:bottom w:val="nil"/>
              <w:right w:val="nil"/>
            </w:tcBorders>
            <w:tcMar>
              <w:top w:w="100" w:type="dxa"/>
              <w:left w:w="100" w:type="dxa"/>
              <w:bottom w:w="100" w:type="dxa"/>
              <w:right w:w="100" w:type="dxa"/>
            </w:tcMar>
          </w:tcPr>
          <w:p w14:paraId="577A758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Moderate</w:t>
            </w:r>
          </w:p>
        </w:tc>
        <w:tc>
          <w:tcPr>
            <w:tcW w:w="1805" w:type="dxa"/>
            <w:tcBorders>
              <w:top w:val="nil"/>
              <w:left w:val="nil"/>
              <w:bottom w:val="nil"/>
              <w:right w:val="nil"/>
            </w:tcBorders>
            <w:tcMar>
              <w:top w:w="100" w:type="dxa"/>
              <w:left w:w="100" w:type="dxa"/>
              <w:bottom w:w="100" w:type="dxa"/>
              <w:right w:w="100" w:type="dxa"/>
            </w:tcMar>
          </w:tcPr>
          <w:p w14:paraId="0FFBE2B0" w14:textId="3FF3615A"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ecrwCCQl","properties":{"unsorted":false,"formattedCitation":"[42,43]","plainCitation":"[42,43]","noteIndex":0},"citationItems":[{"id":531,"uris":["http://zotero.org/users/13599032/items/UBYBI53S"],"itemData":{"id":531,"type":"article-journal","abstract":"BACKGROUND: For many years, topical use of fluorides has gained greater popularity than systemic use of fluorides. A possible adverse effect associated with the use of topical fluoride is the development of dental fluorosis due to the ingestion of excessive fluoride by young children with developing teeth.\nOBJECTIVES: To describe the relationship between the use of topical fluorides in young children and the risk of developing dental fluorosis.\nSEARCH STRATEGY: Electronic search of the Cochrane Oral Health Group Trials Register, CENTRAL, MEDLINE, EMBASE, BIOSIS, Dissertation Abstracts and LILACS/BBO. Reference lists from relevant articles were searched. Date of the most recent searches: 9th March 09.\nSELECTION CRITERIA: Randomised controlled trials (RCTs), quasi-RCTs, cohort studies, case-control studies and cross-sectional surveys, in which fluoride toothpastes, mouthrinses, gels, foams, paint-on solutions, and varnishes were compared to an alternative fluoride treatment, placebo or no intervention group. Children under the age of 6 years at the time topical fluorides were used.\nDATA COLLECTION AND ANALYSIS: Data from all included studies were extracted by two review authors. Risk ratios for controlled, prospective studies and odds ratios for case-control studies or cross-sectional surveys were extracted or calculated. Where both adjusted and unadjusted risk ratios or odds ratios were presented, the adjusted value was included in the meta-analysis.\nMAIN RESULTS: 25 studies were included: 2 RCTs, 1 cohort study, 6 case-control studies and 16 cross-sectional surveys. Only one RCT was judged to be at low risk of bias. The other RCT and all observational studies were judged to be at moderate to high risk of bias. Studies were included in four intervention/exposure comparisons. A statistically significant reduction in fluorosis was found if brushing of a child's teeth with fluoride toothpaste commenced after the age of 12 months odds ratio 0.70 (random-effects: 95% confidence interval 0.57 to 0.88) (data from observational studies). Inconsistent statistically significant associations were found between starting using fluoride toothpaste/toothbrushing before or after the age of 24 months and fluorosis (data from observational studies). From the RCTs, use of higher level of fluoride was associated with an increased risk of fluorosis. No significant association between the frequency of toothbrushing or the amount of fluoride toothpaste used and fluorosis was found.\nAUTHORS' CONCLUSIONS: There should be a balanced consideration between the benefits of topical fluorides in caries prevention and the risk of the development of fluorosis. Most of the available evidence focuses on mild fluorosis. There is weak unreliable evidence that starting the use of fluoride toothpaste in children under 12 months of age may be associated with an increased risk of fluorosis. The evidence for its use between the age of 12 and 24 months is equivocal. If the risk of fluorosis is of concern, the fluoride level of toothpaste for young children (under 6 years of age) is recommended to be lower than 1000 parts per million (ppm).More evidence with low risk of bias is needed. Future trials assessing the effectiveness of different types of topical fluorides (including toothpastes, gels, varnishes and mouthrinses) or different concentrations or both should ensure that they include an adequate follow-up period in order to collect data on potential fluorosis. As it is unethical to propose RCTs to assess fluorosis itself, it is acknowledged that further observational studies will be undertaken in this area. However, attention needs to be given to the choice of study design, bearing in mind that prospective, controlled studies will be less susceptible to bias than retrospective and/or uncontrolled studies.","citation-key":"wongTopicalFluorideCause2010","container-title":"The Cochrane Database of Systematic Reviews","DOI":"10.1002/14651858.CD007693.pub2","ISSN":"1469-493X","issue":"1","journalAbbreviation":"Cochrane Database Syst Rev","language":"eng","page":"CD007693","PMID":"20091645","PMCID":"PMC8078481","source":"PubMed","title":"Topical fluoride as a cause of dental fluorosis in children","volume":"2010","author":[{"family":"Wong","given":"May Cm"},{"family":"Glenny","given":"Anne-Marie"},{"family":"Tsang","given":"Boyd Wk"},{"family":"Lo","given":"Edward Cm"},{"family":"Worthington","given":"Helen V."},{"family":"Marinho","given":"Valeria Cc"}],"issued":{"date-parts":[["2010",1,20]]}}},{"id":426,"uris":["http://zotero.org/users/13599032/items/BIQE8F2Q"],"itemData":{"id":426,"type":"article-journal","abstract":"This systematic review and meta-analysis aimed to evaluate the ingestion of toothpaste and its sequelae. The study adhered to the PRISMA guidelines and was registered in the PROSPERO database. A comprehensive search strategy was conducted across multiple databases, resulting in the inclusion of 18 relevant publications. Eligible studies encompassed various designs and included both children and adults as the study population. Data extraction was carried out systematically, and relevant information on study characteristics, interventions, and outcomes were collected. The assessment of bias was performed using the Joanna Briggs Institute’s Critical Appraisal Tools showing variations of bias among the included studies. The overall risk of systemic toxicity was found to be low, and no severe or life-threatening events were reported in the included studies. Furthermore, some toothpaste formulations containing higher concentrations of fluoride were associated with an increased risk of dental fluorosis. These findings have several implications for practice and policy. Healthcare providers and dental professionals should emphasize the importance of promoting safe toothpaste use, especially in vulnerable populations such as young children who are more prone to accidental ingestion. Public health campaigns and educational initiatives should aim to raise awareness about appropriate toothpaste usage and the potential risks. In addition, toothpaste manufacturers and regulatory bodies should consider revising guidelines and regulations to ensure the safety of oral care products, including the appropriate concentration of active ingredients. Future research should focus on investigating the long-term effects of toothpaste ingestion, exploring potential interactions between different active ingredients, and evaluating the efficacy of current preventive measures.","citation-key":"petrovicToothpasteIngestionEvaluating2023","container-title":"Frontiers in Public Health","DOI":"10.3389/fpubh.2023.1279915","ISSN":"2296-2565","journalAbbreviation":"Front. Public Health","page":"1279915","source":"DOI.org (Crossref)","title":"Toothpaste ingestion—evaluating the problem and ensuring safety: systematic review and meta-analysis","title-short":"Toothpaste ingestion—evaluating the problem and ensuring safety","volume":"11","author":[{"family":"Petrović","given":"Bojan"},{"family":"Kojić","given":"Sanja"},{"family":"Milić","given":"Lazar"},{"family":"Luzio","given":"Alessandro"},{"family":"Perić","given":"Tamara"},{"family":"Marković","given":"Evgenija"},{"family":"Stojanović","given":"Goran M."}],"issued":{"date-parts":[["2023",10,20]]}}}],"schema":"https://github.com/citation-style-language/schema/raw/master/csl-citation.json"} </w:instrText>
            </w:r>
            <w:r>
              <w:fldChar w:fldCharType="separate"/>
            </w:r>
            <w:r w:rsidR="00FE777A">
              <w:t>[42,43]</w:t>
            </w:r>
            <w:r>
              <w:fldChar w:fldCharType="end"/>
            </w:r>
          </w:p>
        </w:tc>
      </w:tr>
      <w:tr w:rsidR="003C36D5" w14:paraId="7997951F" w14:textId="77777777">
        <w:trPr>
          <w:trHeight w:val="684"/>
        </w:trPr>
        <w:tc>
          <w:tcPr>
            <w:tcW w:w="993" w:type="dxa"/>
            <w:tcBorders>
              <w:top w:val="nil"/>
              <w:left w:val="nil"/>
              <w:bottom w:val="nil"/>
              <w:right w:val="nil"/>
            </w:tcBorders>
            <w:tcMar>
              <w:top w:w="100" w:type="dxa"/>
              <w:left w:w="100" w:type="dxa"/>
              <w:bottom w:w="100" w:type="dxa"/>
              <w:right w:w="100" w:type="dxa"/>
            </w:tcMar>
          </w:tcPr>
          <w:p w14:paraId="65910F3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U05</w:t>
            </w:r>
          </w:p>
        </w:tc>
        <w:tc>
          <w:tcPr>
            <w:tcW w:w="2616" w:type="dxa"/>
            <w:tcBorders>
              <w:top w:val="nil"/>
              <w:left w:val="nil"/>
              <w:bottom w:val="nil"/>
              <w:right w:val="nil"/>
            </w:tcBorders>
            <w:tcMar>
              <w:top w:w="100" w:type="dxa"/>
              <w:left w:w="100" w:type="dxa"/>
              <w:bottom w:w="100" w:type="dxa"/>
              <w:right w:w="100" w:type="dxa"/>
            </w:tcMar>
          </w:tcPr>
          <w:p w14:paraId="0902D8D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Do not use food to comfort/sooth child</w:t>
            </w:r>
          </w:p>
        </w:tc>
        <w:tc>
          <w:tcPr>
            <w:tcW w:w="1805" w:type="dxa"/>
            <w:tcBorders>
              <w:top w:val="nil"/>
              <w:left w:val="nil"/>
              <w:bottom w:val="nil"/>
              <w:right w:val="nil"/>
            </w:tcBorders>
            <w:tcMar>
              <w:top w:w="100" w:type="dxa"/>
              <w:left w:w="100" w:type="dxa"/>
              <w:bottom w:w="100" w:type="dxa"/>
              <w:right w:w="100" w:type="dxa"/>
            </w:tcMar>
          </w:tcPr>
          <w:p w14:paraId="4D45EB6D"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MB</w:t>
            </w:r>
          </w:p>
        </w:tc>
        <w:tc>
          <w:tcPr>
            <w:tcW w:w="1805" w:type="dxa"/>
            <w:tcBorders>
              <w:top w:val="nil"/>
              <w:left w:val="nil"/>
              <w:bottom w:val="nil"/>
              <w:right w:val="nil"/>
            </w:tcBorders>
            <w:tcMar>
              <w:top w:w="100" w:type="dxa"/>
              <w:left w:w="100" w:type="dxa"/>
              <w:bottom w:w="100" w:type="dxa"/>
              <w:right w:w="100" w:type="dxa"/>
            </w:tcMar>
          </w:tcPr>
          <w:p w14:paraId="0E659256"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top w:val="nil"/>
              <w:left w:val="nil"/>
              <w:bottom w:val="nil"/>
              <w:right w:val="nil"/>
            </w:tcBorders>
            <w:tcMar>
              <w:top w:w="100" w:type="dxa"/>
              <w:left w:w="100" w:type="dxa"/>
              <w:bottom w:w="100" w:type="dxa"/>
              <w:right w:w="100" w:type="dxa"/>
            </w:tcMar>
          </w:tcPr>
          <w:p w14:paraId="69ABA9A2" w14:textId="1893C9E0"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YpZujFzW","properties":{"unsorted":false,"formattedCitation":"[44\\uc0\\u8211{}46]","plainCitation":"[44–46]","noteIndex":0},"citationItems":[{"id":533,"uris":["http://zotero.org/users/13599032/items/6YITBJIW"],"itemData":{"id":533,"type":"article-journal","abstract":"BACKGROUND: Eating behaviour in childhood has been implicated in development of early childhood caries. Parenting feeding styles can also contribute to development of various eating behaviours.\nAIM: To evaluate relationship between children's eating behaviour and parental feeding styles with ECC in preschool children.\nDESIGN: A case-control study was conducted in 440 children who were selected and divided into 2 groups: Group A-children with ECC and Group B-children without ECC. Dental caries was recorded using dmft index. The parents of children in both groups were requested to complete the Children's Eating Behaviour Questionnaire (CEBQ) and Parental Feeding Style Questionnaire (PFQ).\nRESULTS: There was positive association of food avoidance subscales of CEBQ (Satiety Responsiveness, Food Fussiness, Slowness in Eating, and Emotional Undereating) along with certain food-approaching subscales (Desire to Drink and Emotional Overeating) with dental caries status. It was also seen that parental feeding patterns such as Encouragement and Instrumental feeding contributed to decrease in dental caries of the child when compared to Control and Emotional feeding.\nCONCLUSION: Certain eating and feeding behaviours can possibly be associated with development of ECC, such behaviours can be successfully identified using CEBQ and PFQ.","citation-key":"nembhwaniImpactProblematicEating2020","container-title":"International Journal of Paediatric Dentistry","DOI":"10.1111/ipd.12628","ISSN":"1365-263X","issue":"5","journalAbbreviation":"Int J Paediatr Dent","language":"eng","page":"619-625","PMID":"32057152","source":"PubMed","title":"Impact of problematic eating behaviour and parental feeding styles on early childhood caries","volume":"30","author":[{"family":"Nembhwani","given":"Harsha V."},{"family":"Winnier","given":"Jasmin"}],"issued":{"date-parts":[["2020",9]]}}},{"id":434,"uris":["http://zotero.org/users/13599032/items/5VCUIVXP"],"itemData":{"id":434,"type":"article-journal","abstract":"Parents may influence children’s intake of sweets and sugar-sweetened beverages through their feeding styles. This study prospectively assessed the association between parental feeding styles and caries risk in preschool children. In November and December 2021, we recruited 1181 preschool children aged 3–4 years in Guangzhou, China, and then conducted a follow-up visit after 15 months. The children were examined for dental caries, and their parents answered the Chinese version of the Parental Feeding Style Questionnaire. Data were analyzed using logistic regression analysis. At baseline, ‘control over eating’ was found to be negatively associated with early childhood caries (OR = 0.60, 95%CI = 0.44, 0.83). After 15 months, no significant association between baseline parental feeding styles and the risk of a new carious lesion was found. When considering changes in parental feeding styles between the baseline and the follow-up visit, we found children with increasing scores on ‘instrumental feeding’ during the 15 months had a higher risk of a new carious lesion (OR = 1.91, 95%CI = 1.18, 3.12). However, children with always-intermediate scores (OR = 0.51, 95%CI = 0.30, 0.86), always-high scores (OR = 0.42, 95%CI = 0.23, 0.77), or increasing scores (OR = 0.50, 95%CI = 0.31, 0.83) on ‘control over eating’ had a lower risk of a new carious lesion. Our study highlighted the influence of parental feeding styles on caries risk in preschool children.","citation-key":"wenParentalFeedingStyles2023","container-title":"Nutrients","DOI":"10.3390/nu15204387","ISSN":"2072-6643","issue":"20","journalAbbreviation":"Nutrients","language":"en","page":"4387","source":"DOI.org (Crossref)","title":"Parental Feeding Styles and Risk of a New Carious Lesion in Preschool Children: A Longitudinal Study","title-short":"Parental Feeding Styles and Risk of a New Carious Lesion in Preschool Children","volume":"15","author":[{"family":"Wen","given":"Jie"},{"family":"Tao","given":"Ye"},{"family":"Pang","given":"Liangyue"},{"family":"Cao","given":"Yina"},{"family":"Lin","given":"Huancai"},{"family":"Zhou","given":"Yan"}],"issued":{"date-parts":[["2023",10,16]]}}},{"id":431,"uris":["http://zotero.org/users/13599032/items/ELEXEEY7"],"itemData":{"id":431,"type":"article-journal","citation-key":"siddiquiImpactFoodbasedIncentive2025","container-title":"Journal of Health, Population and Nutrition","DOI":"10.1186/s41043-024-00734-w","ISSN":"2072-1315","issue":"1","journalAbbreviation":"J Health Popul Nutr","language":"en","page":"35","source":"DOI.org (Crossref)","title":"The impact of food-based incentive behaviors on oral health among Saudi children: a cross-sectional study","title-short":"The impact of food-based incentive behaviors on oral health among Saudi children","volume":"44","author":[{"family":"Siddiqui","given":"Yasir Dilshad"},{"family":"Almaeen","given":"Saud Hamdan"},{"family":"Hashem","given":"Ahmed Shawkat"},{"family":"Almuntashiri","given":"Ahmed Ali Ahmed"},{"family":"Baig","given":"Mohammed Nadeem"},{"family":"Alshammari","given":"Abdullah Hammad"},{"family":"Alwaqid","given":"Rital Jamal"},{"family":"Almutairi","given":"Haifa Ali"},{"family":"Ahmed","given":"Raha"},{"family":"Issrani","given":"Rakhi"},{"family":"Chaudhary","given":"Farooq Ahmad"}],"issued":{"date-parts":[["2025",2,7]]}}}],"schema":"https://github.com/citation-style-language/schema/raw/master/csl-citation.json"} </w:instrText>
            </w:r>
            <w:r>
              <w:fldChar w:fldCharType="separate"/>
            </w:r>
            <w:r w:rsidR="00FE777A" w:rsidRPr="00FE777A">
              <w:rPr>
                <w:szCs w:val="24"/>
                <w:lang w:val="en-US"/>
              </w:rPr>
              <w:t>[44–46]</w:t>
            </w:r>
            <w:r>
              <w:fldChar w:fldCharType="end"/>
            </w:r>
          </w:p>
        </w:tc>
      </w:tr>
      <w:tr w:rsidR="003C36D5" w14:paraId="33E6865A" w14:textId="77777777">
        <w:tc>
          <w:tcPr>
            <w:tcW w:w="993" w:type="dxa"/>
            <w:tcBorders>
              <w:top w:val="nil"/>
              <w:left w:val="nil"/>
              <w:bottom w:val="nil"/>
              <w:right w:val="nil"/>
            </w:tcBorders>
            <w:tcMar>
              <w:top w:w="100" w:type="dxa"/>
              <w:left w:w="100" w:type="dxa"/>
              <w:bottom w:w="100" w:type="dxa"/>
              <w:right w:w="100" w:type="dxa"/>
            </w:tcMar>
          </w:tcPr>
          <w:p w14:paraId="4740CE55"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U06</w:t>
            </w:r>
          </w:p>
        </w:tc>
        <w:tc>
          <w:tcPr>
            <w:tcW w:w="2616" w:type="dxa"/>
            <w:tcBorders>
              <w:top w:val="nil"/>
              <w:left w:val="nil"/>
              <w:bottom w:val="nil"/>
              <w:right w:val="nil"/>
            </w:tcBorders>
            <w:tcMar>
              <w:top w:w="100" w:type="dxa"/>
              <w:left w:w="100" w:type="dxa"/>
              <w:bottom w:w="100" w:type="dxa"/>
              <w:right w:w="100" w:type="dxa"/>
            </w:tcMar>
          </w:tcPr>
          <w:p w14:paraId="1C38675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Use a teething ring rather than teething biscuits</w:t>
            </w:r>
          </w:p>
        </w:tc>
        <w:tc>
          <w:tcPr>
            <w:tcW w:w="1805" w:type="dxa"/>
            <w:tcBorders>
              <w:top w:val="nil"/>
              <w:left w:val="nil"/>
              <w:bottom w:val="nil"/>
              <w:right w:val="nil"/>
            </w:tcBorders>
            <w:tcMar>
              <w:top w:w="100" w:type="dxa"/>
              <w:left w:w="100" w:type="dxa"/>
              <w:bottom w:w="100" w:type="dxa"/>
              <w:right w:w="100" w:type="dxa"/>
            </w:tcMar>
          </w:tcPr>
          <w:p w14:paraId="3AE0A9D4"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MB</w:t>
            </w:r>
          </w:p>
        </w:tc>
        <w:tc>
          <w:tcPr>
            <w:tcW w:w="1805" w:type="dxa"/>
            <w:tcBorders>
              <w:top w:val="nil"/>
              <w:left w:val="nil"/>
              <w:bottom w:val="nil"/>
              <w:right w:val="nil"/>
            </w:tcBorders>
            <w:tcMar>
              <w:top w:w="100" w:type="dxa"/>
              <w:left w:w="100" w:type="dxa"/>
              <w:bottom w:w="100" w:type="dxa"/>
              <w:right w:w="100" w:type="dxa"/>
            </w:tcMar>
          </w:tcPr>
          <w:p w14:paraId="57DFF937"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top w:val="nil"/>
              <w:left w:val="nil"/>
              <w:bottom w:val="nil"/>
              <w:right w:val="nil"/>
            </w:tcBorders>
            <w:tcMar>
              <w:top w:w="100" w:type="dxa"/>
              <w:left w:w="100" w:type="dxa"/>
              <w:bottom w:w="100" w:type="dxa"/>
              <w:right w:w="100" w:type="dxa"/>
            </w:tcMar>
          </w:tcPr>
          <w:p w14:paraId="46688C98" w14:textId="56545210"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{"citationID":"YUVvjPQB","properties":{"unsorted":false,"formattedCitation":"[47]","plainCitation":"[47]","noteIndex":0},"citationItems":[{"id":561,"uris":["http://zotero.org/users/13599032/items/K5SC4V7J"],"itemData":{"id":561,"type":"article-journal","abstract":"Abstract\n            \n              Context\n              The impact of unhealthy foods and beverages, namely those high in sugar, salt, and saturated or trans fats, has been studied extensively in relation to weight, body composition, and noncommunicable diseases, but less so in relation to the risk of dental caries. Few previous reviews have examined the evidence from all countries globally.\n            \n            \n              Objective\n              A systematic review was conducted to assess the impact of unhealthy food and beverage consumption on the risk of dental caries in children aged ≤10 years, commissioned by the World Health Organization to inform updated complementary feeding recommendations.\n            \n            \n              Data Sources\n              Systematic searches were conducted in the PubMed, Cochrane, and Embase databases for articles meeting the inclusion criteria dating from January 1971 to March 2022; supplementary searches were undertaken for articles from that period to June 2022.\n            \n            \n              Data Extraction\n              Unhealthy foods and beverages were identified using nutrient- and food-based approaches. Risk of bias was assessed using the Risk Of Bias In Non-randomized Studies of Interventions (ROBINS-I).\n            \n            \n              Data Analysis\n              A total of 30 023 unique citations were screened, yielding 37 studies for inclusion. Studies were conducted in high-income (n = 23 [62.2%]) or middle-income countries (n = 14 [37.8%]). Evidence synthesis was performed narratively, stratified by age (0 years to &amp;lt;2 years, 2 years to &amp;lt;5 years, and 5 years to ≤10 years) and exposure (unhealthy foods and unhealthy beverages). The heterogeneity of the exposures and comparators across studies was high. Almost all studies (n = 34) reported positive associations between the consumption of sugar-sweetened beverages or foods high in free sugars and dental caries. However, 67.6% of studies were assessed as having serious risk of bias.\n            \n            \n              Conclusion\n              The evidence indicates that the consumption of unhealthy food and beverages in children ≤10 years appears to increase the risk of dental caries. Further longitudinal studies with high-quality dietary assessments, including studies in low-income countries and children aged &amp;gt;5 years at baseline, are recommended in order to build a more robust evidence base for use in the development of policy recommendations.\n            \n            \n              Systematic Review Registration\n              PROSPERO registration no. CRD42020218109.","citation-key":"largeImpactUnhealthyFood2024","container-title":"Nutrition Reviews","DOI":"10.1093/nutrit/nuad147","ISSN":"0029-6643, 1753-4887","issue":"11","language":"en","license":"https://creativecommons.org/licenses/by/4.0/","page":"1539-1555","source":"DOI.org (Crossref)","title":"Impact of unhealthy food and beverage consumption on children’s risk of dental caries: a systematic review","title-short":"Impact of unhealthy food and beverage consumption on children’s risk of dental caries","volume":"82","author":[{"family":"Large","given":"Jessica F"},{"family":"Madigan","given":"Claire"},{"family":"Pradeilles","given":"Rebecca"},{"family":"Markey","given":"Oonagh"},{"family":"Boxer","given":"Benjamin"},{"family":"Rousham","given":"Emily K"}],"issued":{"date-parts":[["2024",11,1]]}}}],"schema":"https://github.com/citation-style-language/schema/raw/master/csl-citation.json"} </w:instrText>
            </w:r>
            <w:r>
              <w:fldChar w:fldCharType="separate"/>
            </w:r>
            <w:r w:rsidR="00FE777A">
              <w:t>[47]</w:t>
            </w:r>
            <w:r>
              <w:fldChar w:fldCharType="end"/>
            </w:r>
          </w:p>
        </w:tc>
      </w:tr>
      <w:tr w:rsidR="003C36D5" w14:paraId="0DC981DE" w14:textId="77777777">
        <w:tc>
          <w:tcPr>
            <w:tcW w:w="993" w:type="dxa"/>
            <w:tcBorders>
              <w:top w:val="nil"/>
              <w:left w:val="nil"/>
              <w:bottom w:val="nil"/>
              <w:right w:val="nil"/>
            </w:tcBorders>
            <w:tcMar>
              <w:top w:w="100" w:type="dxa"/>
              <w:left w:w="100" w:type="dxa"/>
              <w:bottom w:w="100" w:type="dxa"/>
              <w:right w:w="100" w:type="dxa"/>
            </w:tcMar>
          </w:tcPr>
          <w:p w14:paraId="2DBCEA16"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U07</w:t>
            </w:r>
          </w:p>
        </w:tc>
        <w:tc>
          <w:tcPr>
            <w:tcW w:w="2616" w:type="dxa"/>
            <w:tcBorders>
              <w:top w:val="nil"/>
              <w:left w:val="nil"/>
              <w:bottom w:val="nil"/>
              <w:right w:val="nil"/>
            </w:tcBorders>
            <w:tcMar>
              <w:top w:w="100" w:type="dxa"/>
              <w:left w:w="100" w:type="dxa"/>
              <w:bottom w:w="100" w:type="dxa"/>
              <w:right w:w="100" w:type="dxa"/>
            </w:tcMar>
          </w:tcPr>
          <w:p w14:paraId="436D1B18"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Massage baby’s gums with clean finger</w:t>
            </w:r>
          </w:p>
        </w:tc>
        <w:tc>
          <w:tcPr>
            <w:tcW w:w="1805" w:type="dxa"/>
            <w:tcBorders>
              <w:top w:val="nil"/>
              <w:left w:val="nil"/>
              <w:bottom w:val="nil"/>
              <w:right w:val="nil"/>
            </w:tcBorders>
            <w:tcMar>
              <w:top w:w="100" w:type="dxa"/>
              <w:left w:w="100" w:type="dxa"/>
              <w:bottom w:w="100" w:type="dxa"/>
              <w:right w:w="100" w:type="dxa"/>
            </w:tcMar>
          </w:tcPr>
          <w:p w14:paraId="4BB53E09"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NS</w:t>
            </w:r>
          </w:p>
        </w:tc>
        <w:tc>
          <w:tcPr>
            <w:tcW w:w="1805" w:type="dxa"/>
            <w:tcBorders>
              <w:top w:val="nil"/>
              <w:left w:val="nil"/>
              <w:bottom w:val="nil"/>
              <w:right w:val="nil"/>
            </w:tcBorders>
            <w:tcMar>
              <w:top w:w="100" w:type="dxa"/>
              <w:left w:w="100" w:type="dxa"/>
              <w:bottom w:w="100" w:type="dxa"/>
              <w:right w:w="100" w:type="dxa"/>
            </w:tcMar>
          </w:tcPr>
          <w:p w14:paraId="0319C2B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Very Low</w:t>
            </w:r>
          </w:p>
        </w:tc>
        <w:tc>
          <w:tcPr>
            <w:tcW w:w="1805" w:type="dxa"/>
            <w:tcBorders>
              <w:top w:val="nil"/>
              <w:left w:val="nil"/>
              <w:bottom w:val="nil"/>
              <w:right w:val="nil"/>
            </w:tcBorders>
            <w:tcMar>
              <w:top w:w="100" w:type="dxa"/>
              <w:left w:w="100" w:type="dxa"/>
              <w:bottom w:w="100" w:type="dxa"/>
              <w:right w:w="100" w:type="dxa"/>
            </w:tcMar>
          </w:tcPr>
          <w:p w14:paraId="0E4F284B"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Consensus; no outcome study identified</w:t>
            </w:r>
          </w:p>
        </w:tc>
      </w:tr>
      <w:tr w:rsidR="003C36D5" w14:paraId="5538F16F" w14:textId="77777777">
        <w:tc>
          <w:tcPr>
            <w:tcW w:w="993" w:type="dxa"/>
            <w:tcBorders>
              <w:top w:val="nil"/>
              <w:left w:val="nil"/>
              <w:bottom w:val="nil"/>
              <w:right w:val="nil"/>
            </w:tcBorders>
            <w:tcMar>
              <w:top w:w="100" w:type="dxa"/>
              <w:left w:w="100" w:type="dxa"/>
              <w:bottom w:w="100" w:type="dxa"/>
              <w:right w:w="100" w:type="dxa"/>
            </w:tcMar>
          </w:tcPr>
          <w:p w14:paraId="0687EA1C"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U08</w:t>
            </w:r>
          </w:p>
        </w:tc>
        <w:tc>
          <w:tcPr>
            <w:tcW w:w="2616" w:type="dxa"/>
            <w:tcBorders>
              <w:top w:val="nil"/>
              <w:left w:val="nil"/>
              <w:bottom w:val="nil"/>
              <w:right w:val="nil"/>
            </w:tcBorders>
            <w:tcMar>
              <w:top w:w="100" w:type="dxa"/>
              <w:left w:w="100" w:type="dxa"/>
              <w:bottom w:w="100" w:type="dxa"/>
              <w:right w:w="100" w:type="dxa"/>
            </w:tcMar>
          </w:tcPr>
          <w:p w14:paraId="272CDA16"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Some babies might need fluoride drops after 6 months (if recommended)</w:t>
            </w:r>
          </w:p>
        </w:tc>
        <w:tc>
          <w:tcPr>
            <w:tcW w:w="1805" w:type="dxa"/>
            <w:tcBorders>
              <w:top w:val="nil"/>
              <w:left w:val="nil"/>
              <w:bottom w:val="nil"/>
              <w:right w:val="nil"/>
            </w:tcBorders>
            <w:tcMar>
              <w:top w:w="100" w:type="dxa"/>
              <w:left w:w="100" w:type="dxa"/>
              <w:bottom w:w="100" w:type="dxa"/>
              <w:right w:w="100" w:type="dxa"/>
            </w:tcMar>
          </w:tcPr>
          <w:p w14:paraId="7EB7546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NL</w:t>
            </w:r>
          </w:p>
        </w:tc>
        <w:tc>
          <w:tcPr>
            <w:tcW w:w="1805" w:type="dxa"/>
            <w:tcBorders>
              <w:top w:val="nil"/>
              <w:left w:val="nil"/>
              <w:bottom w:val="nil"/>
              <w:right w:val="nil"/>
            </w:tcBorders>
            <w:tcMar>
              <w:top w:w="100" w:type="dxa"/>
              <w:left w:w="100" w:type="dxa"/>
              <w:bottom w:w="100" w:type="dxa"/>
              <w:right w:w="100" w:type="dxa"/>
            </w:tcMar>
          </w:tcPr>
          <w:p w14:paraId="5A2D1E00"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top w:val="nil"/>
              <w:left w:val="nil"/>
              <w:bottom w:val="nil"/>
              <w:right w:val="nil"/>
            </w:tcBorders>
            <w:tcMar>
              <w:top w:w="100" w:type="dxa"/>
              <w:left w:w="100" w:type="dxa"/>
              <w:bottom w:w="100" w:type="dxa"/>
              <w:right w:w="100" w:type="dxa"/>
            </w:tcMar>
          </w:tcPr>
          <w:p w14:paraId="0FE4BD25" w14:textId="0C7348A0"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XRQhTFeq","properties":{"unsorted":false,"formattedCitation":"[48\\uc0\\u8211{}50]","plainCitation":"[48–50]","noteIndex":0},"citationItems":[{"id":535,"uris":["http://zotero.org/users/13599032/items/3MTRTNJ5"],"itemData":{"id":535,"type":"article-journal","abstract":"IMPORTANCE: A 2014 review for the US Preventive Services Task Force (USPSTF) found that oral fluoride supplementation and topical fluoride use were associated with reduced caries incidence in children younger than 5 years.\nOBJECTIVE: To update the 2014 review on dental caries screening and preventive interventions to inform the USPSTF.\nDATA SOURCES: Ovid MEDLINE, the Cochrane Central Register of Controlled Trials, and the Cochrane Database of Systematic Reviews (to September 2020); surveillance through July 23, 2021.\nSTUDY SELECTION: Randomized clinical trials (RCTs) on screening, preventive interventions, referral to dental care; cohort studies on screening and referral; studies on diagnostic accuracy of primary care oral examination or risk assessment; and a systematic review on risk of fluorosis included in prior USPSTF reviews.\nDATA EXTRACTION AND SYNTHESIS: One investigator abstracted data; a second checked accuracy. Two investigators independently rated study quality.\nRESULTS: Thirty-two studies (19 trials, 9 observational studies, and 4 nonrandomized clinical intervention studies [total 106 694 participants] and 1 systematic review [19 studies]) were included. No study evaluated effects of primary care screening on clinical outcomes. One study (n = 258) found primary care pediatrician examination associated with a sensitivity of 0.76 (95% CI, 0.55 to 0.91) and specificity of 0.95 (95% CI, 0.92 to 0.98) for identifying a child with cavities, and 1 study found a risk assessment tool associated with sensitivity of 0.53 and specificity of 0.77 (n = 697, CIs not reported) for a child with future caries. No new trials of dietary fluoride supplementation were identified. For prevention, topical fluoride compared with placebo or no topical fluoride was associated with decreased caries burden (13 trials, n = 5733; mean caries increment [difference in decayed, missing, and filled teeth or surfaces], -0.94 [95% CI, -1.74 to -0.34]) and likelihood of incident caries (12 trials, n = 8177; RR, 0.80 [95% CI, 0.66 to 0.95]; absolute risk difference, -7%) in higher-risk populations or settings, with no increased fluorosis risk. Evidence on other preventive interventions was limited (education, xylitol) or unavailable (silver diamine fluoride), and no study directly evaluated primary care dentistry referral vs no referral.\nCONCLUSIONS AND RELEVANCE: There was no direct evidence on benefits and harms of primary care oral health screening or referral to dentist. Dietary fluoride supplementation and fluoride varnish were associated with improved caries outcomes in higher-risk children and settings.","citation-key":"chouScreeningInterventionsPrevent2021","container-title":"JAMA","DOI":"10.1001/jama.2021.15658","ISSN":"1538-3598","issue":"21","journalAbbreviation":"JAMA","language":"eng","page":"2179-2192","PMID":"34874413","source":"PubMed","title":"Screening and Interventions to Prevent Dental Caries in Children Younger Than 5 Years: Updated Evidence Report and Systematic Review for the US Preventive Services Task Force","title-short":"Screening and Interventions to Prevent Dental Caries in Children Younger Than 5 Years","volume":"326","author":[{"family":"Chou","given":"Roger"},{"family":"Pappas","given":"Miranda"},{"family":"Dana","given":"Tracy"},{"family":"Selph","given":"Shelley"},{"family":"Hart","given":"Erica"},{"family":"Fu","given":"Rongwei F."},{"family":"Schwarz","given":"Eli"}],"issued":{"date-parts":[["2021",12,7]]}}},{"id":404,"uris":["http://zotero.org/users/13599032/items/9LAJNCEQ"],"itemData":{"id":404,"type":"article-journal","citation-key":"tubert-jeanninFluorideSupplementsTablets2011","container-title":"Cochrane Database of Systematic Reviews","DOI":"10.1002/14651858.CD007592.pub2","ISSN":"14651858","issue":"11","language":"en","source":"DOI.org (Crossref)","title":"Fluoride supplements (tablets, drops, lozenges or chewing gums) for preventing dental caries in children","URL":"http://doi.wiley.com/10.1002/14651858.CD007592.pub2","volume":"2019","author":[{"family":"Tubert-Jeannin","given":"Stéphanie"},{"family":"Auclair","given":"Candy"},{"family":"Amsallem","given":"Emmanuel"},{"family":"Tramini","given":"Paul"},{"family":"Gerbaud","given":"Laurent"},{"family":"Ruffieux","given":"Christiane"},{"family":"Schulte","given":"Andreas G"},{"family":"Koch","given":"Martin J"},{"family":"Rège-Walther","given":"Myriam"},{"family":"Ismail","given":"Amid"}],"editor":[{"literal":"Cochrane Oral Health Group"}],"accessed":{"date-parts":[["2026",8,1]]},"issued":{"date-parts":[["2011",12,7]]}}},{"id":539,"uris":["http://zotero.org/users/13599032/items/UDSUHAPH"],"itemData":{"id":539,"type":"article-journal","abstract":"BACKGROUND: In this review, the authors examine evidence regarding the effectiveness of fluoride supplements in preventing caries and their association with dental fluorosis.\nMETHODS: Using tested search filters, the authors searched MEDLINE, the Cochrane Central Register of Controlled Trials, OVID Evidence-based Reviews and EMBASE. The authors agreed on the inclusion of 20 reports from 12 trials that met defined criteria. They also included five studies published since 1997 regarding the association between dental fluorosis and supplements.\nRESULTS: Eleven of the reports evaluated dosage schedules similar to that recommended by the American Dental Association. One potentially highly biased study of primary teeth of children during the first three years of life reported a 47.2 percent reduction in dental caries experience. Investigators in one trial involving 3- to 6-year-old children found a 43.0 percent difference, and another trial of children in this age group did not find a significant benefit. Researchers in several studies involving older children detected a significant reduction in caries increments in permanent teeth with the use of fluoride supplements. Fifteen of the studies had withdrawal rates of 30 percent or higher. All of the five included studies that evaluated the association between use of fluoride supplements and dental fluorosis found that use of the supplements increased the risk of mild-to-moderate fluorosis.\nCONCLUSIONS: There is weak and inconsistent evidence that the use of fluoride supplements prevents dental caries in primary teeth. There is evidence that such supplements prevent caries in permanent teeth. Mild-to-moderate dental fluorosis is a significant side effect.\nCLINICAL IMPLICATIONS: The current recommendations for use of fluoride supplements during the first six years of life should be re-examined.","citation-key":"ismailFluorideSupplementsDental2008","container-title":"Journal of the American Dental Association","DOI":"10.14219/jada.archive.2008.0071","ISSN":"0002-8177","issue":"11","journalAbbreviation":"J Am Dent Assoc","language":"eng","page":"1457-1468","PMID":"18978383","publisher-place":"1939","source":"PubMed","title":"Fluoride supplements, dental caries and fluorosis: a systematic review","title-short":"Fluoride supplements, dental caries and fluorosis","volume":"139","author":[{"family":"Ismail","given":"Amid I."},{"family":"Hasson","given":"Hana"}],"issued":{"date-parts":[["2008",11]]}}}],"schema":"https://github.com/citation-style-language/schema/raw/master/csl-citation.json"} </w:instrText>
            </w:r>
            <w:r>
              <w:fldChar w:fldCharType="separate"/>
            </w:r>
            <w:r w:rsidR="00FE777A" w:rsidRPr="00FE777A">
              <w:rPr>
                <w:szCs w:val="24"/>
                <w:lang w:val="en-US"/>
              </w:rPr>
              <w:t>[48–50]</w:t>
            </w:r>
            <w:r>
              <w:fldChar w:fldCharType="end"/>
            </w:r>
          </w:p>
        </w:tc>
      </w:tr>
      <w:tr w:rsidR="003C36D5" w14:paraId="0B32F1D0" w14:textId="77777777">
        <w:tc>
          <w:tcPr>
            <w:tcW w:w="993" w:type="dxa"/>
            <w:tcBorders>
              <w:top w:val="nil"/>
              <w:left w:val="nil"/>
              <w:bottom w:val="nil"/>
              <w:right w:val="nil"/>
            </w:tcBorders>
            <w:tcMar>
              <w:top w:w="100" w:type="dxa"/>
              <w:left w:w="100" w:type="dxa"/>
              <w:bottom w:w="100" w:type="dxa"/>
              <w:right w:w="100" w:type="dxa"/>
            </w:tcMar>
          </w:tcPr>
          <w:p w14:paraId="0493039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U09</w:t>
            </w:r>
          </w:p>
        </w:tc>
        <w:tc>
          <w:tcPr>
            <w:tcW w:w="2616" w:type="dxa"/>
            <w:tcBorders>
              <w:top w:val="nil"/>
              <w:left w:val="nil"/>
              <w:bottom w:val="nil"/>
              <w:right w:val="nil"/>
            </w:tcBorders>
            <w:tcMar>
              <w:top w:w="100" w:type="dxa"/>
              <w:left w:w="100" w:type="dxa"/>
              <w:bottom w:w="100" w:type="dxa"/>
              <w:right w:w="100" w:type="dxa"/>
            </w:tcMar>
          </w:tcPr>
          <w:p w14:paraId="16FEAB8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Ensure child receives optimal fluoride</w:t>
            </w:r>
          </w:p>
        </w:tc>
        <w:tc>
          <w:tcPr>
            <w:tcW w:w="1805" w:type="dxa"/>
            <w:tcBorders>
              <w:top w:val="nil"/>
              <w:left w:val="nil"/>
              <w:bottom w:val="nil"/>
              <w:right w:val="nil"/>
            </w:tcBorders>
            <w:tcMar>
              <w:top w:w="100" w:type="dxa"/>
              <w:left w:w="100" w:type="dxa"/>
              <w:bottom w:w="100" w:type="dxa"/>
              <w:right w:w="100" w:type="dxa"/>
            </w:tcMar>
          </w:tcPr>
          <w:p w14:paraId="430624F1"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PEI</w:t>
            </w:r>
          </w:p>
        </w:tc>
        <w:tc>
          <w:tcPr>
            <w:tcW w:w="1805" w:type="dxa"/>
            <w:tcBorders>
              <w:top w:val="nil"/>
              <w:left w:val="nil"/>
              <w:bottom w:val="nil"/>
              <w:right w:val="nil"/>
            </w:tcBorders>
            <w:tcMar>
              <w:top w:w="100" w:type="dxa"/>
              <w:left w:w="100" w:type="dxa"/>
              <w:bottom w:w="100" w:type="dxa"/>
              <w:right w:w="100" w:type="dxa"/>
            </w:tcMar>
          </w:tcPr>
          <w:p w14:paraId="5DC40A6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top w:val="nil"/>
              <w:left w:val="nil"/>
              <w:bottom w:val="nil"/>
              <w:right w:val="nil"/>
            </w:tcBorders>
            <w:tcMar>
              <w:top w:w="100" w:type="dxa"/>
              <w:left w:w="100" w:type="dxa"/>
              <w:bottom w:w="100" w:type="dxa"/>
              <w:right w:w="100" w:type="dxa"/>
            </w:tcMar>
          </w:tcPr>
          <w:p w14:paraId="44D06EAE" w14:textId="4B596E78"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ts07QDvo","properties":{"unsorted":false,"formattedCitation":"[51,52]","plainCitation":"[51,52]","noteIndex":0},"citationItems":[{"id":391,"uris":["http://zotero.org/users/13599032/items/EZKWE6QB"],"itemData":{"id":391,"type":"article-journal","citation-key":"iheozor-ejioforWaterFluoridationPrevention2024","container-title":"Cochrane Database of Systematic Reviews","DOI":"10.1002/14651858.CD010856.pub3","ISSN":"14651858","issue":"11","language":"en","source":"DOI.org (Crossref)","title":"Water fluoridation for the prevention of dental caries","URL":"http://doi.wiley.com/10.1002/14651858.CD010856.pub3","volume":"2024","editor":[{"literal":"Cochrane Oral Health Group"}],"author":[{"family":"Iheozor-Ejiofor","given":"Zipporah"},{"family":"Walsh","given":"Tanya"},{"family":"Lewis","given":"Sharon R"},{"family":"Riley","given":"Philip"},{"family":"Boyers","given":"Dwayne"},{"family":"Clarkson","given":"Janet E"},{"family":"Worthington","given":"Helen V"},{"family":"Glenny","given":"Anne-Marie"},{"family":"O'Malley","given":"Lucy"}],"accessed":{"date-parts":[["2026",8,1]]},"issued":{"date-parts":[["2024",10,4]]}}},{"id":563,"uris":["http://zotero.org/users/13599032/items/DDNXJAJA"],"itemData":{"id":563,"type":"article-journal","abstract":"Abstract\n            \n              \n                Objectives:\n                The “optimal” intake of fluoride has been widely accepted for decades as between 0.05 and 0.07 mg fluoride per kilogram of body weight (mg F/kg bw) but is based on limited scientific evidence. The purpose of this paper is to present longitudinal fluoride intake data for children free of dental fluorosis in the early</w:instrText>
            </w:r>
            <w:r w:rsidR="00FE777A">
              <w:rPr>
                <w:rFonts w:ascii="Cambria Math" w:hAnsi="Cambria Math" w:cs="Cambria Math"/>
              </w:rPr>
              <w:instrText>‐</w:instrText>
            </w:r>
            <w:r w:rsidR="00FE777A">
              <w:instrText>erupting permanent dentition and free of dental caries in both the primary and early</w:instrText>
            </w:r>
            <w:r w:rsidR="00FE777A">
              <w:rPr>
                <w:rFonts w:ascii="Cambria Math" w:hAnsi="Cambria Math" w:cs="Cambria Math"/>
              </w:rPr>
              <w:instrText>‐</w:instrText>
            </w:r>
            <w:r w:rsidR="00FE777A">
              <w:instrText>erupting permanent teeth as an estimate of optimal fluoride intake.\n                Methods:\n                Data on fluoride ingestion were obtained from parents of 602 Iowa Fluoride Study children through periodic questionnaires at the ages of 6 weeks; 3, 6, 9, 12, 16, 20, 24, 28, 32, and 36 months; and then at 6</w:instrText>
            </w:r>
            <w:r w:rsidR="00FE777A">
              <w:rPr>
                <w:rFonts w:ascii="Cambria Math" w:hAnsi="Cambria Math" w:cs="Cambria Math"/>
              </w:rPr>
              <w:instrText>‐</w:instrText>
            </w:r>
            <w:r w:rsidR="00FE777A">
              <w:instrText>month intervals thereafter. Estimates of total fluoride intake at each time point were made by summing amounts from water, dentifrice, and supplements, as well as other foods and beverages made with, or containing, water. Caries data were obtained from examinations of children at ages 5 and 9 years, whereas fluorosis data were obtained from examinations of children only at age 9 years.\n                Results:\n                The estimated mean daily fluoride intake for those children with no caries history and no fluorosis at age 9 years was at, or below, 0.05 mg F/kg bw for nearly all time points through the first 48 months of life, and this level declined thereafter. Children with caries had generally slightly less intakes, whereas those with fluorosis generally had slightly higher intakes.\n                Conclusions:\n                Given the overlap among caries/fluorosis groups in mean fluoride intake and extreme variability in individual fluoride intakes, firmly recommending an “optimal” fluoride intake is problematic.","citation-key":"warrenConsiderationsOptimalFluoride2009","container-title":"Journal of Public Health Dentistry","DOI":"10.1111/j.1752-7325.2008.00108.x","ISSN":"0022-4006, 1752-7325","issue":"2","journalAbbreviation":"J Public Health Dent","language":"en","license":"http://onlinelibrary.wiley.com/termsAndConditions#vor","page":"111-115","source":"DOI.org (Crossref)","title":"Considerations on Optimal Fluoride Intake Using Dental Fluorosis and Dental Caries Outcomes – A Longitudinal Study","volume":"69","author":[{"family":"Warren","given":"John J."},{"family":"Levy","given":"Steven M."},{"family":"Broffitt","given":"Barbara"},{"family":"Cavanaugh","given":"Joseph E."},{"family":"Kanellis","given":"Michael J."},{"family":"Weber</w:instrText>
            </w:r>
            <w:r w:rsidR="00FE777A">
              <w:rPr>
                <w:rFonts w:ascii="Cambria Math" w:hAnsi="Cambria Math" w:cs="Cambria Math"/>
              </w:rPr>
              <w:instrText>‐</w:instrText>
            </w:r>
            <w:r w:rsidR="00FE777A">
              <w:instrText xml:space="preserve">Gasparoni","given":"Karin"}],"issued":{"date-parts":[["2009",3]]}}}],"schema":"https://github.com/citation-style-language/schema/raw/master/csl-citation.json"} </w:instrText>
            </w:r>
            <w:r>
              <w:fldChar w:fldCharType="separate"/>
            </w:r>
            <w:r w:rsidR="00FE777A">
              <w:t>[51,52]</w:t>
            </w:r>
            <w:r>
              <w:fldChar w:fldCharType="end"/>
            </w:r>
          </w:p>
        </w:tc>
      </w:tr>
      <w:tr w:rsidR="003C36D5" w14:paraId="24FEA305" w14:textId="77777777">
        <w:tc>
          <w:tcPr>
            <w:tcW w:w="993" w:type="dxa"/>
            <w:tcBorders>
              <w:top w:val="nil"/>
              <w:left w:val="nil"/>
              <w:bottom w:val="nil"/>
              <w:right w:val="nil"/>
            </w:tcBorders>
            <w:tcMar>
              <w:top w:w="100" w:type="dxa"/>
              <w:left w:w="100" w:type="dxa"/>
              <w:bottom w:w="100" w:type="dxa"/>
              <w:right w:w="100" w:type="dxa"/>
            </w:tcMar>
          </w:tcPr>
          <w:p w14:paraId="3C7381EB"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U10</w:t>
            </w:r>
          </w:p>
        </w:tc>
        <w:tc>
          <w:tcPr>
            <w:tcW w:w="2616" w:type="dxa"/>
            <w:tcBorders>
              <w:top w:val="nil"/>
              <w:left w:val="nil"/>
              <w:bottom w:val="nil"/>
              <w:right w:val="nil"/>
            </w:tcBorders>
            <w:tcMar>
              <w:top w:w="100" w:type="dxa"/>
              <w:left w:w="100" w:type="dxa"/>
              <w:bottom w:w="100" w:type="dxa"/>
              <w:right w:w="100" w:type="dxa"/>
            </w:tcMar>
          </w:tcPr>
          <w:p w14:paraId="364BE78B"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Hold brush at 45 degrees with bristle aimed at the gum</w:t>
            </w:r>
          </w:p>
        </w:tc>
        <w:tc>
          <w:tcPr>
            <w:tcW w:w="1805" w:type="dxa"/>
            <w:tcBorders>
              <w:top w:val="nil"/>
              <w:left w:val="nil"/>
              <w:bottom w:val="nil"/>
              <w:right w:val="nil"/>
            </w:tcBorders>
            <w:tcMar>
              <w:top w:w="100" w:type="dxa"/>
              <w:left w:w="100" w:type="dxa"/>
              <w:bottom w:w="100" w:type="dxa"/>
              <w:right w:w="100" w:type="dxa"/>
            </w:tcMar>
          </w:tcPr>
          <w:p w14:paraId="18FE8ACD"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NU</w:t>
            </w:r>
          </w:p>
        </w:tc>
        <w:tc>
          <w:tcPr>
            <w:tcW w:w="1805" w:type="dxa"/>
            <w:tcBorders>
              <w:top w:val="nil"/>
              <w:left w:val="nil"/>
              <w:bottom w:val="nil"/>
              <w:right w:val="nil"/>
            </w:tcBorders>
            <w:tcMar>
              <w:top w:w="100" w:type="dxa"/>
              <w:left w:w="100" w:type="dxa"/>
              <w:bottom w:w="100" w:type="dxa"/>
              <w:right w:w="100" w:type="dxa"/>
            </w:tcMar>
          </w:tcPr>
          <w:p w14:paraId="781FA300"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top w:val="nil"/>
              <w:left w:val="nil"/>
              <w:bottom w:val="nil"/>
              <w:right w:val="nil"/>
            </w:tcBorders>
            <w:tcMar>
              <w:top w:w="100" w:type="dxa"/>
              <w:left w:w="100" w:type="dxa"/>
              <w:bottom w:w="100" w:type="dxa"/>
              <w:right w:w="100" w:type="dxa"/>
            </w:tcMar>
          </w:tcPr>
          <w:p w14:paraId="70BD309B" w14:textId="05DC171F"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2RYGrmyG","properties":{"unsorted":false,"formattedCitation":"[17,53,54]","plainCitation":"[17,53,54]","noteIndex":0},"citationItems":[{"id":381,"uris":["http://zotero.org/users/13599032/items/NVRSHP65"],"itemData":{"id":381,"type":"article-journal","abstract":"Background\n              The meaning of the toothbrushing technique for the effectivity of toothbrushing in terms of plaque removal and parameters of gingivitis is unknown. This systematic review and network meta-analysis (NMA) aimed to synthesize evidence from randomized controlled trials (RCTs).\n            \n            \n              Methods\n              We searched MEDLINE (PubMed), the Cochrane Central Register of Controlled Trials, and the Web of Science for RCTs that compared any self-applied manual toothbrushing technique to any other technique or control and assessed plaque after toothbrushing and gingivitis. Where intervention effects were recorded repeatedly, the last post-intervention assessment was treated as the primary outcome date (POD), and the assessment closest to the intervention as the secondary outcome date (SOD). Age restrictions were not imposed. Participants with fixed orthodontic appliances were excluded. The evidence was evaluated using the Confidence in Network Meta-Analyses (CINeMA) approach, which is based on the Grading of Recommendations Assessment, Development and Evaluation (GRADE) approach.\n            \n            \n              Results\n              Thirteen publications, including 15 studies, were identified. Ten studies assessing the Fones, Bass, and Scrub techniques provided data eligible for the NMA. The confidence rating of the evidence varied from very low to high in the case of plaque, and from very low to low in the case of gingivitis. Regarding PODs, Fones probably reduces plaque slightly compared with no training; the evidence is very uncertain that Fones may have little to no effect on gingivitis. Bass may result in little to no difference in plaque; the evidence that Bass may result in a slight increase in gingivitis is very uncertain. The evidence is very uncertain that Scrub may result in little to no difference in plaque at the SOD (no POD-data available) and that it may result in a slight increase in gingivitis.\n            \n            \n              Conclusion\n              There is limited evidence regarding the effects of toothbrushing techniques on plaque after brushing or gingivitis.","citation-key":"deinzerManualToothbrushingTechniques2024","container-title":"PLOS ONE","DOI":"10.1371/journal.pone.0306302","ISSN":"1932-6203","issue":"7","journalAbbreviation":"PLoS ONE","language":"en","page":"e0306302","source":"DOI.org (Crossref)","title":"Manual toothbrushing techniques for plaque removal and the prevention of gingivitis—A systematic review with network meta-analysis","volume":"19","author":[{"family":"Deinzer","given":"Renate"},{"family":"Weik","given":"Ulrike"},{"family":"Eidenhardt","given":"Zdenka"},{"family":"Leufkens","given":"Daniel"},{"family":"Sälzer","given":"Sonja"}],"editor":[{"family":"Costa","given":"Fernando Oliveira"}],"issued":{"date-parts":[["2024",7,5]]}}},{"id":570,"uris":["http://zotero.org/users/13599032/items/UWF2W7YD"],"itemData":{"id":570,"type":"article-journal","abstract":"Objectives: Poor oral hygiene among children is major cause of gingivitis, caries, and especially orphans constitute socially disadvantaged group. The objective of the study was to assess the efficacy of a tailored tooth brushing program to improve supragingival plaque control and gingival health among 13–17-year-old orphan children in Chennai city over a period of 21 days. Materials and Methods: A double-blind parallel, controlled clinical trial was conducted among 60 orphan children (28 males and 32 females) with mean age of 15.24 years. Dental plaque was assessed using the Turesky modification of Quigley-Hein index; gingival inflammation was assessed using gingival index at initial visit and after 14 and 21 days. Subjects were randomly allocated into one of two groups (study – audiovisual and individual demonstration of brushing technique with reinforcement at 14 days follow-up/control – only individual demonstration) and instructed to brush twice daily using modified bass technique with the toothbrush and paste provided throughout the trial. Results: The children who had audiovisual, individual demonstrations of brushing technique exhibited significantly superior total oral plaque control and significant reduction in the gingival inflammation at the end of 21 days trial (P &lt; 0.05). The study group participants reported improved compliance and motivation to practice modified bass technique because of the reinforcement. Conclusion: The children who had both audiovisual and individual demonstration exhibited superior total plaque control and gingival health compared to control group and continued to demonstrate modified bass technique without any reinforcement at the end of 21 days trial.","citation-key":"vijayasekaramTailoredToothBrushing2020","container-title":"Journal of Global Oral Health","DOI":"10.25259/JGOH_39_2020","ISSN":"2643-4709","issue":"2","journalAbbreviation":"J Glob Oral Health","language":"en","page":"118-122","publisher":"Scientific Scholar","source":"jglobaloralhealth.org","title":"A tailored tooth brushing program to control plaque accumulation and gingivitis among orphan children: A randomized trial","title-short":"A tailored tooth brushing program to control plaque accumulation and gingivitis among orphan children","volume":"3","author":[{"family":"Vijayasekaram","given":"Rajitharan"},{"family":"Senerath","given":"Osheda"},{"family":"Thevarasah","given":"Nivethika"},{"family":"Baig","given":"Mohammed Habibulla"},{"family":"Raj","given":"S. S."}],"issued":{"date-parts":[["2020",11,19]]}}},{"id":580,"uris":["http://zotero.org/users/13599032/items/AQXTC4VT"],"itemData":{"id":580,"type":"article-journal","citation-key":"patilEffectivenessDifferentTooth2014","container-title":"Journal of International Society of Preventive and Community Dentistry","DOI":"10.4103/2231-0762.138305","ISSN":"2231-0762","issue":"2","journalAbbreviation":"J Int Soc Prevent Communit Dent","language":"en","page":"113","source":"DOI.org (Crossref)","title":"Effectiveness of different tooth brushing techniques on the removal of dental plaque in 6-8 year old children of Gulbarga","volume":"4","author":[{"family":"Patil","given":"SmitaP"},{"family":"Patil","given":"PrashantB"},{"family":"Kashetty","given":"MeenaV"}],"issued":{"date-parts":[["2014"]]}}}],"schema":"https://github.com/citation-style-language/schema/raw/master/csl-citation.json"} </w:instrText>
            </w:r>
            <w:r>
              <w:fldChar w:fldCharType="separate"/>
            </w:r>
            <w:r w:rsidR="00FE777A">
              <w:t>[17,53,54]</w:t>
            </w:r>
            <w:r>
              <w:fldChar w:fldCharType="end"/>
            </w:r>
          </w:p>
        </w:tc>
      </w:tr>
      <w:tr w:rsidR="003C36D5" w14:paraId="6196527F" w14:textId="77777777">
        <w:tc>
          <w:tcPr>
            <w:tcW w:w="993" w:type="dxa"/>
            <w:tcBorders>
              <w:top w:val="nil"/>
              <w:left w:val="nil"/>
              <w:bottom w:val="nil"/>
              <w:right w:val="nil"/>
            </w:tcBorders>
            <w:tcMar>
              <w:top w:w="100" w:type="dxa"/>
              <w:left w:w="100" w:type="dxa"/>
              <w:bottom w:w="100" w:type="dxa"/>
              <w:right w:w="100" w:type="dxa"/>
            </w:tcMar>
          </w:tcPr>
          <w:p w14:paraId="57C0C245"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U11</w:t>
            </w:r>
          </w:p>
        </w:tc>
        <w:tc>
          <w:tcPr>
            <w:tcW w:w="2616" w:type="dxa"/>
            <w:tcBorders>
              <w:top w:val="nil"/>
              <w:left w:val="nil"/>
              <w:bottom w:val="nil"/>
              <w:right w:val="nil"/>
            </w:tcBorders>
            <w:tcMar>
              <w:top w:w="100" w:type="dxa"/>
              <w:left w:w="100" w:type="dxa"/>
              <w:bottom w:w="100" w:type="dxa"/>
              <w:right w:w="100" w:type="dxa"/>
            </w:tcMar>
          </w:tcPr>
          <w:p w14:paraId="18E9A78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As permanent teeth appear, ask about dental sealants</w:t>
            </w:r>
          </w:p>
        </w:tc>
        <w:tc>
          <w:tcPr>
            <w:tcW w:w="1805" w:type="dxa"/>
            <w:tcBorders>
              <w:top w:val="nil"/>
              <w:left w:val="nil"/>
              <w:bottom w:val="nil"/>
              <w:right w:val="nil"/>
            </w:tcBorders>
            <w:tcMar>
              <w:top w:w="100" w:type="dxa"/>
              <w:left w:w="100" w:type="dxa"/>
              <w:bottom w:w="100" w:type="dxa"/>
              <w:right w:w="100" w:type="dxa"/>
            </w:tcMar>
          </w:tcPr>
          <w:p w14:paraId="56CCFDC6"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GoC</w:t>
            </w:r>
          </w:p>
        </w:tc>
        <w:tc>
          <w:tcPr>
            <w:tcW w:w="1805" w:type="dxa"/>
            <w:tcBorders>
              <w:top w:val="nil"/>
              <w:left w:val="nil"/>
              <w:bottom w:val="nil"/>
              <w:right w:val="nil"/>
            </w:tcBorders>
            <w:tcMar>
              <w:top w:w="100" w:type="dxa"/>
              <w:left w:w="100" w:type="dxa"/>
              <w:bottom w:w="100" w:type="dxa"/>
              <w:right w:w="100" w:type="dxa"/>
            </w:tcMar>
          </w:tcPr>
          <w:p w14:paraId="113067F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Moderate</w:t>
            </w:r>
          </w:p>
        </w:tc>
        <w:tc>
          <w:tcPr>
            <w:tcW w:w="1805" w:type="dxa"/>
            <w:tcBorders>
              <w:top w:val="nil"/>
              <w:left w:val="nil"/>
              <w:bottom w:val="nil"/>
              <w:right w:val="nil"/>
            </w:tcBorders>
            <w:tcMar>
              <w:top w:w="100" w:type="dxa"/>
              <w:left w:w="100" w:type="dxa"/>
              <w:bottom w:w="100" w:type="dxa"/>
              <w:right w:w="100" w:type="dxa"/>
            </w:tcMar>
          </w:tcPr>
          <w:p w14:paraId="0910B903" w14:textId="44E20969"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AM8X1QcR","properties":{"unsorted":false,"formattedCitation":"[55]","plainCitation":"[55]","noteIndex":0},"citationItems":[{"id":393,"uris":["http://zotero.org/users/13599032/items/UV2EBVJ6"],"itemData":{"id":393,"type":"article-journal","citation-key":"ahovuo-salorantaPitFissureSealants2017","container-title":"Cochrane Database of Systematic Reviews","DOI":"10.1002/14651858.CD001830.pub5","ISSN":"14651858","issue":"7","language":"en","source":"DOI.org (Crossref)","title":"Pit and fissure sealants for preventing dental decay in permanent teeth","URL":"http://doi.wiley.com/10.1002/14651858.CD001830.pub5","volume":"2017","author":[{"family":"Ahovuo-Saloranta","given":"Anneli"},{"family":"Forss","given":"Helena"},{"family":"Walsh","given":"Tanya"},{"family":"Nordblad","given":"Anne"},{"family":"Mäkelä","given":"Marjukka"},{"family":"Worthington","given":"Helen V"}],"editor":[{"literal":"Cochrane Oral Health Group"}],"accessed":{"date-parts":[["2026",8,1]]},"issued":{"date-parts":[["2017",7,31]]}}}],"schema":"https://github.com/citation-style-language/schema/raw/master/csl-citation.json"} </w:instrText>
            </w:r>
            <w:r>
              <w:fldChar w:fldCharType="separate"/>
            </w:r>
            <w:r w:rsidR="00FE777A">
              <w:t>[55]</w:t>
            </w:r>
            <w:r>
              <w:fldChar w:fldCharType="end"/>
            </w:r>
          </w:p>
        </w:tc>
      </w:tr>
      <w:tr w:rsidR="003C36D5" w14:paraId="3DB7408E" w14:textId="77777777">
        <w:tc>
          <w:tcPr>
            <w:tcW w:w="993" w:type="dxa"/>
            <w:tcBorders>
              <w:top w:val="nil"/>
              <w:left w:val="nil"/>
              <w:bottom w:val="nil"/>
              <w:right w:val="nil"/>
            </w:tcBorders>
            <w:tcMar>
              <w:top w:w="100" w:type="dxa"/>
              <w:left w:w="100" w:type="dxa"/>
              <w:bottom w:w="100" w:type="dxa"/>
              <w:right w:w="100" w:type="dxa"/>
            </w:tcMar>
          </w:tcPr>
          <w:p w14:paraId="5EE7CAFF"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U12</w:t>
            </w:r>
          </w:p>
        </w:tc>
        <w:tc>
          <w:tcPr>
            <w:tcW w:w="2616" w:type="dxa"/>
            <w:tcBorders>
              <w:top w:val="nil"/>
              <w:left w:val="nil"/>
              <w:bottom w:val="nil"/>
              <w:right w:val="nil"/>
            </w:tcBorders>
            <w:tcMar>
              <w:top w:w="100" w:type="dxa"/>
              <w:left w:w="100" w:type="dxa"/>
              <w:bottom w:w="100" w:type="dxa"/>
              <w:right w:w="100" w:type="dxa"/>
            </w:tcMar>
          </w:tcPr>
          <w:p w14:paraId="7D6371F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Never give fluoridated mouthwash to children &lt;6 years old</w:t>
            </w:r>
          </w:p>
        </w:tc>
        <w:tc>
          <w:tcPr>
            <w:tcW w:w="1805" w:type="dxa"/>
            <w:tcBorders>
              <w:top w:val="nil"/>
              <w:left w:val="nil"/>
              <w:bottom w:val="nil"/>
              <w:right w:val="nil"/>
            </w:tcBorders>
            <w:tcMar>
              <w:top w:w="100" w:type="dxa"/>
              <w:left w:w="100" w:type="dxa"/>
              <w:bottom w:w="100" w:type="dxa"/>
              <w:right w:w="100" w:type="dxa"/>
            </w:tcMar>
          </w:tcPr>
          <w:p w14:paraId="6B1764E5"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GoC</w:t>
            </w:r>
          </w:p>
        </w:tc>
        <w:tc>
          <w:tcPr>
            <w:tcW w:w="1805" w:type="dxa"/>
            <w:tcBorders>
              <w:top w:val="nil"/>
              <w:left w:val="nil"/>
              <w:bottom w:val="nil"/>
              <w:right w:val="nil"/>
            </w:tcBorders>
            <w:tcMar>
              <w:top w:w="100" w:type="dxa"/>
              <w:left w:w="100" w:type="dxa"/>
              <w:bottom w:w="100" w:type="dxa"/>
              <w:right w:w="100" w:type="dxa"/>
            </w:tcMar>
          </w:tcPr>
          <w:p w14:paraId="7B869B80"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top w:val="nil"/>
              <w:left w:val="nil"/>
              <w:bottom w:val="nil"/>
              <w:right w:val="nil"/>
            </w:tcBorders>
            <w:tcMar>
              <w:top w:w="100" w:type="dxa"/>
              <w:left w:w="100" w:type="dxa"/>
              <w:bottom w:w="100" w:type="dxa"/>
              <w:right w:w="100" w:type="dxa"/>
            </w:tcMar>
          </w:tcPr>
          <w:p w14:paraId="76087682" w14:textId="0A609BEF"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PRiH1g8O","properties":{"unsorted":false,"formattedCitation":"[56]","plainCitation":"[56]","noteIndex":0},"citationItems":[{"id":398,"uris":["http://zotero.org/users/13599032/items/YUW72XQV"],"itemData":{"id":398,"type":"article-journal","citation-key":"marinhoFluorideMouthrinsesPreventing2016","container-title":"Cochrane Database of Systematic Reviews","DOI":"10.1002/14651858.CD002284.pub2","ISSN":"14651858","issue":"2","language":"en","source":"DOI.org (Crossref)","title":"Fluoride mouthrinses for preventing dental caries in children and adolescents","URL":"http://doi.wiley.com/10.1002/14651858.CD002284.pub2","volume":"2021","editor":[{"literal":"Cochrane Oral Health Group"}],"author":[{"family":"Marinho","given":"Valeria Cc"},{"family":"Chong","given":"Lee-Yee"},{"family":"Worthington","given":"Helen V"},{"family":"Walsh","given":"Tanya"}],"accessed":{"date-parts":[["2026",8,1]]},"issued":{"date-parts":[["2016",7,29]]}}}],"schema":"https://github.com/citation-style-language/schema/raw/master/csl-citation.json"} </w:instrText>
            </w:r>
            <w:r>
              <w:fldChar w:fldCharType="separate"/>
            </w:r>
            <w:r w:rsidR="00FE777A">
              <w:t>[56]</w:t>
            </w:r>
            <w:r>
              <w:fldChar w:fldCharType="end"/>
            </w:r>
          </w:p>
        </w:tc>
      </w:tr>
      <w:tr w:rsidR="003C36D5" w14:paraId="7307339D" w14:textId="77777777">
        <w:tc>
          <w:tcPr>
            <w:tcW w:w="993" w:type="dxa"/>
            <w:tcBorders>
              <w:top w:val="nil"/>
              <w:left w:val="nil"/>
              <w:bottom w:val="nil"/>
              <w:right w:val="nil"/>
            </w:tcBorders>
            <w:tcMar>
              <w:top w:w="100" w:type="dxa"/>
              <w:left w:w="100" w:type="dxa"/>
              <w:bottom w:w="100" w:type="dxa"/>
              <w:right w:w="100" w:type="dxa"/>
            </w:tcMar>
          </w:tcPr>
          <w:p w14:paraId="3A344DA5"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U13</w:t>
            </w:r>
          </w:p>
        </w:tc>
        <w:tc>
          <w:tcPr>
            <w:tcW w:w="2616" w:type="dxa"/>
            <w:tcBorders>
              <w:top w:val="nil"/>
              <w:left w:val="nil"/>
              <w:bottom w:val="nil"/>
              <w:right w:val="nil"/>
            </w:tcBorders>
            <w:tcMar>
              <w:top w:w="100" w:type="dxa"/>
              <w:left w:w="100" w:type="dxa"/>
              <w:bottom w:w="100" w:type="dxa"/>
              <w:right w:w="100" w:type="dxa"/>
            </w:tcMar>
          </w:tcPr>
          <w:p w14:paraId="0393866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For infant formula, municipal tap water/municipal bottled water are safe to use (except carbonated/mineral)</w:t>
            </w:r>
          </w:p>
        </w:tc>
        <w:tc>
          <w:tcPr>
            <w:tcW w:w="1805" w:type="dxa"/>
            <w:tcBorders>
              <w:top w:val="nil"/>
              <w:left w:val="nil"/>
              <w:bottom w:val="nil"/>
              <w:right w:val="nil"/>
            </w:tcBorders>
            <w:tcMar>
              <w:top w:w="100" w:type="dxa"/>
              <w:left w:w="100" w:type="dxa"/>
              <w:bottom w:w="100" w:type="dxa"/>
              <w:right w:w="100" w:type="dxa"/>
            </w:tcMar>
          </w:tcPr>
          <w:p w14:paraId="4D985152"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GoC</w:t>
            </w:r>
          </w:p>
        </w:tc>
        <w:tc>
          <w:tcPr>
            <w:tcW w:w="1805" w:type="dxa"/>
            <w:tcBorders>
              <w:top w:val="nil"/>
              <w:left w:val="nil"/>
              <w:bottom w:val="nil"/>
              <w:right w:val="nil"/>
            </w:tcBorders>
            <w:tcMar>
              <w:top w:w="100" w:type="dxa"/>
              <w:left w:w="100" w:type="dxa"/>
              <w:bottom w:w="100" w:type="dxa"/>
              <w:right w:w="100" w:type="dxa"/>
            </w:tcMar>
          </w:tcPr>
          <w:p w14:paraId="6774953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top w:val="nil"/>
              <w:left w:val="nil"/>
              <w:bottom w:val="nil"/>
              <w:right w:val="nil"/>
            </w:tcBorders>
            <w:tcMar>
              <w:top w:w="100" w:type="dxa"/>
              <w:left w:w="100" w:type="dxa"/>
              <w:bottom w:w="100" w:type="dxa"/>
              <w:right w:w="100" w:type="dxa"/>
            </w:tcMar>
          </w:tcPr>
          <w:p w14:paraId="7E8C9A45" w14:textId="773049B5"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{"citationID":"eD5jsorl","properties":{"unsorted":false,"formattedCitation":"[57]","plainCitation":"[57]","noteIndex":0},"citationItems":[{"id":540,"uris":["http://zotero.org/users/13599032/items/WZ7P3LTQ"],"itemData":{"id":540,"type":"article-journal","abstract":"BACKGROUND: Researchers have considered infant formula consumption a potential risk factor for enamel fluorosis in the U.S. population. The authors conducted a systematic review of controlled studies regarding the risk of developing enamel fluorosis associated with use of infant formula.\nMETHODS: One reviewer independently conducted systematic searches in eight databases. The authors then abstracted information, assessed study quality and combined odds ratios (ORs), when obtainable, by using a random-effects model.\nRESULTS: After evaluating 969 potentially eligible published studies, the reviewers found that the authors of 41 studies had evaluated the effect of infant formula on enamel fluorosis risk. Authors of 14 of the 41 studies did not report their findings in their results. The authors of the remaining 27 published studies reported the findings of 19 observational studies; authors of 17 of these 19 studies reported ORs and, among these, infant formula consumption was associated with a higher prevalence of enamel fluorosis in the permanent dentition (summary OR 1.8, 95 percent confidence interval [CI] 1.4-2.3). There was significant heterogeneity among studies (I(2) 66 percent) and evidence of publication bias (P = .002). A metaregression analysis indicated that the ORs associating infant formula with enamel fluorosis increased by 5 percent for each 0.1-part-per-million increase in the reported levels of fluoride in the water supply (OR 1.05, 95 percent CI 1.02-1.09).\nCLINICAL IMPLICATIONS: Infant formula consumption may be associated with an increased risk of developing at least some detectable level of enamel fluorosis, which depends on the level of fluoride in the water supply. The evidence that the fluoride in the infant formula caused enamel fluorosis was weak, as other mechanisms could explain the observed association.","citation-key":"hujoelInfantFormulaEnamel2009","container-title":"Journal of the American Dental Association","DOI":"10.14219/jada.archive.2009.0278","ISSN":"1943-4723","issue":"7","journalAbbreviation":"J Am Dent Assoc","language":"eng","page":"841-854","PMID":"19571048","publisher-place":"1939","source":"PubMed","title":"Infant formula and enamel fluorosis: a systematic review","title-short":"Infant formula and enamel fluorosis","volume":"140","author":[{"family":"Hujoel","given":"Philippe P."},{"family":"Zina","given":"Lívia G."},{"family":"Moimaz","given":"Suzely A. S."},{"family":"Cunha-Cruz","given":"Joana"}],"issued":{"date-parts":[["2009",7]]}}}],"schema":"https://github.com/citation-style-language/schema/raw/master/csl-citation.json"} </w:instrText>
            </w:r>
            <w:r>
              <w:fldChar w:fldCharType="separate"/>
            </w:r>
            <w:r w:rsidR="00FE777A">
              <w:t>[57]</w:t>
            </w:r>
            <w:r>
              <w:fldChar w:fldCharType="end"/>
            </w:r>
          </w:p>
        </w:tc>
      </w:tr>
      <w:tr w:rsidR="003C36D5" w14:paraId="776A7AEA" w14:textId="77777777">
        <w:tc>
          <w:tcPr>
            <w:tcW w:w="993" w:type="dxa"/>
            <w:tcBorders>
              <w:top w:val="nil"/>
              <w:left w:val="nil"/>
              <w:bottom w:val="nil"/>
              <w:right w:val="nil"/>
            </w:tcBorders>
            <w:tcMar>
              <w:top w:w="100" w:type="dxa"/>
              <w:left w:w="100" w:type="dxa"/>
              <w:bottom w:w="100" w:type="dxa"/>
              <w:right w:w="100" w:type="dxa"/>
            </w:tcMar>
          </w:tcPr>
          <w:p w14:paraId="7653F31C"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U14</w:t>
            </w:r>
          </w:p>
        </w:tc>
        <w:tc>
          <w:tcPr>
            <w:tcW w:w="2616" w:type="dxa"/>
            <w:tcBorders>
              <w:top w:val="nil"/>
              <w:left w:val="nil"/>
              <w:bottom w:val="nil"/>
              <w:right w:val="nil"/>
            </w:tcBorders>
            <w:tcMar>
              <w:top w:w="100" w:type="dxa"/>
              <w:left w:w="100" w:type="dxa"/>
              <w:bottom w:w="100" w:type="dxa"/>
              <w:right w:w="100" w:type="dxa"/>
            </w:tcMar>
          </w:tcPr>
          <w:p w14:paraId="0DA27AB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Introduce solid foods at ~6 months &amp; transition from formula to whole cow’s milk at 1 year</w:t>
            </w:r>
          </w:p>
        </w:tc>
        <w:tc>
          <w:tcPr>
            <w:tcW w:w="1805" w:type="dxa"/>
            <w:tcBorders>
              <w:top w:val="nil"/>
              <w:left w:val="nil"/>
              <w:bottom w:val="nil"/>
              <w:right w:val="nil"/>
            </w:tcBorders>
            <w:tcMar>
              <w:top w:w="100" w:type="dxa"/>
              <w:left w:w="100" w:type="dxa"/>
              <w:bottom w:w="100" w:type="dxa"/>
              <w:right w:w="100" w:type="dxa"/>
            </w:tcMar>
          </w:tcPr>
          <w:p w14:paraId="2D4AE74C"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GoC</w:t>
            </w:r>
          </w:p>
        </w:tc>
        <w:tc>
          <w:tcPr>
            <w:tcW w:w="1805" w:type="dxa"/>
            <w:tcBorders>
              <w:top w:val="nil"/>
              <w:left w:val="nil"/>
              <w:bottom w:val="nil"/>
              <w:right w:val="nil"/>
            </w:tcBorders>
            <w:tcMar>
              <w:top w:w="100" w:type="dxa"/>
              <w:left w:w="100" w:type="dxa"/>
              <w:bottom w:w="100" w:type="dxa"/>
              <w:right w:w="100" w:type="dxa"/>
            </w:tcMar>
          </w:tcPr>
          <w:p w14:paraId="2D980B27"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top w:val="nil"/>
              <w:left w:val="nil"/>
              <w:bottom w:val="nil"/>
              <w:right w:val="nil"/>
            </w:tcBorders>
            <w:tcMar>
              <w:top w:w="100" w:type="dxa"/>
              <w:left w:w="100" w:type="dxa"/>
              <w:bottom w:w="100" w:type="dxa"/>
              <w:right w:w="100" w:type="dxa"/>
            </w:tcMar>
          </w:tcPr>
          <w:p w14:paraId="3CF0A804" w14:textId="3A7D8D4C"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TaBJCdBQ","properties":{"unsorted":false,"formattedCitation":"[58\\uc0\\u8211{}60]","plainCitation":"[58–60]","noteIndex":0},"citationItems":[{"id":399,"uris":["http://zotero.org/users/13599032/items/Q6UZVUKW"],"itemData":{"id":399,"type":"article-journal","abstract":"Abstract\n            \n              Aim\n              To synthesise the current evidence for the associations between breastfeeding and dental caries, with respect to specific windows of early childhood caries risk.\n            \n            \n              Methods\n              \n                Systematic review, meta</w:instrText>
            </w:r>
            <w:r w:rsidR="00FE777A">
              <w:rPr>
                <w:rFonts w:ascii="Cambria Math" w:hAnsi="Cambria Math" w:cs="Cambria Math"/>
              </w:rPr>
              <w:instrText>‐</w:instrText>
            </w:r>
            <w:r w:rsidR="00FE777A">
              <w:instrText>analyses and narrative synthesis following searches of PubMed,\n                CINAHL\n                and\n                EMBASE\n                databases.\n              \n            \n            \n              Results\n              \n                Sixty</w:instrText>
            </w:r>
            <w:r w:rsidR="00FE777A">
              <w:rPr>
                <w:rFonts w:ascii="Cambria Math" w:hAnsi="Cambria Math" w:cs="Cambria Math"/>
              </w:rPr>
              <w:instrText>‐</w:instrText>
            </w:r>
            <w:r w:rsidR="00FE777A">
              <w:instrText>three papers included. Children exposed to longer versus shorter duration of breastfeeding up to age 12 months (more versus less breastfeeding), had a reduced risk of caries (\n                OR\n                0.50; 95%\n                CI\n                0.25, 0.99, I\n                2\n                86.8%). Children breastfed &gt;12 months had an increased risk of caries when compared with children breastfed &lt;12 months (seven studies (\n                OR\n                1.99; 1.35, 2.95, I\n                2\n                69.3%). Amongst children breastfed &gt;12 months, those fed nocturnally or more frequently had a further increased caries risk (five studies,\n                OR\n                7.14; 3.14, 16.23, I\n                2\n                77.1%). There was a lack of studies on children aged &gt;12 months simultaneously assessing caries risk in breastfed, bottle</w:instrText>
            </w:r>
            <w:r w:rsidR="00FE777A">
              <w:rPr>
                <w:rFonts w:ascii="Cambria Math" w:hAnsi="Cambria Math" w:cs="Cambria Math"/>
              </w:rPr>
              <w:instrText>‐</w:instrText>
            </w:r>
            <w:r w:rsidR="00FE777A">
              <w:instrText>fed and children not bottle or breastfed, alongside specific breastfeeding practices, consuming sweet drinks and foods, and oral hygiene practices limiting our ability to tease out the risks attributable to each.\n              \n            \n            \n              Conclusion\n              Breastfeeding in infancy may protect against dental caries. Further research needed to understand the increased risk of caries in children breastfed after 12 months.","citation-key":"thamBreastfeedingRiskDental2015","container-title":"Acta Paediatrica","DOI":"10.1111/apa.13118","ISSN":"0803-5253, 1651-2227","issue":"S467","journalAbbreviation":"Acta Paediatrica","language":"en","page":"62-84","source":"DOI.org (Crossref)","title":"Breastfeeding and the risk of dental caries: a systematic review and meta</w:instrText>
            </w:r>
            <w:r w:rsidR="00FE777A">
              <w:rPr>
                <w:rFonts w:ascii="Cambria Math" w:hAnsi="Cambria Math" w:cs="Cambria Math"/>
              </w:rPr>
              <w:instrText>‐</w:instrText>
            </w:r>
            <w:r w:rsidR="00FE777A">
              <w:instrText xml:space="preserve">analysis","title-short":"Breastfeeding and the risk of dental caries","volume":"104","author":[{"family":"Tham","given":"R"},{"family":"Bowatte","given":"G"},{"family":"Dharmage","given":"Sc"},{"family":"Tan","given":"Dj"},{"family":"Lau","given":"Mxz"},{"family":"Dai","given":"X"},{"family":"Allen","given":"Kj"},{"family":"Lodge","given":"Cj"}],"issued":{"date-parts":[["2015",12]]}}},{"id":575,"uris":["http://zotero.org/users/13599032/items/DPF8F8BT","http://zotero.org/users/13599032/items/T3IVES6S"],"itemData":{"id":575,"type":"article-journal","abstract":"Dental caries is an oral disease caused by acid production by microbial metabolism and gradual demineralization of tooth enamel, followed by the destruction of tooth structure protein, whose occurrence and development are closely related to the daily diet and nutritional intake. Cow's milk is rich in lactose, protein, minerals, and other nutrients, which is a low caries diet. Many epidemiological surveys, in vivo and in vitro experiments, and clinical studies have supported the positive role of milk and dairy products in caries prevention and treatment. Based on the characteristics that caries are bacterial-mediated and diet-driven, this paper describes the mechanisms involved in the management of dental caries by functional and active components in milk and analyzes different anti-caries dairy products, especially those containing probiotics. Hopefully, it provides some theoretical reference for the prevention and treatment of dental caries through scientific milk consumption in the future.","citation-key":"liResearchProgressMilk2023","container-title":"Journal of Functional Foods","DOI":"10.1016/j.jff.2023.105837","ISSN":"1756-4646","journalAbbreviation":"Journal of Functional Foods","page":"105837","source":"ScienceDirect","title":"Research progress of milk and dairy products to prevent caries","volume":"110","author":[{"family":"Li","given":"Aili"},{"family":"Ma","given":"Yiming"},{"family":"Cui","given":"Nan"},{"family":"Zhang","given":"Xinyue"},{"family":"Zheng","given":"Qingfang"},{"family":"Du","given":"Peng"},{"family":"Sun","given":"Mingshuang"}],"issued":{"date-parts":[["2023",11,1]]}}},{"id":401,"uris":["http://zotero.org/users/13599032/items/NRYTWD8W"],"itemData":{"id":401,"type":"article-journal","abstract":"Abstract\n            Mixed milk feeding increases the likelihood of breastfeeding cessation, but it is not known if solid feeding (SF) has the same effect. We have identified 10,407 infants breastfed for at least 8–10 weeks from three large U.K. studies (Avon Longitudinal Study of Parents and Children [ALSPAC; born 1990–1991], Southampton Woman's Survey [SWS; 1998–2008], and Infant Feeding Survey 2010 [IFS 2010]) to investigate the associations between early SF and breastfeeding cessation. In the earliest study (ALSPAC), 67% had started SF before the age of 4 months, but in the latest (IFS), only 23% had started before 4 months. Solid food introduction before 4 months was associated with stopping breastfeeding before 6 months in all three cohorts, with little effect of adjustment for maternal sociodemographic characteristics (Poisson regression, adjusted prevalence ratios: ALSPAC 1.55, [95% confidence interval 1.4, 1.8], SWS 1.13 [1.0, 1.3], IFS 1.10 [1.1, 1.3]). Using Cox regression, adjusted hazard ratios for breastfeeding cessation compared with SF after 5 months were 2.07 (1.8, 2.4) for SF before 4 and 1.51 (1.3, 1.8) at 4–5 months for ALSPAC and 1.25 (1.1, 1.5) and 1.15 (1.0, 1.3) for SWS. Earlier introduction of solids was associated with a shorter duration of breastfeeding, particularly in cohorts where earlier introduction of solids was the norm, with a dose–response relationship, which was not explained by background social characteristics. As mothers most commonly introduced solids in the month prior to the then recommended age, continuing to recommend deferring solids to the age of 6 months is important to support sustained breastfeeding.","citation-key":"lessaDoesEarlyIntroduction2020","container-title":"Maternal &amp; Child Nutrition","DOI":"10.1111/mcn.12944","ISSN":"1740-8695, 1740-8709","issue":"4","journalAbbreviation":"Maternal &amp; Child Nutrition","language":"en","page":"e12944","source":"DOI.org (Crossref)","title":"Does early introduction of solid feeding lead to early cessation of breastfeeding?","volume":"16","author":[{"family":"Lessa","given":"Angelina"},{"family":"Garcia","given":"Ada L."},{"family":"Emmett","given":"Pauline"},{"family":"Crozier","given":"Sarah"},{"family":"Robinson","given":"Sian"},{"family":"Godfrey","given":"Keith M."},{"family":"Wright","given":"Charlotte M."}],"issued":{"date-parts":[["2020",10]]}}}],"schema":"https://github.com/citation-style-language/schema/raw/master/csl-citation.json"} </w:instrText>
            </w:r>
            <w:r>
              <w:fldChar w:fldCharType="separate"/>
            </w:r>
            <w:r w:rsidR="00FE777A" w:rsidRPr="00FE777A">
              <w:rPr>
                <w:rFonts w:ascii="Times New Roman" w:hAnsi="Times New Roman" w:cs="Times New Roman"/>
                <w:szCs w:val="24"/>
                <w:lang w:val="en-US"/>
              </w:rPr>
              <w:t>[58–60]</w:t>
            </w:r>
            <w:r>
              <w:fldChar w:fldCharType="end"/>
            </w:r>
          </w:p>
        </w:tc>
      </w:tr>
      <w:tr w:rsidR="003C36D5" w14:paraId="4E089177" w14:textId="77777777">
        <w:tc>
          <w:tcPr>
            <w:tcW w:w="993" w:type="dxa"/>
            <w:tcBorders>
              <w:top w:val="nil"/>
              <w:left w:val="nil"/>
              <w:bottom w:val="nil"/>
              <w:right w:val="nil"/>
            </w:tcBorders>
            <w:tcMar>
              <w:top w:w="100" w:type="dxa"/>
              <w:left w:w="100" w:type="dxa"/>
              <w:bottom w:w="100" w:type="dxa"/>
              <w:right w:w="100" w:type="dxa"/>
            </w:tcMar>
          </w:tcPr>
          <w:p w14:paraId="4AFA5E90"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U15</w:t>
            </w:r>
          </w:p>
        </w:tc>
        <w:tc>
          <w:tcPr>
            <w:tcW w:w="2616" w:type="dxa"/>
            <w:tcBorders>
              <w:top w:val="nil"/>
              <w:left w:val="nil"/>
              <w:bottom w:val="nil"/>
              <w:right w:val="nil"/>
            </w:tcBorders>
            <w:tcMar>
              <w:top w:w="100" w:type="dxa"/>
              <w:left w:w="100" w:type="dxa"/>
              <w:bottom w:w="100" w:type="dxa"/>
              <w:right w:w="100" w:type="dxa"/>
            </w:tcMar>
          </w:tcPr>
          <w:p w14:paraId="020AA863"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Do not rinse mouth with water after brushing (so fluoride keeps protecting teeth)</w:t>
            </w:r>
          </w:p>
        </w:tc>
        <w:tc>
          <w:tcPr>
            <w:tcW w:w="1805" w:type="dxa"/>
            <w:tcBorders>
              <w:top w:val="nil"/>
              <w:left w:val="nil"/>
              <w:bottom w:val="nil"/>
              <w:right w:val="nil"/>
            </w:tcBorders>
            <w:tcMar>
              <w:top w:w="100" w:type="dxa"/>
              <w:left w:w="100" w:type="dxa"/>
              <w:bottom w:w="100" w:type="dxa"/>
              <w:right w:w="100" w:type="dxa"/>
            </w:tcMar>
          </w:tcPr>
          <w:p w14:paraId="6DEA8AEB"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GoC</w:t>
            </w:r>
          </w:p>
        </w:tc>
        <w:tc>
          <w:tcPr>
            <w:tcW w:w="1805" w:type="dxa"/>
            <w:tcBorders>
              <w:top w:val="nil"/>
              <w:left w:val="nil"/>
              <w:bottom w:val="nil"/>
              <w:right w:val="nil"/>
            </w:tcBorders>
            <w:tcMar>
              <w:top w:w="100" w:type="dxa"/>
              <w:left w:w="100" w:type="dxa"/>
              <w:bottom w:w="100" w:type="dxa"/>
              <w:right w:w="100" w:type="dxa"/>
            </w:tcMar>
          </w:tcPr>
          <w:p w14:paraId="59E058FA"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Moderate</w:t>
            </w:r>
          </w:p>
        </w:tc>
        <w:tc>
          <w:tcPr>
            <w:tcW w:w="1805" w:type="dxa"/>
            <w:tcBorders>
              <w:top w:val="nil"/>
              <w:left w:val="nil"/>
              <w:bottom w:val="nil"/>
              <w:right w:val="nil"/>
            </w:tcBorders>
            <w:tcMar>
              <w:top w:w="100" w:type="dxa"/>
              <w:left w:w="100" w:type="dxa"/>
              <w:bottom w:w="100" w:type="dxa"/>
              <w:right w:w="100" w:type="dxa"/>
            </w:tcMar>
          </w:tcPr>
          <w:p w14:paraId="0EC2461D" w14:textId="17AAE148"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fldChar w:fldCharType="begin"/>
            </w:r>
            <w:r w:rsidR="00FE777A">
              <w:instrText xml:space="preserve"> ADDIN ZOTERO_ITEM CSL_CITATION {"citationID":"5jaThXoJ","properties":{"unsorted":false,"formattedCitation":"[61,62]","plainCitation":"[61,62]","noteIndex":0},"citationItems":[{"id":532,"uris":["http://zotero.org/users/13599032/items/RVG8GLEU"],"itemData":{"id":532,"type":"article-journal","abstract":"AIM: This was to compare the salivary fluoride levels following tooth brushing with amine fluoride toothpastes containing three different concentrations of F (250 ppm F, 500 ppm F and 1250 ppm F) and to evaluate the effect of rinsing with water on the oral fluoride levels up to 90 min.\nMETHODS: A double blind randomised six-arm crossover study was conducted with 32 child participants. Patients were divided into two groups depending on their caries experience with caries-free group (n = 17, mean age = 72.9 months) and caries-prone group (n = 15, mean age = 69.6 months, mean dmfs = 12.3). Each participant brushed their teeth with a smear of dentifrice containing (250 ppm, 500 ppm and 1250 ppm F toothpastes) for 60 s. After spitting out the dentifrice/saliva slurry, participants either rinsed with water or did not rinse at all. Samples of whole mixed unstimulated saliva were collected at 0 (baseline), 1, 15, 30, 45, 60 and 90 mins post-brushing/rinsing.\nRESULTS: After completing the study on residual fluoride concentration it was found that caries was not a significant variable (p = 0.567) while every other variable was (all p values &lt;0.001). Time, toothpaste F concentration and rinse had significant effects (p &lt; 0.001). In general, higher residual salivary F concentrations were found with increased F concentration in toothpastes and when no rinsing was performed after brushing.\nCONCLUSION: The results of this study support the current recommendation of using toothpastes with &gt;1000 ppm F concentration in children with an increased caries risk in addition to spitting excess toothpaste with no rinsing following brushing.","citation-key":"nazzalComparisonResidualSalivary2016","container-title":"European Archives of Paediatric Dentistry: Official Journal of the European Academy of Paediatric Dentistry","DOI":"10.1007/s40368-015-0220-x","ISSN":"1996-9805","issue":"3","journalAbbreviation":"Eur Arch Paediatr Dent","language":"eng","page":"165-169","PMID":"27102319","PMCID":"PMC4882375","source":"PubMed","title":"Comparison of residual salivary fluoride retention using amine fluoride toothpastes in caries-free and caries-prone children","volume":"17","author":[{"family":"Nazzal","given":"H."},{"family":"Duggal","given":"M. S."},{"family":"Kowash","given":"M. B."},{"family":"Kang","given":"J."},{"family":"Toumba","given":"K. J."}],"issued":{"date-parts":[["2016",6]]}}},{"id":429,"uris":["http://zotero.org/users/13599032/items/WWHEWPAF"],"itemData":{"id":429,"type":"article-journal","abstract":"Abstract\n            \n              Background\n              Fluoride plays a vital role in preventing dental caries, with its addition to oral care products significantly promoting oral hygiene. A no-rinse brushing method aims to increase fluoride retention in the oral cavity, as rinsing with water decreases fluoride levels in saliva, which could affect remineralization. While the no-rinse brushing method holds promise for improving fluoride retention in the oral cavity, critical inquiries persist regarding its safety. This study investigated the kinetics of oral fluoride and potential risks to fully assess its effectiveness and implications for oral health.\n            \n            \n              Methods\n              Ten healthy adults participated in a crossover study comparing the no-rinse with the rinse method. All subjects followed American Dental Association (ADA) brushing guidelines. Levels of fluoride in saliva (supernatant and sediment) and urine were measured over time, and plasma fluoride was measured one hour after brushing. Pharmacokinetic parameters were also calculated from the data.\n            \n            \n              Results\n              Participants using the no-rinse method had higher fluoride levels in supernatant immediately and up to 30 min post-brushing compared to the rinse method. Fluoride levels in sediment were higher only immediately after brushing. The total fluoride concentration in saliva remained elevated for up to 5 min with the no-rinse method. Systemic fluoride absorption showed no significant difference between the two methods based on blood and urine analysis.\n            \n            \n              Conclusion\n              This research indicates that the no-rinse method can enhance fluoride retention in the oral cavity for up to 30 min after a single brushing. In addition, our findings suggest that this method does not significantly influence systemic fluoride levels or toxicity.\n            \n            \n              Registry\n              \n                Thai Clinical Trials Registry, TCTR (\n                http://thaiclinicaltrials.org\n                ). Clinical trial registration number: TCTR20231104001 (4/11/2023).","citation-key":"parakawKineticsFluorideBrushing2024","container-title":"BMC Oral Health","DOI":"10.1186/s12903-024-04807-4","ISSN":"1472-6831","issue":"1","journalAbbreviation":"BMC Oral Health","language":"en","page":"1050","source":"DOI.org (Crossref)","title":"Kinetics of fluoride after brushing with the no-rinse method","volume":"24","author":[{"family":"Parakaw","given":"Tipparat"},{"family":"Srihirun","given":"Sirada"},{"family":"Dararat","given":"Pornpen"},{"family":"Ruangsawasdi","given":"Nisarat"}],"issued":{"date-parts":[["2024",9,8]]}}}],"schema":"https://github.com/citation-style-language/schema/raw/master/csl-citation.json"} </w:instrText>
            </w:r>
            <w:r>
              <w:fldChar w:fldCharType="separate"/>
            </w:r>
            <w:r w:rsidR="00FE777A">
              <w:t>[61,62]</w:t>
            </w:r>
            <w:r>
              <w:fldChar w:fldCharType="end"/>
            </w:r>
          </w:p>
        </w:tc>
      </w:tr>
      <w:tr w:rsidR="003C36D5" w14:paraId="71B752E2" w14:textId="77777777">
        <w:tc>
          <w:tcPr>
            <w:tcW w:w="993" w:type="dxa"/>
            <w:tcBorders>
              <w:top w:val="nil"/>
              <w:left w:val="nil"/>
              <w:bottom w:val="nil"/>
              <w:right w:val="nil"/>
            </w:tcBorders>
            <w:tcMar>
              <w:top w:w="100" w:type="dxa"/>
              <w:left w:w="100" w:type="dxa"/>
              <w:bottom w:w="100" w:type="dxa"/>
              <w:right w:w="100" w:type="dxa"/>
            </w:tcMar>
          </w:tcPr>
          <w:p w14:paraId="39C14E49"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U16</w:t>
            </w:r>
          </w:p>
        </w:tc>
        <w:tc>
          <w:tcPr>
            <w:tcW w:w="2616" w:type="dxa"/>
            <w:tcBorders>
              <w:top w:val="nil"/>
              <w:left w:val="nil"/>
              <w:bottom w:val="nil"/>
              <w:right w:val="nil"/>
            </w:tcBorders>
            <w:tcMar>
              <w:top w:w="100" w:type="dxa"/>
              <w:left w:w="100" w:type="dxa"/>
              <w:bottom w:w="100" w:type="dxa"/>
              <w:right w:w="100" w:type="dxa"/>
            </w:tcMar>
          </w:tcPr>
          <w:p w14:paraId="47E50802"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Reduce sugar before bed because there is less saliva to rinse away acids during sleep</w:t>
            </w:r>
          </w:p>
        </w:tc>
        <w:tc>
          <w:tcPr>
            <w:tcW w:w="1805" w:type="dxa"/>
            <w:tcBorders>
              <w:top w:val="nil"/>
              <w:left w:val="nil"/>
              <w:bottom w:val="nil"/>
              <w:right w:val="nil"/>
            </w:tcBorders>
            <w:tcMar>
              <w:top w:w="100" w:type="dxa"/>
              <w:left w:w="100" w:type="dxa"/>
              <w:bottom w:w="100" w:type="dxa"/>
              <w:right w:w="100" w:type="dxa"/>
            </w:tcMar>
          </w:tcPr>
          <w:p w14:paraId="38710520" w14:textId="77777777" w:rsidR="003C36D5"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GoC</w:t>
            </w:r>
          </w:p>
        </w:tc>
        <w:tc>
          <w:tcPr>
            <w:tcW w:w="1805" w:type="dxa"/>
            <w:tcBorders>
              <w:top w:val="nil"/>
              <w:left w:val="nil"/>
              <w:bottom w:val="nil"/>
              <w:right w:val="nil"/>
            </w:tcBorders>
            <w:tcMar>
              <w:top w:w="100" w:type="dxa"/>
              <w:left w:w="100" w:type="dxa"/>
              <w:bottom w:w="100" w:type="dxa"/>
              <w:right w:w="100" w:type="dxa"/>
            </w:tcMar>
          </w:tcPr>
          <w:p w14:paraId="62DE72A4" w14:textId="77777777" w:rsidR="003C36D5"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p>
        </w:tc>
        <w:tc>
          <w:tcPr>
            <w:tcW w:w="1805" w:type="dxa"/>
            <w:tcBorders>
              <w:top w:val="nil"/>
              <w:left w:val="nil"/>
              <w:bottom w:val="nil"/>
              <w:right w:val="nil"/>
            </w:tcBorders>
            <w:tcMar>
              <w:top w:w="100" w:type="dxa"/>
              <w:left w:w="100" w:type="dxa"/>
              <w:bottom w:w="100" w:type="dxa"/>
              <w:right w:w="100" w:type="dxa"/>
            </w:tcMar>
          </w:tcPr>
          <w:p w14:paraId="0AE0EB80" w14:textId="348EC64B" w:rsidR="003C36D5" w:rsidRDefault="00000000">
            <w:pPr>
              <w:spacing w:after="160" w:line="301" w:lineRule="auto"/>
              <w:rPr>
                <w:rFonts w:ascii="Times New Roman" w:eastAsia="Times New Roman" w:hAnsi="Times New Roman" w:cs="Times New Roman"/>
                <w:sz w:val="24"/>
                <w:szCs w:val="24"/>
              </w:rPr>
            </w:pPr>
            <w:r>
              <w:fldChar w:fldCharType="begin"/>
            </w:r>
            <w:r w:rsidR="00FE777A">
              <w:instrText xml:space="preserve"> ADDIN ZOTERO_ITEM CSL_CITATION {"citationID":"KjyRbFWX","properties":{"unsorted":false,"formattedCitation":"[7,63,64]","plainCitation":"[7,63,64]","noteIndex":0},"citationItems":[{"id":375,"uris":["http://zotero.org/users/13599032/items/MIQVKZX8"],"itemData":{"id":375,"type":"article-journal","citation-key":"duanAssociationFirst22025","container-title":"BMC Oral Health","DOI":"10.1186/s12903-025-06794-6","ISSN":"1472-6831","issue":"1","journalAbbreviation":"BMC Oral Health","language":"en","page":"1531","source":"DOI.org (Crossref)","title":"Association between first 2 years’ feeding practices and early childhood caries: a birth cohort study in Shanghai","title-short":"Association between first 2 years’ feeding practices and early childhood caries","volume":"25","author":[{"family":"Duan","given":"Zhihong"},{"family":"Du","given":"Chenjinyu"},{"family":"Tong","given":"Min"},{"family":"Zeng","given":"Xiaoli"},{"family":"Zhang","given":"Ying"},{"family":"Shi","given":"Huijing"}],"issued":{"date-parts":[["2025",10,6]]}}},{"id":572,"uris":["http://zotero.org/users/13599032/items/P9XY8Z7U"],"itemData":{"id":572,"type":"article-journal","abstract":"Background/purpose\nCircadian rhythm is an endogenous daily variation observed in most physiological functions including salivary secretion. Irregular lifestyle causes many diseases such as obesity and sleep disorders. The aim of this study is to examine the effects of the timings of sleep and meal on the prevalence of dental caries.\nMaterials and methods\nStudy was conducted at university hospital in Japan. We asked 230 children (1–16 years old) to record the following life habits for 8 days: waking time, bedtime, mealtimes, snacking frequency, and tooth brushing frequency. We analyzed sleep habits from all data and compared dental caries and life habits using data from subjects with primary (2–7 years old) or permanent (11–16 years old) dentition period.\nResults\nThe number of dental caries assessed using the decay or filled teeth (dft) index correlated with bedtime, supper time, regularity of supper time, and snacking frequency in subjects with primary dentition. Multiple regression analysis revealed that bedtime and snacking frequency were mutually independent risk factors for dental caries. No correlations were found between the prevalence of dental caries and other measurement items. The number of caries correlated with the regularity of supper time and age in subjects with permanent dentition.\nConclusion\nChildren with daily life habits associated with eveningness have a higher prevalence of dental caries.","citation-key":"nishideDailyLifeHabits2019","container-title":"Journal of Dental Sciences","DOI":"10.1016/j.jds.2019.01.015","ISSN":"1991-7902","issue":"3","journalAbbreviation":"Journal of Dental Sciences","page":"302-308","source":"ScienceDirect","title":"Daily life habits associated with eveningness lead to a higher prevalence of dental caries in children","volume":"14","author":[{"family":"Nishide","given":"Shinya"},{"family":"Yoshihara","given":"Toshihiro"},{"family":"Hongou","given":"Hirohisa"},{"family":"Kanehira","given":"Takashi"},{"family":"Yawaka","given":"Yasutaka"}],"issued":{"date-parts":[["2019",9,1]]}}},{"id":403,"uris":["http://zotero.org/users/13599032/items/WJSV87SX"],"itemData":{"id":403,"type":"article-journal","abstract":"Early childhood caries (ECC) remains a public health challenge globally, more so in developing countries. The association between sleep-time feeding practices and ECC remains obscure. The study evaluated this association using Feeding At Sleep Time (FeAST) scale. A case-control study was planned among 627 toddlers,  were cases included children with ECC while controls were children without ECC. Three patterns of feeding associated with sleep were recorded: beginning of sleep, during the course of sleep, and early morning hours sleep. Dental caries was scored using International Caries Detection and Assessment System (ICDAS II). The study participants included 302 (48%) cases and 325 (52%) controls. Adjusted odds ratios (AORs) for breastfeeding at the beginning of sleep, during the course of sleep, and early morning hours sleep were 6.7, 6.5, and 3.7, respectively (&lt;i&gt;p&lt;/i&gt; = 0.001), on comparing cases versus controls. Similarly, AORs for bottle-feeding at the beginning of sleep, course of sleep, and early morning hours sleep were 5.1, 8.3, and 3.7, respectively (&lt;i&gt;p&lt;/i&gt; = 0.001). Addition of sweeteners yielded an AOR = 2.84, while the intake of solids during sleep yielded an AOR of 6.02(&lt;i&gt;p&lt;/i&gt; = 0.001). Other feeding modes like sippers, tumblers, etc., had a statistically significant association (&lt;i&gt;p&lt;/i&gt; = 0.001). Sleep-time feeding practices increase the risk for ECC in 12- to 36-month-old children.","citation-key":"ganeshAssociationSleepTimeFeeding2022","container-title":"Caries Research","DOI":"10.1159/000527035","ISSN":"0008-6568, 1421-976X","issue":"4","journalAbbreviation":"Caries Res","language":"en","license":"https://www.karger.com/Services/SiteLicenses","page":"399-406","source":"DOI.org (Crossref)","title":"Association of Sleep-Time Feeding Practices with Early Childhood Caries: A Case-Control Study","title-short":"Association of Sleep-Time Feeding Practices with Early Childhood Caries","volume":"56","author":[{"family":"Ganesh","given":"Akila"},{"family":"Muthu","given":"M.S."},{"family":"Padmanabhan","given":"Ramachandran"},{"family":"Nuvvula","given":"Sivakumar"}],"issued":{"date-parts":[["2022"]]}}}],"schema":"https://github.com/citation-style-language/schema/raw/master/csl-citation.json"} </w:instrText>
            </w:r>
            <w:r>
              <w:fldChar w:fldCharType="separate"/>
            </w:r>
            <w:r w:rsidR="00FE777A">
              <w:t>[7,63,64]</w:t>
            </w:r>
            <w:r>
              <w:fldChar w:fldCharType="end"/>
            </w:r>
          </w:p>
        </w:tc>
      </w:tr>
    </w:tbl>
    <w:p w14:paraId="20F38996" w14:textId="77777777" w:rsidR="003C36D5" w:rsidRDefault="00000000">
      <w:pPr>
        <w:spacing w:after="160" w:line="301" w:lineRule="auto"/>
        <w:rPr>
          <w:b/>
          <w:bCs/>
          <w:sz w:val="26"/>
          <w:szCs w:val="26"/>
        </w:rPr>
      </w:pPr>
      <w:r>
        <w:rPr>
          <w:rFonts w:ascii="Times New Roman" w:eastAsia="Times New Roman" w:hAnsi="Times New Roman" w:cs="Times New Roman"/>
          <w:sz w:val="20"/>
          <w:szCs w:val="20"/>
        </w:rPr>
        <w:t>ECC: early childhood caries; GRADE: Grading of Recommendations, Assessment, Development and Evaluation. Jurisdiction abbreviations: AB: Alberta; BC; British Columbia; MB: Manitoba; NB: New Brunswick; NS: Nova Scotia; NL: Newfoundland and Labrador; PEI: Prince Edward Island; QC: Quebec; SK: Saskatchewan; NT: Northwest Territories; NU: Nunavut; YT: Yukon; GoC: Government of Canada</w:t>
      </w:r>
    </w:p>
    <w:p w14:paraId="39F1FF1B" w14:textId="77777777" w:rsidR="003C36D5" w:rsidRDefault="003C36D5">
      <w:pPr>
        <w:spacing w:after="160" w:line="301" w:lineRule="auto"/>
        <w:rPr>
          <w:b/>
          <w:bCs/>
          <w:sz w:val="26"/>
          <w:szCs w:val="26"/>
        </w:rPr>
      </w:pPr>
    </w:p>
    <w:p w14:paraId="13D490D1" w14:textId="77777777" w:rsidR="003C36D5" w:rsidRDefault="003C36D5">
      <w:pPr>
        <w:spacing w:after="160" w:line="301" w:lineRule="auto"/>
        <w:rPr>
          <w:rFonts w:ascii="Times New Roman" w:eastAsia="Times New Roman" w:hAnsi="Times New Roman" w:cs="Times New Roman"/>
          <w:sz w:val="24"/>
          <w:szCs w:val="24"/>
        </w:rPr>
      </w:pPr>
    </w:p>
    <w:p w14:paraId="5CC46BE1" w14:textId="77777777" w:rsidR="003C36D5" w:rsidRDefault="003C36D5">
      <w:pPr>
        <w:spacing w:after="160" w:line="301" w:lineRule="auto"/>
        <w:rPr>
          <w:rFonts w:ascii="Times New Roman" w:eastAsia="Times New Roman" w:hAnsi="Times New Roman" w:cs="Times New Roman"/>
          <w:sz w:val="24"/>
          <w:szCs w:val="24"/>
        </w:rPr>
      </w:pPr>
    </w:p>
    <w:p w14:paraId="766B7B4A" w14:textId="77777777" w:rsidR="003C36D5" w:rsidRDefault="003C36D5">
      <w:pPr>
        <w:spacing w:after="160" w:line="301" w:lineRule="auto"/>
        <w:rPr>
          <w:rFonts w:ascii="Times New Roman" w:eastAsia="Times New Roman" w:hAnsi="Times New Roman" w:cs="Times New Roman"/>
          <w:sz w:val="24"/>
          <w:szCs w:val="24"/>
        </w:rPr>
      </w:pPr>
    </w:p>
    <w:p w14:paraId="1465BCF2" w14:textId="77777777" w:rsidR="003C36D5" w:rsidRDefault="003C36D5">
      <w:pPr>
        <w:spacing w:after="160" w:line="301" w:lineRule="auto"/>
        <w:rPr>
          <w:rFonts w:ascii="Times New Roman" w:eastAsia="Times New Roman" w:hAnsi="Times New Roman" w:cs="Times New Roman"/>
          <w:sz w:val="24"/>
          <w:szCs w:val="24"/>
        </w:rPr>
      </w:pPr>
    </w:p>
    <w:p w14:paraId="1E0E5B85" w14:textId="77777777" w:rsidR="003C36D5" w:rsidRDefault="003C36D5">
      <w:pPr>
        <w:spacing w:after="160" w:line="301" w:lineRule="auto"/>
        <w:rPr>
          <w:rFonts w:ascii="Times New Roman" w:eastAsia="Times New Roman" w:hAnsi="Times New Roman" w:cs="Times New Roman"/>
          <w:sz w:val="24"/>
          <w:szCs w:val="24"/>
        </w:rPr>
      </w:pPr>
    </w:p>
    <w:p w14:paraId="27D9BB5C" w14:textId="77777777" w:rsidR="003C36D5" w:rsidRDefault="003C36D5">
      <w:pPr>
        <w:spacing w:after="160" w:line="301" w:lineRule="auto"/>
        <w:rPr>
          <w:rFonts w:ascii="Times New Roman" w:eastAsia="Times New Roman" w:hAnsi="Times New Roman" w:cs="Times New Roman"/>
          <w:sz w:val="24"/>
          <w:szCs w:val="24"/>
        </w:rPr>
      </w:pPr>
    </w:p>
    <w:p w14:paraId="66F57B2E" w14:textId="77777777" w:rsidR="003C36D5" w:rsidRDefault="003C36D5">
      <w:pPr>
        <w:spacing w:after="160" w:line="301" w:lineRule="auto"/>
        <w:rPr>
          <w:rFonts w:ascii="Times New Roman" w:eastAsia="Times New Roman" w:hAnsi="Times New Roman" w:cs="Times New Roman"/>
          <w:sz w:val="24"/>
          <w:szCs w:val="24"/>
        </w:rPr>
      </w:pPr>
    </w:p>
    <w:p w14:paraId="72838DD7" w14:textId="77777777" w:rsidR="003C36D5" w:rsidRDefault="003C36D5">
      <w:pPr>
        <w:spacing w:after="160" w:line="301" w:lineRule="auto"/>
        <w:rPr>
          <w:rFonts w:ascii="Times New Roman" w:eastAsia="Times New Roman" w:hAnsi="Times New Roman" w:cs="Times New Roman"/>
          <w:sz w:val="24"/>
          <w:szCs w:val="24"/>
        </w:rPr>
      </w:pPr>
    </w:p>
    <w:p w14:paraId="3BE57428" w14:textId="77777777" w:rsidR="003C36D5" w:rsidRDefault="003C36D5">
      <w:pPr>
        <w:spacing w:after="160" w:line="301" w:lineRule="auto"/>
        <w:rPr>
          <w:rFonts w:ascii="Times New Roman" w:eastAsia="Times New Roman" w:hAnsi="Times New Roman" w:cs="Times New Roman"/>
          <w:sz w:val="24"/>
          <w:szCs w:val="24"/>
        </w:rPr>
      </w:pPr>
    </w:p>
    <w:p w14:paraId="6CA5F087" w14:textId="77777777" w:rsidR="003C36D5" w:rsidRDefault="003C36D5">
      <w:pPr>
        <w:spacing w:after="160" w:line="301" w:lineRule="auto"/>
        <w:rPr>
          <w:rFonts w:ascii="Times New Roman" w:eastAsia="Times New Roman" w:hAnsi="Times New Roman" w:cs="Times New Roman"/>
          <w:sz w:val="24"/>
          <w:szCs w:val="24"/>
        </w:rPr>
      </w:pPr>
    </w:p>
    <w:p w14:paraId="35096E9E" w14:textId="77777777" w:rsidR="003C36D5" w:rsidRDefault="003C36D5">
      <w:pPr>
        <w:spacing w:after="160" w:line="301" w:lineRule="auto"/>
        <w:rPr>
          <w:rFonts w:ascii="Times New Roman" w:eastAsia="Times New Roman" w:hAnsi="Times New Roman" w:cs="Times New Roman"/>
          <w:sz w:val="24"/>
          <w:szCs w:val="24"/>
        </w:rPr>
      </w:pPr>
    </w:p>
    <w:p w14:paraId="45E57BBD" w14:textId="77777777" w:rsidR="003C36D5" w:rsidRDefault="003C36D5">
      <w:pPr>
        <w:spacing w:after="160" w:line="301" w:lineRule="auto"/>
        <w:rPr>
          <w:rFonts w:ascii="Times New Roman" w:eastAsia="Times New Roman" w:hAnsi="Times New Roman" w:cs="Times New Roman"/>
          <w:sz w:val="24"/>
          <w:szCs w:val="24"/>
        </w:rPr>
      </w:pPr>
    </w:p>
    <w:p w14:paraId="0FC8E16C" w14:textId="77777777" w:rsidR="003C36D5" w:rsidRDefault="003C36D5">
      <w:pPr>
        <w:spacing w:after="160" w:line="301" w:lineRule="auto"/>
        <w:rPr>
          <w:rFonts w:ascii="Times New Roman" w:eastAsia="Times New Roman" w:hAnsi="Times New Roman" w:cs="Times New Roman"/>
          <w:sz w:val="24"/>
          <w:szCs w:val="24"/>
        </w:rPr>
      </w:pPr>
    </w:p>
    <w:p w14:paraId="287CA4F5" w14:textId="77777777" w:rsidR="003C36D5" w:rsidRDefault="003C36D5">
      <w:pPr>
        <w:spacing w:after="160" w:line="301" w:lineRule="auto"/>
        <w:rPr>
          <w:rFonts w:ascii="Times New Roman" w:eastAsia="Times New Roman" w:hAnsi="Times New Roman" w:cs="Times New Roman"/>
          <w:sz w:val="24"/>
          <w:szCs w:val="24"/>
        </w:rPr>
      </w:pPr>
    </w:p>
    <w:p w14:paraId="50D111BC" w14:textId="77777777" w:rsidR="003C36D5" w:rsidRDefault="003C36D5">
      <w:pPr>
        <w:spacing w:after="160" w:line="301" w:lineRule="auto"/>
        <w:rPr>
          <w:rFonts w:ascii="Times New Roman" w:eastAsia="Times New Roman" w:hAnsi="Times New Roman" w:cs="Times New Roman"/>
          <w:sz w:val="24"/>
          <w:szCs w:val="24"/>
        </w:rPr>
      </w:pPr>
    </w:p>
    <w:p w14:paraId="7FA2451D" w14:textId="77777777" w:rsidR="003C36D5" w:rsidRDefault="003C36D5">
      <w:pPr>
        <w:spacing w:after="160" w:line="301" w:lineRule="auto"/>
        <w:rPr>
          <w:rFonts w:ascii="Times New Roman" w:eastAsia="Times New Roman" w:hAnsi="Times New Roman" w:cs="Times New Roman"/>
          <w:sz w:val="24"/>
          <w:szCs w:val="24"/>
        </w:rPr>
      </w:pPr>
    </w:p>
    <w:p w14:paraId="0F42785A" w14:textId="77777777" w:rsidR="003C36D5" w:rsidRDefault="00000000">
      <w:pPr>
        <w:spacing w:after="160" w:line="301" w:lineRule="auto"/>
        <w:rPr>
          <w:rFonts w:ascii="Times New Roman" w:eastAsia="Times New Roman" w:hAnsi="Times New Roman" w:cs="Times New Roman"/>
          <w:sz w:val="24"/>
          <w:szCs w:val="24"/>
        </w:rPr>
      </w:pPr>
      <w:r>
        <w:rPr>
          <w:b/>
          <w:bCs/>
          <w:sz w:val="28"/>
          <w:szCs w:val="28"/>
        </w:rPr>
        <w:t>Supplementary References</w:t>
      </w:r>
    </w:p>
    <w:p w14:paraId="0F5CDD27" w14:textId="77777777" w:rsidR="00FE777A" w:rsidRPr="00FE777A" w:rsidRDefault="00000000" w:rsidP="00FE777A">
      <w:pPr>
        <w:pStyle w:val="Bibliography"/>
        <w:rPr>
          <w:lang w:val="en-US"/>
        </w:rPr>
      </w:pPr>
      <w:r>
        <w:fldChar w:fldCharType="begin"/>
      </w:r>
      <w:r w:rsidR="00FE777A">
        <w:instrText xml:space="preserve"> ADDIN ZOTERO_BIBL {"uncited":[],"omitted":[],"custom":[]} CSL_BIBLIOGRAPHY </w:instrText>
      </w:r>
      <w:r>
        <w:fldChar w:fldCharType="separate"/>
      </w:r>
      <w:r w:rsidR="00FE777A" w:rsidRPr="00FE777A">
        <w:rPr>
          <w:lang w:val="en-US"/>
        </w:rPr>
        <w:t>1.</w:t>
      </w:r>
      <w:r w:rsidR="00FE777A" w:rsidRPr="00FE777A">
        <w:rPr>
          <w:lang w:val="en-US"/>
        </w:rPr>
        <w:tab/>
        <w:t xml:space="preserve">El–Habashy LM, El </w:t>
      </w:r>
      <w:proofErr w:type="spellStart"/>
      <w:r w:rsidR="00FE777A" w:rsidRPr="00FE777A">
        <w:rPr>
          <w:lang w:val="en-US"/>
        </w:rPr>
        <w:t>Meligy</w:t>
      </w:r>
      <w:proofErr w:type="spellEnd"/>
      <w:r w:rsidR="00FE777A" w:rsidRPr="00FE777A">
        <w:rPr>
          <w:lang w:val="en-US"/>
        </w:rPr>
        <w:t xml:space="preserve"> OAES, Hamouda AA. Evaluating the effect of xylitol wipes on cariogenic bacteria in infants and toddlers: a longitudinal clinical trial. BMC Oral Health. 2026 Mar 27;26(1):631. doi:10.1186/s12903-026-08018-x</w:t>
      </w:r>
    </w:p>
    <w:p w14:paraId="789CE92C" w14:textId="77777777" w:rsidR="00FE777A" w:rsidRPr="00FE777A" w:rsidRDefault="00FE777A" w:rsidP="00FE777A">
      <w:pPr>
        <w:pStyle w:val="Bibliography"/>
        <w:rPr>
          <w:lang w:val="en-US"/>
        </w:rPr>
      </w:pPr>
      <w:r w:rsidRPr="00FE777A">
        <w:rPr>
          <w:lang w:val="en-US"/>
        </w:rPr>
        <w:t>2.</w:t>
      </w:r>
      <w:r w:rsidRPr="00FE777A">
        <w:rPr>
          <w:lang w:val="en-US"/>
        </w:rPr>
        <w:tab/>
        <w:t xml:space="preserve">Ay C, </w:t>
      </w:r>
      <w:proofErr w:type="spellStart"/>
      <w:r w:rsidRPr="00FE777A">
        <w:rPr>
          <w:lang w:val="en-US"/>
        </w:rPr>
        <w:t>Karayılmaz</w:t>
      </w:r>
      <w:proofErr w:type="spellEnd"/>
      <w:r w:rsidRPr="00FE777A">
        <w:rPr>
          <w:lang w:val="en-US"/>
        </w:rPr>
        <w:t xml:space="preserve"> H, Cengiz A. Early oral colonization of streptococcus mutans and lactobacilli species in infants: Investigating the relationship with maternal and environmental factors, from birth through the sixth month: Oral Colonization of Streptococcus Mutans and Lactobacilli Species in Infants. Pak J Med Sci. 2024 Sep 24;40(9). doi:10.12669/pjms.40.9.9602</w:t>
      </w:r>
    </w:p>
    <w:p w14:paraId="36AA2C2E" w14:textId="77777777" w:rsidR="00FE777A" w:rsidRPr="00FE777A" w:rsidRDefault="00FE777A" w:rsidP="00FE777A">
      <w:pPr>
        <w:pStyle w:val="Bibliography"/>
        <w:rPr>
          <w:lang w:val="en-US"/>
        </w:rPr>
      </w:pPr>
      <w:r w:rsidRPr="00FE777A">
        <w:rPr>
          <w:lang w:val="en-US"/>
        </w:rPr>
        <w:t>3.</w:t>
      </w:r>
      <w:r w:rsidRPr="00FE777A">
        <w:rPr>
          <w:lang w:val="en-US"/>
        </w:rPr>
        <w:tab/>
        <w:t>Lopes A, Cardoso V, Moreira L, Ramos-Jorge J, Ramos-Jorge M, Fernandes I. Effect of oral hygiene in infants before dental eruption on Candida spp. colonization and the occurrence of oral candidiasis: A randomized clinical trial. J Clin Exp Dent. 2023;e920–8. doi:10.4317/jced.60885</w:t>
      </w:r>
    </w:p>
    <w:p w14:paraId="396DA978" w14:textId="77777777" w:rsidR="00FE777A" w:rsidRPr="00FE777A" w:rsidRDefault="00FE777A" w:rsidP="00FE777A">
      <w:pPr>
        <w:pStyle w:val="Bibliography"/>
        <w:rPr>
          <w:lang w:val="en-US"/>
        </w:rPr>
      </w:pPr>
      <w:r w:rsidRPr="00FE777A">
        <w:rPr>
          <w:lang w:val="en-US"/>
        </w:rPr>
        <w:t>4.</w:t>
      </w:r>
      <w:r w:rsidRPr="00FE777A">
        <w:rPr>
          <w:lang w:val="en-US"/>
        </w:rPr>
        <w:tab/>
        <w:t xml:space="preserve">Walsh T, Worthington HV, Glenny AM, Marinho VC, </w:t>
      </w:r>
      <w:proofErr w:type="spellStart"/>
      <w:r w:rsidRPr="00FE777A">
        <w:rPr>
          <w:lang w:val="en-US"/>
        </w:rPr>
        <w:t>Jeroncic</w:t>
      </w:r>
      <w:proofErr w:type="spellEnd"/>
      <w:r w:rsidRPr="00FE777A">
        <w:rPr>
          <w:lang w:val="en-US"/>
        </w:rPr>
        <w:t xml:space="preserve"> A. Fluoride toothpastes of different concentrations for preventing dental caries. Cochrane Oral Health Group, editor. Cochrane Database Syst Rev. 2019 Mar 4;2019(11). doi:10.1002/14651858.CD007868.pub3</w:t>
      </w:r>
    </w:p>
    <w:p w14:paraId="3F0B2262" w14:textId="77777777" w:rsidR="00FE777A" w:rsidRPr="00FE777A" w:rsidRDefault="00FE777A" w:rsidP="00FE777A">
      <w:pPr>
        <w:pStyle w:val="Bibliography"/>
        <w:rPr>
          <w:lang w:val="en-US"/>
        </w:rPr>
      </w:pPr>
      <w:r w:rsidRPr="00FE777A">
        <w:rPr>
          <w:lang w:val="en-US"/>
        </w:rPr>
        <w:t>5.</w:t>
      </w:r>
      <w:r w:rsidRPr="00FE777A">
        <w:rPr>
          <w:lang w:val="en-US"/>
        </w:rPr>
        <w:tab/>
        <w:t>Wright JT, Hanson N, Ristic H, Whall CW, Estrich CG, Zentz RR. Fluoride toothpaste efficacy and safety in children younger than 6 years. J Am Dent Assoc. 2014 Feb;145(2):182–9. doi:10.14219/jada.2013.37</w:t>
      </w:r>
    </w:p>
    <w:p w14:paraId="2932CF83" w14:textId="77777777" w:rsidR="00FE777A" w:rsidRPr="00FE777A" w:rsidRDefault="00FE777A" w:rsidP="00FE777A">
      <w:pPr>
        <w:pStyle w:val="Bibliography"/>
        <w:rPr>
          <w:lang w:val="en-US"/>
        </w:rPr>
      </w:pPr>
      <w:r w:rsidRPr="00FE777A">
        <w:rPr>
          <w:lang w:val="en-US"/>
        </w:rPr>
        <w:t>6.</w:t>
      </w:r>
      <w:r w:rsidRPr="00FE777A">
        <w:rPr>
          <w:lang w:val="en-US"/>
        </w:rPr>
        <w:tab/>
        <w:t>van </w:t>
      </w:r>
      <w:proofErr w:type="spellStart"/>
      <w:r w:rsidRPr="00FE777A">
        <w:rPr>
          <w:lang w:val="en-US"/>
        </w:rPr>
        <w:t>Meijeren</w:t>
      </w:r>
      <w:proofErr w:type="spellEnd"/>
      <w:r w:rsidRPr="00FE777A">
        <w:rPr>
          <w:lang w:val="en-US"/>
        </w:rPr>
        <w:t>-van </w:t>
      </w:r>
      <w:proofErr w:type="spellStart"/>
      <w:r w:rsidRPr="00FE777A">
        <w:rPr>
          <w:lang w:val="en-US"/>
        </w:rPr>
        <w:t>Lunteren</w:t>
      </w:r>
      <w:proofErr w:type="spellEnd"/>
      <w:r w:rsidRPr="00FE777A">
        <w:rPr>
          <w:lang w:val="en-US"/>
        </w:rPr>
        <w:t xml:space="preserve"> AW, Voortman T, Elfrink MEC, </w:t>
      </w:r>
      <w:proofErr w:type="spellStart"/>
      <w:r w:rsidRPr="00FE777A">
        <w:rPr>
          <w:lang w:val="en-US"/>
        </w:rPr>
        <w:t>Wolvius</w:t>
      </w:r>
      <w:proofErr w:type="spellEnd"/>
      <w:r w:rsidRPr="00FE777A">
        <w:rPr>
          <w:lang w:val="en-US"/>
        </w:rPr>
        <w:t xml:space="preserve"> EB, Kragt L. Breastfeeding and Childhood Dental Caries: Results from a Socially Diverse Birth Cohort Study. Caries Res. 2021;55(2):153–61. doi:10.1159/000514502</w:t>
      </w:r>
    </w:p>
    <w:p w14:paraId="1D4F9A20" w14:textId="77777777" w:rsidR="00FE777A" w:rsidRPr="00FE777A" w:rsidRDefault="00FE777A" w:rsidP="00FE777A">
      <w:pPr>
        <w:pStyle w:val="Bibliography"/>
        <w:rPr>
          <w:lang w:val="en-US"/>
        </w:rPr>
      </w:pPr>
      <w:r w:rsidRPr="00FE777A">
        <w:rPr>
          <w:lang w:val="en-US"/>
        </w:rPr>
        <w:t>7.</w:t>
      </w:r>
      <w:r w:rsidRPr="00FE777A">
        <w:rPr>
          <w:lang w:val="en-US"/>
        </w:rPr>
        <w:tab/>
        <w:t>Duan Z, Du C, Tong M, Zeng X, Zhang Y, Shi H. Association between first 2 years’ feeding practices and early childhood caries: a birth cohort study in Shanghai. BMC Oral Health. 2025 Oct 6;25(1):1531. doi:10.1186/s12903-025-06794-6</w:t>
      </w:r>
    </w:p>
    <w:p w14:paraId="11D886AF" w14:textId="77777777" w:rsidR="00FE777A" w:rsidRPr="00FE777A" w:rsidRDefault="00FE777A" w:rsidP="00FE777A">
      <w:pPr>
        <w:pStyle w:val="Bibliography"/>
        <w:rPr>
          <w:lang w:val="en-US"/>
        </w:rPr>
      </w:pPr>
      <w:r w:rsidRPr="00FE777A">
        <w:rPr>
          <w:lang w:val="en-US"/>
        </w:rPr>
        <w:t>8.</w:t>
      </w:r>
      <w:r w:rsidRPr="00FE777A">
        <w:rPr>
          <w:lang w:val="en-US"/>
        </w:rPr>
        <w:tab/>
        <w:t>Da Silva Bastos VDA, Freitas-Fernandes LB, Fidalgo TKDS, Martins C, Mattos CT, De Souza IPR, et al. Mother-to-child transmission of Streptococcus mutans: A systematic review and meta-analysis. J Dent. 2015 Feb;43(2):181–91. doi:10.1016/j.jdent.2014.12.001</w:t>
      </w:r>
    </w:p>
    <w:p w14:paraId="3AB39EDF" w14:textId="77777777" w:rsidR="00FE777A" w:rsidRPr="00FE777A" w:rsidRDefault="00FE777A" w:rsidP="00FE777A">
      <w:pPr>
        <w:pStyle w:val="Bibliography"/>
        <w:rPr>
          <w:lang w:val="en-US"/>
        </w:rPr>
      </w:pPr>
      <w:r w:rsidRPr="00FE777A">
        <w:rPr>
          <w:lang w:val="en-US"/>
        </w:rPr>
        <w:t>9.</w:t>
      </w:r>
      <w:r w:rsidRPr="00FE777A">
        <w:rPr>
          <w:lang w:val="en-US"/>
        </w:rPr>
        <w:tab/>
        <w:t xml:space="preserve">Mitchell SC, Ruby JD, Moser S, Momeni S, Smith A, Osgood R, et al. Maternal transmission of mutans Streptococci in severe-early childhood caries. </w:t>
      </w:r>
      <w:proofErr w:type="spellStart"/>
      <w:r w:rsidRPr="00FE777A">
        <w:rPr>
          <w:lang w:val="en-US"/>
        </w:rPr>
        <w:t>Pediatr</w:t>
      </w:r>
      <w:proofErr w:type="spellEnd"/>
      <w:r w:rsidRPr="00FE777A">
        <w:rPr>
          <w:lang w:val="en-US"/>
        </w:rPr>
        <w:t xml:space="preserve"> Dent. 2009;31(3):193–201. PubMed PMID: 19552223; PubMed Central PMCID: PMC3173944.</w:t>
      </w:r>
    </w:p>
    <w:p w14:paraId="17E2ACCD" w14:textId="77777777" w:rsidR="00FE777A" w:rsidRPr="00FE777A" w:rsidRDefault="00FE777A" w:rsidP="00FE777A">
      <w:pPr>
        <w:pStyle w:val="Bibliography"/>
        <w:rPr>
          <w:lang w:val="en-US"/>
        </w:rPr>
      </w:pPr>
      <w:r w:rsidRPr="00FE777A">
        <w:rPr>
          <w:lang w:val="en-US"/>
        </w:rPr>
        <w:lastRenderedPageBreak/>
        <w:t>10.</w:t>
      </w:r>
      <w:r w:rsidRPr="00FE777A">
        <w:rPr>
          <w:lang w:val="en-US"/>
        </w:rPr>
        <w:tab/>
        <w:t xml:space="preserve">Momeni SS, Whiddon J, Cheon K, Ghazal T, Moser SA, Childers NK. Genetic Diversity and Evidence for Transmission of Streptococcus mutans by </w:t>
      </w:r>
      <w:proofErr w:type="spellStart"/>
      <w:r w:rsidRPr="00FE777A">
        <w:rPr>
          <w:lang w:val="en-US"/>
        </w:rPr>
        <w:t>DiversiLab</w:t>
      </w:r>
      <w:proofErr w:type="spellEnd"/>
      <w:r w:rsidRPr="00FE777A">
        <w:rPr>
          <w:lang w:val="en-US"/>
        </w:rPr>
        <w:t xml:space="preserve"> rep-PCR. J </w:t>
      </w:r>
      <w:proofErr w:type="spellStart"/>
      <w:r w:rsidRPr="00FE777A">
        <w:rPr>
          <w:lang w:val="en-US"/>
        </w:rPr>
        <w:t>Microbiol</w:t>
      </w:r>
      <w:proofErr w:type="spellEnd"/>
      <w:r w:rsidRPr="00FE777A">
        <w:rPr>
          <w:lang w:val="en-US"/>
        </w:rPr>
        <w:t xml:space="preserve"> Methods. 2016 Sep;128:108–17. doi:10.1016/j.mimet.2016.07.010 PubMed PMID: 27432341; PubMed Central PMCID: PMC5004344.</w:t>
      </w:r>
    </w:p>
    <w:p w14:paraId="6E0BFB81" w14:textId="77777777" w:rsidR="00FE777A" w:rsidRPr="00FE777A" w:rsidRDefault="00FE777A" w:rsidP="00FE777A">
      <w:pPr>
        <w:pStyle w:val="Bibliography"/>
        <w:rPr>
          <w:lang w:val="en-US"/>
        </w:rPr>
      </w:pPr>
      <w:r w:rsidRPr="00FE777A">
        <w:rPr>
          <w:lang w:val="en-US"/>
        </w:rPr>
        <w:t>11.</w:t>
      </w:r>
      <w:r w:rsidRPr="00FE777A">
        <w:rPr>
          <w:lang w:val="en-US"/>
        </w:rPr>
        <w:tab/>
        <w:t>Foxman B, Davis E, Neiswanger K, McNeil D, Shaffer J, Marazita ML. Maternal factors and risk of early childhood caries: A prospective cohort study. Community Dent Oral Epidemiol. 2023 Oct;51(5):953–65. doi:10.1111/cdoe.12794 PubMed PMID: 36168961; PubMed Central PMCID: PMC10043047.</w:t>
      </w:r>
    </w:p>
    <w:p w14:paraId="5CBC6532" w14:textId="77777777" w:rsidR="00FE777A" w:rsidRPr="00FE777A" w:rsidRDefault="00FE777A" w:rsidP="00FE777A">
      <w:pPr>
        <w:pStyle w:val="Bibliography"/>
        <w:rPr>
          <w:lang w:val="en-US"/>
        </w:rPr>
      </w:pPr>
      <w:r w:rsidRPr="00FE777A">
        <w:rPr>
          <w:lang w:val="en-US"/>
        </w:rPr>
        <w:t>12.</w:t>
      </w:r>
      <w:r w:rsidRPr="00FE777A">
        <w:rPr>
          <w:lang w:val="en-US"/>
        </w:rPr>
        <w:tab/>
      </w:r>
      <w:proofErr w:type="spellStart"/>
      <w:r w:rsidRPr="00FE777A">
        <w:rPr>
          <w:lang w:val="en-US"/>
        </w:rPr>
        <w:t>Boustedt</w:t>
      </w:r>
      <w:proofErr w:type="spellEnd"/>
      <w:r w:rsidRPr="00FE777A">
        <w:rPr>
          <w:lang w:val="en-US"/>
        </w:rPr>
        <w:t xml:space="preserve"> K, Dahlgren J, </w:t>
      </w:r>
      <w:proofErr w:type="spellStart"/>
      <w:r w:rsidRPr="00FE777A">
        <w:rPr>
          <w:lang w:val="en-US"/>
        </w:rPr>
        <w:t>Twetman</w:t>
      </w:r>
      <w:proofErr w:type="spellEnd"/>
      <w:r w:rsidRPr="00FE777A">
        <w:rPr>
          <w:lang w:val="en-US"/>
        </w:rPr>
        <w:t xml:space="preserve"> S, Roswall J. Tooth brushing habits and prevalence of early childhood caries: a prospective cohort study. </w:t>
      </w:r>
      <w:proofErr w:type="spellStart"/>
      <w:r w:rsidRPr="00FE777A">
        <w:rPr>
          <w:lang w:val="en-US"/>
        </w:rPr>
        <w:t>Eur</w:t>
      </w:r>
      <w:proofErr w:type="spellEnd"/>
      <w:r w:rsidRPr="00FE777A">
        <w:rPr>
          <w:lang w:val="en-US"/>
        </w:rPr>
        <w:t xml:space="preserve"> Arch </w:t>
      </w:r>
      <w:proofErr w:type="spellStart"/>
      <w:r w:rsidRPr="00FE777A">
        <w:rPr>
          <w:lang w:val="en-US"/>
        </w:rPr>
        <w:t>Paediatr</w:t>
      </w:r>
      <w:proofErr w:type="spellEnd"/>
      <w:r w:rsidRPr="00FE777A">
        <w:rPr>
          <w:lang w:val="en-US"/>
        </w:rPr>
        <w:t xml:space="preserve"> Dent Off J </w:t>
      </w:r>
      <w:proofErr w:type="spellStart"/>
      <w:r w:rsidRPr="00FE777A">
        <w:rPr>
          <w:lang w:val="en-US"/>
        </w:rPr>
        <w:t>Eur</w:t>
      </w:r>
      <w:proofErr w:type="spellEnd"/>
      <w:r w:rsidRPr="00FE777A">
        <w:rPr>
          <w:lang w:val="en-US"/>
        </w:rPr>
        <w:t xml:space="preserve"> Acad </w:t>
      </w:r>
      <w:proofErr w:type="spellStart"/>
      <w:r w:rsidRPr="00FE777A">
        <w:rPr>
          <w:lang w:val="en-US"/>
        </w:rPr>
        <w:t>Paediatr</w:t>
      </w:r>
      <w:proofErr w:type="spellEnd"/>
      <w:r w:rsidRPr="00FE777A">
        <w:rPr>
          <w:lang w:val="en-US"/>
        </w:rPr>
        <w:t xml:space="preserve"> Dent. 2020 Feb;21(1):155–9. doi:10.1007/s40368-019-00463-3 PubMed PMID: 31338770.</w:t>
      </w:r>
    </w:p>
    <w:p w14:paraId="42830734" w14:textId="77777777" w:rsidR="00FE777A" w:rsidRPr="00FE777A" w:rsidRDefault="00FE777A" w:rsidP="00FE777A">
      <w:pPr>
        <w:pStyle w:val="Bibliography"/>
        <w:rPr>
          <w:lang w:val="en-US"/>
        </w:rPr>
      </w:pPr>
      <w:r w:rsidRPr="00FE777A">
        <w:rPr>
          <w:lang w:val="en-US"/>
        </w:rPr>
        <w:t>13.</w:t>
      </w:r>
      <w:r w:rsidRPr="00FE777A">
        <w:rPr>
          <w:lang w:val="en-US"/>
        </w:rPr>
        <w:tab/>
        <w:t>Does Tooth Brushing Prevent Dental Caries among... : Journal of Indian Association of Public Health Dentistry [Internet]. [cited 2026 Aug 1]. Available from: https://www.ovid.com/jnls/aphd/fulltext/10.4103/jiaphd.jiaphd_238_22~does-tooth-brushing-prevent-dental-caries-among-children-a</w:t>
      </w:r>
    </w:p>
    <w:p w14:paraId="37B84024" w14:textId="77777777" w:rsidR="00FE777A" w:rsidRPr="00FE777A" w:rsidRDefault="00FE777A" w:rsidP="00FE777A">
      <w:pPr>
        <w:pStyle w:val="Bibliography"/>
        <w:rPr>
          <w:lang w:val="en-US"/>
        </w:rPr>
      </w:pPr>
      <w:r w:rsidRPr="00FE777A">
        <w:rPr>
          <w:lang w:val="en-US"/>
        </w:rPr>
        <w:t>14.</w:t>
      </w:r>
      <w:r w:rsidRPr="00FE777A">
        <w:rPr>
          <w:lang w:val="en-US"/>
        </w:rPr>
        <w:tab/>
        <w:t>Moynihan PJ, Kelly SAM. Effect on Caries of Restricting Sugars Intake: Systematic Review to Inform WHO Guidelines. J Dent Res. 2014 Jan;93(1):8–18. doi:10.1177/0022034513508954</w:t>
      </w:r>
    </w:p>
    <w:p w14:paraId="32816E49" w14:textId="77777777" w:rsidR="00FE777A" w:rsidRPr="00FE777A" w:rsidRDefault="00FE777A" w:rsidP="00FE777A">
      <w:pPr>
        <w:pStyle w:val="Bibliography"/>
        <w:rPr>
          <w:lang w:val="en-US"/>
        </w:rPr>
      </w:pPr>
      <w:r w:rsidRPr="00FE777A">
        <w:rPr>
          <w:lang w:val="en-US"/>
        </w:rPr>
        <w:t>15.</w:t>
      </w:r>
      <w:r w:rsidRPr="00FE777A">
        <w:rPr>
          <w:lang w:val="en-US"/>
        </w:rPr>
        <w:tab/>
      </w:r>
      <w:proofErr w:type="spellStart"/>
      <w:r w:rsidRPr="00FE777A">
        <w:rPr>
          <w:lang w:val="en-US"/>
        </w:rPr>
        <w:t>Sälzer</w:t>
      </w:r>
      <w:proofErr w:type="spellEnd"/>
      <w:r w:rsidRPr="00FE777A">
        <w:rPr>
          <w:lang w:val="en-US"/>
        </w:rPr>
        <w:t xml:space="preserve"> S, Slot DE, Van Der Weijden FA, </w:t>
      </w:r>
      <w:proofErr w:type="spellStart"/>
      <w:r w:rsidRPr="00FE777A">
        <w:rPr>
          <w:lang w:val="en-US"/>
        </w:rPr>
        <w:t>Dörfer</w:t>
      </w:r>
      <w:proofErr w:type="spellEnd"/>
      <w:r w:rsidRPr="00FE777A">
        <w:rPr>
          <w:lang w:val="en-US"/>
        </w:rPr>
        <w:t xml:space="preserve"> CE. Efficacy of inter</w:t>
      </w:r>
      <w:r w:rsidRPr="00FE777A">
        <w:rPr>
          <w:rFonts w:ascii="Cambria Math" w:hAnsi="Cambria Math" w:cs="Cambria Math"/>
          <w:lang w:val="en-US"/>
        </w:rPr>
        <w:t>‐</w:t>
      </w:r>
      <w:r w:rsidRPr="00FE777A">
        <w:rPr>
          <w:lang w:val="en-US"/>
        </w:rPr>
        <w:t>dental mechanical plaque control in managing gingivitis – a meta</w:t>
      </w:r>
      <w:r w:rsidRPr="00FE777A">
        <w:rPr>
          <w:rFonts w:ascii="Cambria Math" w:hAnsi="Cambria Math" w:cs="Cambria Math"/>
          <w:lang w:val="en-US"/>
        </w:rPr>
        <w:t>‐</w:t>
      </w:r>
      <w:r w:rsidRPr="00FE777A">
        <w:rPr>
          <w:lang w:val="en-US"/>
        </w:rPr>
        <w:t>review. J Clin Periodontol. 2015 Apr;42(S16). doi:10.1111/jcpe.12363</w:t>
      </w:r>
    </w:p>
    <w:p w14:paraId="2A70ABC1" w14:textId="77777777" w:rsidR="00FE777A" w:rsidRPr="00FE777A" w:rsidRDefault="00FE777A" w:rsidP="00FE777A">
      <w:pPr>
        <w:pStyle w:val="Bibliography"/>
        <w:rPr>
          <w:lang w:val="en-US"/>
        </w:rPr>
      </w:pPr>
      <w:r w:rsidRPr="00FE777A">
        <w:rPr>
          <w:lang w:val="en-US"/>
        </w:rPr>
        <w:t>16.</w:t>
      </w:r>
      <w:r w:rsidRPr="00FE777A">
        <w:rPr>
          <w:lang w:val="en-US"/>
        </w:rPr>
        <w:tab/>
        <w:t>Rich SK, Friedman JA, Schultz LA. Effects of flossing on plaque and gingivitis in third grade schoolchildren. J Public Health Dent. 1989;49(2):73–7. doi:10.1111/j.1752-7325.1989.tb02029.x PubMed PMID: 2709366.</w:t>
      </w:r>
    </w:p>
    <w:p w14:paraId="3F79DEA9" w14:textId="77777777" w:rsidR="00FE777A" w:rsidRPr="00FE777A" w:rsidRDefault="00FE777A" w:rsidP="00FE777A">
      <w:pPr>
        <w:pStyle w:val="Bibliography"/>
        <w:rPr>
          <w:lang w:val="en-US"/>
        </w:rPr>
      </w:pPr>
      <w:r w:rsidRPr="00FE777A">
        <w:rPr>
          <w:lang w:val="en-US"/>
        </w:rPr>
        <w:t>17.</w:t>
      </w:r>
      <w:r w:rsidRPr="00FE777A">
        <w:rPr>
          <w:lang w:val="en-US"/>
        </w:rPr>
        <w:tab/>
        <w:t xml:space="preserve">Deinzer R, Weik U, </w:t>
      </w:r>
      <w:proofErr w:type="spellStart"/>
      <w:r w:rsidRPr="00FE777A">
        <w:rPr>
          <w:lang w:val="en-US"/>
        </w:rPr>
        <w:t>Eidenhardt</w:t>
      </w:r>
      <w:proofErr w:type="spellEnd"/>
      <w:r w:rsidRPr="00FE777A">
        <w:rPr>
          <w:lang w:val="en-US"/>
        </w:rPr>
        <w:t xml:space="preserve"> Z, Leufkens D, </w:t>
      </w:r>
      <w:proofErr w:type="spellStart"/>
      <w:r w:rsidRPr="00FE777A">
        <w:rPr>
          <w:lang w:val="en-US"/>
        </w:rPr>
        <w:t>Sälzer</w:t>
      </w:r>
      <w:proofErr w:type="spellEnd"/>
      <w:r w:rsidRPr="00FE777A">
        <w:rPr>
          <w:lang w:val="en-US"/>
        </w:rPr>
        <w:t xml:space="preserve"> S. Manual toothbrushing techniques for plaque removal and the prevention of gingivitis—A systematic review with network meta-analysis. Costa FO, editor. PLOS ONE. 2024 Jul 5;19(7):e0306302. doi:10.1371/journal.pone.0306302</w:t>
      </w:r>
    </w:p>
    <w:p w14:paraId="415FC12D" w14:textId="77777777" w:rsidR="00FE777A" w:rsidRPr="00FE777A" w:rsidRDefault="00FE777A" w:rsidP="00FE777A">
      <w:pPr>
        <w:pStyle w:val="Bibliography"/>
        <w:rPr>
          <w:lang w:val="en-US"/>
        </w:rPr>
      </w:pPr>
      <w:r w:rsidRPr="00FE777A">
        <w:rPr>
          <w:lang w:val="en-US"/>
        </w:rPr>
        <w:t>18.</w:t>
      </w:r>
      <w:r w:rsidRPr="00FE777A">
        <w:rPr>
          <w:lang w:val="en-US"/>
        </w:rPr>
        <w:tab/>
        <w:t xml:space="preserve">Blackburn J, Morrisey MA, Sen B. Outcomes Associated </w:t>
      </w:r>
      <w:proofErr w:type="gramStart"/>
      <w:r w:rsidRPr="00FE777A">
        <w:rPr>
          <w:lang w:val="en-US"/>
        </w:rPr>
        <w:t>With</w:t>
      </w:r>
      <w:proofErr w:type="gramEnd"/>
      <w:r w:rsidRPr="00FE777A">
        <w:rPr>
          <w:lang w:val="en-US"/>
        </w:rPr>
        <w:t xml:space="preserve"> Early Preventive Dental Care Among Medicaid-Enrolled Children in Alabama. JAMA </w:t>
      </w:r>
      <w:proofErr w:type="spellStart"/>
      <w:r w:rsidRPr="00FE777A">
        <w:rPr>
          <w:lang w:val="en-US"/>
        </w:rPr>
        <w:t>Pediatr</w:t>
      </w:r>
      <w:proofErr w:type="spellEnd"/>
      <w:r w:rsidRPr="00FE777A">
        <w:rPr>
          <w:lang w:val="en-US"/>
        </w:rPr>
        <w:t>. 2017 Apr 1;171(4):335. doi:10.1001/jamapediatrics.2016.4514</w:t>
      </w:r>
    </w:p>
    <w:p w14:paraId="1182B5A4" w14:textId="77777777" w:rsidR="00FE777A" w:rsidRPr="00FE777A" w:rsidRDefault="00FE777A" w:rsidP="00FE777A">
      <w:pPr>
        <w:pStyle w:val="Bibliography"/>
        <w:rPr>
          <w:lang w:val="en-US"/>
        </w:rPr>
      </w:pPr>
      <w:r w:rsidRPr="00FE777A">
        <w:rPr>
          <w:lang w:val="en-US"/>
        </w:rPr>
        <w:t>19.</w:t>
      </w:r>
      <w:r w:rsidRPr="00FE777A">
        <w:rPr>
          <w:lang w:val="en-US"/>
        </w:rPr>
        <w:tab/>
        <w:t xml:space="preserve">Gao SS, </w:t>
      </w:r>
      <w:proofErr w:type="spellStart"/>
      <w:r w:rsidRPr="00FE777A">
        <w:rPr>
          <w:lang w:val="en-US"/>
        </w:rPr>
        <w:t>Duangthip</w:t>
      </w:r>
      <w:proofErr w:type="spellEnd"/>
      <w:r w:rsidRPr="00FE777A">
        <w:rPr>
          <w:lang w:val="en-US"/>
        </w:rPr>
        <w:t xml:space="preserve"> D, Lo ECM, Chu CH. Risk Factors of Early Childhood Caries among Young Children in Hong Kong: A Cross-Sectional Study. J Clin Pediatr Dent. 2018 Jan 1;42(5):367–72. doi:10.17796/1053-4625-42.5.8</w:t>
      </w:r>
    </w:p>
    <w:p w14:paraId="5E7F0355" w14:textId="77777777" w:rsidR="00FE777A" w:rsidRPr="00FE777A" w:rsidRDefault="00FE777A" w:rsidP="00FE777A">
      <w:pPr>
        <w:pStyle w:val="Bibliography"/>
        <w:rPr>
          <w:lang w:val="en-US"/>
        </w:rPr>
      </w:pPr>
      <w:r w:rsidRPr="00FE777A">
        <w:rPr>
          <w:lang w:val="en-US"/>
        </w:rPr>
        <w:t>20.</w:t>
      </w:r>
      <w:r w:rsidRPr="00FE777A">
        <w:rPr>
          <w:lang w:val="en-US"/>
        </w:rPr>
        <w:tab/>
        <w:t>Kotha SB. Lift the lip: a screening guide among the dental professionals. Front Oral Health. 2023 Aug 3;4:1177251. doi:10.3389/froh.2023.1177251</w:t>
      </w:r>
    </w:p>
    <w:p w14:paraId="49AFBAE8" w14:textId="77777777" w:rsidR="00FE777A" w:rsidRPr="00FE777A" w:rsidRDefault="00FE777A" w:rsidP="00FE777A">
      <w:pPr>
        <w:pStyle w:val="Bibliography"/>
        <w:rPr>
          <w:lang w:val="en-US"/>
        </w:rPr>
      </w:pPr>
      <w:r w:rsidRPr="00FE777A">
        <w:rPr>
          <w:lang w:val="en-US"/>
        </w:rPr>
        <w:t>21.</w:t>
      </w:r>
      <w:r w:rsidRPr="00FE777A">
        <w:rPr>
          <w:lang w:val="en-US"/>
        </w:rPr>
        <w:tab/>
      </w:r>
      <w:proofErr w:type="spellStart"/>
      <w:r w:rsidRPr="00FE777A">
        <w:rPr>
          <w:lang w:val="en-US"/>
        </w:rPr>
        <w:t>Gooze</w:t>
      </w:r>
      <w:proofErr w:type="spellEnd"/>
      <w:r w:rsidRPr="00FE777A">
        <w:rPr>
          <w:lang w:val="en-US"/>
        </w:rPr>
        <w:t xml:space="preserve"> RA, Anderson SE, Whitaker RC. Prolonged Bottle Use and Obesity at 5.5 Years of Age in US Children. J Pediatr. 2011 Sep;159(3):431–6. doi:10.1016/j.jpeds.2011.02.037</w:t>
      </w:r>
    </w:p>
    <w:p w14:paraId="75A226C0" w14:textId="77777777" w:rsidR="00FE777A" w:rsidRPr="00FE777A" w:rsidRDefault="00FE777A" w:rsidP="00FE777A">
      <w:pPr>
        <w:pStyle w:val="Bibliography"/>
        <w:rPr>
          <w:lang w:val="en-US"/>
        </w:rPr>
      </w:pPr>
      <w:r w:rsidRPr="00FE777A">
        <w:rPr>
          <w:lang w:val="en-US"/>
        </w:rPr>
        <w:t>22.</w:t>
      </w:r>
      <w:r w:rsidRPr="00FE777A">
        <w:rPr>
          <w:lang w:val="en-US"/>
        </w:rPr>
        <w:tab/>
        <w:t xml:space="preserve">Kirthiga M, Murugan M, Saikia A, Kirubakaran R. Risk Factors for Early Childhood Caries: A Systematic Review and Meta-Analysis of Case Control and Cohort Studies. </w:t>
      </w:r>
      <w:proofErr w:type="spellStart"/>
      <w:r w:rsidRPr="00FE777A">
        <w:rPr>
          <w:lang w:val="en-US"/>
        </w:rPr>
        <w:t>Pediatr</w:t>
      </w:r>
      <w:proofErr w:type="spellEnd"/>
      <w:r w:rsidRPr="00FE777A">
        <w:rPr>
          <w:lang w:val="en-US"/>
        </w:rPr>
        <w:t xml:space="preserve"> Dent. 2019 Mar 15;41(2):95–112.</w:t>
      </w:r>
    </w:p>
    <w:p w14:paraId="68B59719" w14:textId="77777777" w:rsidR="00FE777A" w:rsidRPr="00FE777A" w:rsidRDefault="00FE777A" w:rsidP="00FE777A">
      <w:pPr>
        <w:pStyle w:val="Bibliography"/>
        <w:rPr>
          <w:lang w:val="en-US"/>
        </w:rPr>
      </w:pPr>
      <w:r w:rsidRPr="00FE777A">
        <w:rPr>
          <w:lang w:val="en-US"/>
        </w:rPr>
        <w:lastRenderedPageBreak/>
        <w:t>23.</w:t>
      </w:r>
      <w:r w:rsidRPr="00FE777A">
        <w:rPr>
          <w:lang w:val="en-US"/>
        </w:rPr>
        <w:tab/>
        <w:t>Scarborough D, Brink KE, Bailey-Van Kuren M. Open-Cup Drinking Development: A Review of the Literature. Dysphagia. 2018 Jun;33(3):293–302. doi:10.1007/s00455-017-9871-6</w:t>
      </w:r>
    </w:p>
    <w:p w14:paraId="197283F5" w14:textId="77777777" w:rsidR="00FE777A" w:rsidRPr="00FE777A" w:rsidRDefault="00FE777A" w:rsidP="00FE777A">
      <w:pPr>
        <w:pStyle w:val="Bibliography"/>
        <w:rPr>
          <w:lang w:val="en-US"/>
        </w:rPr>
      </w:pPr>
      <w:r w:rsidRPr="00FE777A">
        <w:rPr>
          <w:lang w:val="en-US"/>
        </w:rPr>
        <w:t>24.</w:t>
      </w:r>
      <w:r w:rsidRPr="00FE777A">
        <w:rPr>
          <w:lang w:val="en-US"/>
        </w:rPr>
        <w:tab/>
        <w:t>Khodke S, Agarwal N. Infant Dietary Pattern and its Association with Early Childhood Caries in Preschool Children: A Cross-sectional Study. Int J Clin Pediatr Dent. 2023 Jul 3;16(3):421–5. doi:10.5005/jp-journals-10005-2356</w:t>
      </w:r>
    </w:p>
    <w:p w14:paraId="593D1ABB" w14:textId="77777777" w:rsidR="00FE777A" w:rsidRPr="00FE777A" w:rsidRDefault="00FE777A" w:rsidP="00FE777A">
      <w:pPr>
        <w:pStyle w:val="Bibliography"/>
        <w:rPr>
          <w:lang w:val="en-US"/>
        </w:rPr>
      </w:pPr>
      <w:r w:rsidRPr="00FE777A">
        <w:rPr>
          <w:lang w:val="en-US"/>
        </w:rPr>
        <w:t>25.</w:t>
      </w:r>
      <w:r w:rsidRPr="00FE777A">
        <w:rPr>
          <w:lang w:val="en-US"/>
        </w:rPr>
        <w:tab/>
        <w:t>López-Laso E, Roncero-Sánchez-</w:t>
      </w:r>
      <w:proofErr w:type="spellStart"/>
      <w:r w:rsidRPr="00FE777A">
        <w:rPr>
          <w:lang w:val="en-US"/>
        </w:rPr>
        <w:t>Cano</w:t>
      </w:r>
      <w:proofErr w:type="spellEnd"/>
      <w:r w:rsidRPr="00FE777A">
        <w:rPr>
          <w:lang w:val="en-US"/>
        </w:rPr>
        <w:t xml:space="preserve"> I, Arce-Portillo E, Ley-Martos M, Aguirre-Rodríguez J, García-Ron A, et al. Infant botulism in Andalusia (Southern Spain). </w:t>
      </w:r>
      <w:proofErr w:type="spellStart"/>
      <w:r w:rsidRPr="00FE777A">
        <w:rPr>
          <w:lang w:val="en-US"/>
        </w:rPr>
        <w:t>Eur</w:t>
      </w:r>
      <w:proofErr w:type="spellEnd"/>
      <w:r w:rsidRPr="00FE777A">
        <w:rPr>
          <w:lang w:val="en-US"/>
        </w:rPr>
        <w:t xml:space="preserve"> J </w:t>
      </w:r>
      <w:proofErr w:type="spellStart"/>
      <w:r w:rsidRPr="00FE777A">
        <w:rPr>
          <w:lang w:val="en-US"/>
        </w:rPr>
        <w:t>Paediatr</w:t>
      </w:r>
      <w:proofErr w:type="spellEnd"/>
      <w:r w:rsidRPr="00FE777A">
        <w:rPr>
          <w:lang w:val="en-US"/>
        </w:rPr>
        <w:t xml:space="preserve"> Neurol EJPN Off J </w:t>
      </w:r>
      <w:proofErr w:type="spellStart"/>
      <w:r w:rsidRPr="00FE777A">
        <w:rPr>
          <w:lang w:val="en-US"/>
        </w:rPr>
        <w:t>Eur</w:t>
      </w:r>
      <w:proofErr w:type="spellEnd"/>
      <w:r w:rsidRPr="00FE777A">
        <w:rPr>
          <w:lang w:val="en-US"/>
        </w:rPr>
        <w:t xml:space="preserve"> </w:t>
      </w:r>
      <w:proofErr w:type="spellStart"/>
      <w:r w:rsidRPr="00FE777A">
        <w:rPr>
          <w:lang w:val="en-US"/>
        </w:rPr>
        <w:t>Paediatr</w:t>
      </w:r>
      <w:proofErr w:type="spellEnd"/>
      <w:r w:rsidRPr="00FE777A">
        <w:rPr>
          <w:lang w:val="en-US"/>
        </w:rPr>
        <w:t xml:space="preserve"> Neurol Soc. 2014 May;18(3):321–6. doi:10.1016/j.ejpn.2013.12.008 PubMed PMID: 24468429.</w:t>
      </w:r>
    </w:p>
    <w:p w14:paraId="183751C6" w14:textId="77777777" w:rsidR="00FE777A" w:rsidRPr="00FE777A" w:rsidRDefault="00FE777A" w:rsidP="00FE777A">
      <w:pPr>
        <w:pStyle w:val="Bibliography"/>
        <w:rPr>
          <w:lang w:val="en-US"/>
        </w:rPr>
      </w:pPr>
      <w:r w:rsidRPr="00FE777A">
        <w:rPr>
          <w:lang w:val="en-US"/>
        </w:rPr>
        <w:t>26.</w:t>
      </w:r>
      <w:r w:rsidRPr="00FE777A">
        <w:rPr>
          <w:lang w:val="en-US"/>
        </w:rPr>
        <w:tab/>
        <w:t>No strong or consistent association between early childhood caries and pacifier use | Evidence-Based Dentistry [Internet]. [cited 2026 Aug 1]. Available from: https://www.nature.com/articles/6400249</w:t>
      </w:r>
    </w:p>
    <w:p w14:paraId="1D48EA9B" w14:textId="77777777" w:rsidR="00FE777A" w:rsidRPr="00FE777A" w:rsidRDefault="00FE777A" w:rsidP="00FE777A">
      <w:pPr>
        <w:pStyle w:val="Bibliography"/>
        <w:rPr>
          <w:lang w:val="en-US"/>
        </w:rPr>
      </w:pPr>
      <w:r w:rsidRPr="00FE777A">
        <w:rPr>
          <w:lang w:val="en-US"/>
        </w:rPr>
        <w:t>27.</w:t>
      </w:r>
      <w:r w:rsidRPr="00FE777A">
        <w:rPr>
          <w:lang w:val="en-US"/>
        </w:rPr>
        <w:tab/>
        <w:t>Smith SR, Kroon J, Schwarzer R, Hamilton K. Parental social-cognitive correlates of preschoolers’ oral hygiene behavior: A systematic review and meta-analysis. Soc Sci Med. 2020 Nov;264:113322. doi:10.1016/j.socscimed.2020.113322 PubMed PMID: 32916333.</w:t>
      </w:r>
    </w:p>
    <w:p w14:paraId="115CEF57" w14:textId="77777777" w:rsidR="00FE777A" w:rsidRPr="00FE777A" w:rsidRDefault="00FE777A" w:rsidP="00FE777A">
      <w:pPr>
        <w:pStyle w:val="Bibliography"/>
        <w:rPr>
          <w:lang w:val="en-US"/>
        </w:rPr>
      </w:pPr>
      <w:r w:rsidRPr="00FE777A">
        <w:rPr>
          <w:lang w:val="en-US"/>
        </w:rPr>
        <w:t>28.</w:t>
      </w:r>
      <w:r w:rsidRPr="00FE777A">
        <w:rPr>
          <w:lang w:val="en-US"/>
        </w:rPr>
        <w:tab/>
      </w:r>
      <w:proofErr w:type="spellStart"/>
      <w:r w:rsidRPr="00FE777A">
        <w:rPr>
          <w:lang w:val="en-US"/>
        </w:rPr>
        <w:t>Bashirian</w:t>
      </w:r>
      <w:proofErr w:type="spellEnd"/>
      <w:r w:rsidRPr="00FE777A">
        <w:rPr>
          <w:lang w:val="en-US"/>
        </w:rPr>
        <w:t xml:space="preserve"> S, </w:t>
      </w:r>
      <w:proofErr w:type="spellStart"/>
      <w:r w:rsidRPr="00FE777A">
        <w:rPr>
          <w:lang w:val="en-US"/>
        </w:rPr>
        <w:t>Seyedzadeh</w:t>
      </w:r>
      <w:r w:rsidRPr="00FE777A">
        <w:rPr>
          <w:rFonts w:ascii="Cambria Math" w:hAnsi="Cambria Math" w:cs="Cambria Math"/>
          <w:lang w:val="en-US"/>
        </w:rPr>
        <w:t>‐</w:t>
      </w:r>
      <w:r w:rsidRPr="00FE777A">
        <w:rPr>
          <w:lang w:val="en-US"/>
        </w:rPr>
        <w:t>Sabounchi</w:t>
      </w:r>
      <w:proofErr w:type="spellEnd"/>
      <w:r w:rsidRPr="00FE777A">
        <w:rPr>
          <w:lang w:val="en-US"/>
        </w:rPr>
        <w:t xml:space="preserve"> S, </w:t>
      </w:r>
      <w:proofErr w:type="spellStart"/>
      <w:r w:rsidRPr="00FE777A">
        <w:rPr>
          <w:lang w:val="en-US"/>
        </w:rPr>
        <w:t>Shirahmadi</w:t>
      </w:r>
      <w:proofErr w:type="spellEnd"/>
      <w:r w:rsidRPr="00FE777A">
        <w:rPr>
          <w:lang w:val="en-US"/>
        </w:rPr>
        <w:t xml:space="preserve"> S, Karimi</w:t>
      </w:r>
      <w:r w:rsidRPr="00FE777A">
        <w:rPr>
          <w:rFonts w:ascii="Cambria Math" w:hAnsi="Cambria Math" w:cs="Cambria Math"/>
          <w:lang w:val="en-US"/>
        </w:rPr>
        <w:t>‐</w:t>
      </w:r>
      <w:proofErr w:type="spellStart"/>
      <w:r w:rsidRPr="00FE777A">
        <w:rPr>
          <w:lang w:val="en-US"/>
        </w:rPr>
        <w:t>Shahanjarini</w:t>
      </w:r>
      <w:proofErr w:type="spellEnd"/>
      <w:r w:rsidRPr="00FE777A">
        <w:rPr>
          <w:lang w:val="en-US"/>
        </w:rPr>
        <w:t xml:space="preserve"> A, Soltanian AR, </w:t>
      </w:r>
      <w:proofErr w:type="spellStart"/>
      <w:r w:rsidRPr="00FE777A">
        <w:rPr>
          <w:lang w:val="en-US"/>
        </w:rPr>
        <w:t>Vahdatinia</w:t>
      </w:r>
      <w:proofErr w:type="spellEnd"/>
      <w:r w:rsidRPr="00FE777A">
        <w:rPr>
          <w:lang w:val="en-US"/>
        </w:rPr>
        <w:t xml:space="preserve"> F. Predictors of oral health promotion behaviors among elementary school children: Examination of an extended social cognitive theory. Int J </w:t>
      </w:r>
      <w:proofErr w:type="spellStart"/>
      <w:r w:rsidRPr="00FE777A">
        <w:rPr>
          <w:lang w:val="en-US"/>
        </w:rPr>
        <w:t>Paediatr</w:t>
      </w:r>
      <w:proofErr w:type="spellEnd"/>
      <w:r w:rsidRPr="00FE777A">
        <w:rPr>
          <w:lang w:val="en-US"/>
        </w:rPr>
        <w:t xml:space="preserve"> Dent. 2021 Mar;31(2):191–203. doi:10.1111/ipd.12659</w:t>
      </w:r>
    </w:p>
    <w:p w14:paraId="35568478" w14:textId="77777777" w:rsidR="00FE777A" w:rsidRPr="00FE777A" w:rsidRDefault="00FE777A" w:rsidP="00FE777A">
      <w:pPr>
        <w:pStyle w:val="Bibliography"/>
        <w:rPr>
          <w:lang w:val="en-US"/>
        </w:rPr>
      </w:pPr>
      <w:r w:rsidRPr="00FE777A">
        <w:rPr>
          <w:lang w:val="en-US"/>
        </w:rPr>
        <w:t>29.</w:t>
      </w:r>
      <w:r w:rsidRPr="00FE777A">
        <w:rPr>
          <w:lang w:val="en-US"/>
        </w:rPr>
        <w:tab/>
      </w:r>
      <w:proofErr w:type="spellStart"/>
      <w:r w:rsidRPr="00FE777A">
        <w:rPr>
          <w:lang w:val="en-US"/>
        </w:rPr>
        <w:t>Zaborskis</w:t>
      </w:r>
      <w:proofErr w:type="spellEnd"/>
      <w:r w:rsidRPr="00FE777A">
        <w:rPr>
          <w:lang w:val="en-US"/>
        </w:rPr>
        <w:t xml:space="preserve"> A, </w:t>
      </w:r>
      <w:proofErr w:type="spellStart"/>
      <w:r w:rsidRPr="00FE777A">
        <w:rPr>
          <w:lang w:val="en-US"/>
        </w:rPr>
        <w:t>Kavaliauskienė</w:t>
      </w:r>
      <w:proofErr w:type="spellEnd"/>
      <w:r w:rsidRPr="00FE777A">
        <w:rPr>
          <w:lang w:val="en-US"/>
        </w:rPr>
        <w:t xml:space="preserve"> A, </w:t>
      </w:r>
      <w:proofErr w:type="spellStart"/>
      <w:r w:rsidRPr="00FE777A">
        <w:rPr>
          <w:lang w:val="en-US"/>
        </w:rPr>
        <w:t>Razmienė</w:t>
      </w:r>
      <w:proofErr w:type="spellEnd"/>
      <w:r w:rsidRPr="00FE777A">
        <w:rPr>
          <w:lang w:val="en-US"/>
        </w:rPr>
        <w:t xml:space="preserve"> J, </w:t>
      </w:r>
      <w:proofErr w:type="spellStart"/>
      <w:r w:rsidRPr="00FE777A">
        <w:rPr>
          <w:lang w:val="en-US"/>
        </w:rPr>
        <w:t>Razmaitė</w:t>
      </w:r>
      <w:proofErr w:type="spellEnd"/>
      <w:r w:rsidRPr="00FE777A">
        <w:rPr>
          <w:lang w:val="en-US"/>
        </w:rPr>
        <w:t xml:space="preserve"> A, </w:t>
      </w:r>
      <w:proofErr w:type="spellStart"/>
      <w:r w:rsidRPr="00FE777A">
        <w:rPr>
          <w:lang w:val="en-US"/>
        </w:rPr>
        <w:t>Andruškevičienė</w:t>
      </w:r>
      <w:proofErr w:type="spellEnd"/>
      <w:r w:rsidRPr="00FE777A">
        <w:rPr>
          <w:lang w:val="en-US"/>
        </w:rPr>
        <w:t xml:space="preserve"> V, </w:t>
      </w:r>
      <w:proofErr w:type="spellStart"/>
      <w:r w:rsidRPr="00FE777A">
        <w:rPr>
          <w:lang w:val="en-US"/>
        </w:rPr>
        <w:t>Narbutaitė</w:t>
      </w:r>
      <w:proofErr w:type="spellEnd"/>
      <w:r w:rsidRPr="00FE777A">
        <w:rPr>
          <w:lang w:val="en-US"/>
        </w:rPr>
        <w:t xml:space="preserve"> J, et al. Pathways Between Parental Attitudes and Early Childhood Caries in Preschool Children. Dent J. 2025 May 2;13(5):205. doi:10.3390/dj13050205</w:t>
      </w:r>
    </w:p>
    <w:p w14:paraId="5324BB58" w14:textId="77777777" w:rsidR="00FE777A" w:rsidRPr="00FE777A" w:rsidRDefault="00FE777A" w:rsidP="00FE777A">
      <w:pPr>
        <w:pStyle w:val="Bibliography"/>
        <w:rPr>
          <w:lang w:val="en-US"/>
        </w:rPr>
      </w:pPr>
      <w:r w:rsidRPr="00FE777A">
        <w:rPr>
          <w:lang w:val="en-US"/>
        </w:rPr>
        <w:t>30.</w:t>
      </w:r>
      <w:r w:rsidRPr="00FE777A">
        <w:rPr>
          <w:lang w:val="en-US"/>
        </w:rPr>
        <w:tab/>
        <w:t xml:space="preserve">Keim SA, Fletcher EN, </w:t>
      </w:r>
      <w:proofErr w:type="spellStart"/>
      <w:r w:rsidRPr="00FE777A">
        <w:rPr>
          <w:lang w:val="en-US"/>
        </w:rPr>
        <w:t>TePoel</w:t>
      </w:r>
      <w:proofErr w:type="spellEnd"/>
      <w:r w:rsidRPr="00FE777A">
        <w:rPr>
          <w:lang w:val="en-US"/>
        </w:rPr>
        <w:t xml:space="preserve"> MRW, McKenzie LB. Injuries associated with bottles, pacifiers, and sippy cups in the United States, 1991-2010. Pediatrics. 2012 Jun;129(6):1104–10. doi:10.1542/peds.2011-3348 PubMed PMID: 22585773.</w:t>
      </w:r>
    </w:p>
    <w:p w14:paraId="4334114F" w14:textId="77777777" w:rsidR="00FE777A" w:rsidRPr="00FE777A" w:rsidRDefault="00FE777A" w:rsidP="00FE777A">
      <w:pPr>
        <w:pStyle w:val="Bibliography"/>
        <w:rPr>
          <w:lang w:val="en-US"/>
        </w:rPr>
      </w:pPr>
      <w:r w:rsidRPr="00FE777A">
        <w:rPr>
          <w:lang w:val="en-US"/>
        </w:rPr>
        <w:t>31.</w:t>
      </w:r>
      <w:r w:rsidRPr="00FE777A">
        <w:rPr>
          <w:lang w:val="en-US"/>
        </w:rPr>
        <w:tab/>
        <w:t xml:space="preserve">Cholera M, Cape R, </w:t>
      </w:r>
      <w:proofErr w:type="spellStart"/>
      <w:r w:rsidRPr="00FE777A">
        <w:rPr>
          <w:lang w:val="en-US"/>
        </w:rPr>
        <w:t>Tanbonliong</w:t>
      </w:r>
      <w:proofErr w:type="spellEnd"/>
      <w:r w:rsidRPr="00FE777A">
        <w:rPr>
          <w:lang w:val="en-US"/>
        </w:rPr>
        <w:t xml:space="preserve"> T, Stookey JD. Drinking water instead of apple juice or no drink results in greater odds of 4 to 7 co-occurring protective oral health factors within the hour. Front </w:t>
      </w:r>
      <w:proofErr w:type="spellStart"/>
      <w:r w:rsidRPr="00FE777A">
        <w:rPr>
          <w:lang w:val="en-US"/>
        </w:rPr>
        <w:t>Nutr</w:t>
      </w:r>
      <w:proofErr w:type="spellEnd"/>
      <w:r w:rsidRPr="00FE777A">
        <w:rPr>
          <w:lang w:val="en-US"/>
        </w:rPr>
        <w:t>. 2025 Jun 10;12:1561771. doi:10.3389/fnut.2025.1561771</w:t>
      </w:r>
    </w:p>
    <w:p w14:paraId="3F88E495" w14:textId="77777777" w:rsidR="00FE777A" w:rsidRPr="00FE777A" w:rsidRDefault="00FE777A" w:rsidP="00FE777A">
      <w:pPr>
        <w:pStyle w:val="Bibliography"/>
        <w:rPr>
          <w:lang w:val="en-US"/>
        </w:rPr>
      </w:pPr>
      <w:r w:rsidRPr="00FE777A">
        <w:rPr>
          <w:lang w:val="en-US"/>
        </w:rPr>
        <w:t>32.</w:t>
      </w:r>
      <w:r w:rsidRPr="00FE777A">
        <w:rPr>
          <w:lang w:val="en-US"/>
        </w:rPr>
        <w:tab/>
        <w:t xml:space="preserve">Hans R, Thomas S, Garla B, Dagli RJ, Hans MK. Effect of Various Sugary Beverages on Salivary pH, Flow Rate, and Oral Clearance Rate amongst Adults. </w:t>
      </w:r>
      <w:proofErr w:type="spellStart"/>
      <w:r w:rsidRPr="00FE777A">
        <w:rPr>
          <w:lang w:val="en-US"/>
        </w:rPr>
        <w:t>Scientifica</w:t>
      </w:r>
      <w:proofErr w:type="spellEnd"/>
      <w:r w:rsidRPr="00FE777A">
        <w:rPr>
          <w:lang w:val="en-US"/>
        </w:rPr>
        <w:t>. 2016;2016:1–6. doi:10.1155/2016/5027283</w:t>
      </w:r>
    </w:p>
    <w:p w14:paraId="01B5FCA7" w14:textId="77777777" w:rsidR="00FE777A" w:rsidRPr="00FE777A" w:rsidRDefault="00FE777A" w:rsidP="00FE777A">
      <w:pPr>
        <w:pStyle w:val="Bibliography"/>
        <w:rPr>
          <w:lang w:val="en-US"/>
        </w:rPr>
      </w:pPr>
      <w:r w:rsidRPr="00FE777A">
        <w:rPr>
          <w:lang w:val="en-US"/>
        </w:rPr>
        <w:t>33.</w:t>
      </w:r>
      <w:r w:rsidRPr="00FE777A">
        <w:rPr>
          <w:lang w:val="en-US"/>
        </w:rPr>
        <w:tab/>
        <w:t>Pérez-Escamilla R, Segura-Millán S, Dewey KG. Infant bottle propping among a low-income urban population in Mexico. Bull Pan Am Health Organ. 1995 Jun;29(2):138–46. PubMed PMID: 7640692.</w:t>
      </w:r>
    </w:p>
    <w:p w14:paraId="3DAA41F3" w14:textId="77777777" w:rsidR="00FE777A" w:rsidRPr="00FE777A" w:rsidRDefault="00FE777A" w:rsidP="00FE777A">
      <w:pPr>
        <w:pStyle w:val="Bibliography"/>
        <w:rPr>
          <w:lang w:val="en-US"/>
        </w:rPr>
      </w:pPr>
      <w:r w:rsidRPr="00FE777A">
        <w:rPr>
          <w:lang w:val="en-US"/>
        </w:rPr>
        <w:t>34.</w:t>
      </w:r>
      <w:r w:rsidRPr="00FE777A">
        <w:rPr>
          <w:lang w:val="en-US"/>
        </w:rPr>
        <w:tab/>
        <w:t xml:space="preserve">50 Years </w:t>
      </w:r>
      <w:proofErr w:type="gramStart"/>
      <w:r w:rsidRPr="00FE777A">
        <w:rPr>
          <w:lang w:val="en-US"/>
        </w:rPr>
        <w:t>Ago</w:t>
      </w:r>
      <w:proofErr w:type="gramEnd"/>
      <w:r w:rsidRPr="00FE777A">
        <w:rPr>
          <w:lang w:val="en-US"/>
        </w:rPr>
        <w:t xml:space="preserve"> in The Journal of Pediatrics - The Journal of Pediatrics [Internet]. [cited 2026 Aug 1]. Available from: https://www.jpeds.com/article/S0022-3476(21)00419-4/fulltext</w:t>
      </w:r>
    </w:p>
    <w:p w14:paraId="47B0D25C" w14:textId="77777777" w:rsidR="00FE777A" w:rsidRPr="00FE777A" w:rsidRDefault="00FE777A" w:rsidP="00FE777A">
      <w:pPr>
        <w:pStyle w:val="Bibliography"/>
        <w:rPr>
          <w:lang w:val="en-US"/>
        </w:rPr>
      </w:pPr>
      <w:r w:rsidRPr="00FE777A">
        <w:rPr>
          <w:lang w:val="en-US"/>
        </w:rPr>
        <w:t>35.</w:t>
      </w:r>
      <w:r w:rsidRPr="00FE777A">
        <w:rPr>
          <w:lang w:val="en-US"/>
        </w:rPr>
        <w:tab/>
      </w:r>
      <w:proofErr w:type="spellStart"/>
      <w:r w:rsidRPr="00FE777A">
        <w:rPr>
          <w:lang w:val="en-US"/>
        </w:rPr>
        <w:t>Seuntjens</w:t>
      </w:r>
      <w:proofErr w:type="spellEnd"/>
      <w:r w:rsidRPr="00FE777A">
        <w:rPr>
          <w:lang w:val="en-US"/>
        </w:rPr>
        <w:t xml:space="preserve"> MT, Thomassen TMJA, Van Der Weijden F (G. A), Slot DE. Plaque scores after 1 or 2 minutes of toothbrushing A systematic review and meta</w:t>
      </w:r>
      <w:r w:rsidRPr="00FE777A">
        <w:rPr>
          <w:rFonts w:ascii="Cambria Math" w:hAnsi="Cambria Math" w:cs="Cambria Math"/>
          <w:lang w:val="en-US"/>
        </w:rPr>
        <w:t>‐</w:t>
      </w:r>
      <w:r w:rsidRPr="00FE777A">
        <w:rPr>
          <w:lang w:val="en-US"/>
        </w:rPr>
        <w:t>analysis. Int J Dent Hyg. 2025 Aug;23(3):614–24. doi:10.1111/idh.12840</w:t>
      </w:r>
    </w:p>
    <w:p w14:paraId="6582DE0C" w14:textId="77777777" w:rsidR="00FE777A" w:rsidRPr="00FE777A" w:rsidRDefault="00FE777A" w:rsidP="00FE777A">
      <w:pPr>
        <w:pStyle w:val="Bibliography"/>
        <w:rPr>
          <w:lang w:val="en-US"/>
        </w:rPr>
      </w:pPr>
      <w:r w:rsidRPr="00FE777A">
        <w:rPr>
          <w:lang w:val="en-US"/>
        </w:rPr>
        <w:lastRenderedPageBreak/>
        <w:t>36.</w:t>
      </w:r>
      <w:r w:rsidRPr="00FE777A">
        <w:rPr>
          <w:lang w:val="en-US"/>
        </w:rPr>
        <w:tab/>
        <w:t>Yaacob M, Worthington HV, Deacon SA, Deery C, Walmsley AD, Robinson PG, et al. Powered versus manual toothbrushing for oral health. Cochrane Oral Health Group, editor. Cochrane Database Syst Rev. 2014 Jun 17;2014(6). doi:10.1002/14651858.CD002281.pub3</w:t>
      </w:r>
    </w:p>
    <w:p w14:paraId="688D6F43" w14:textId="77777777" w:rsidR="00FE777A" w:rsidRPr="00FE777A" w:rsidRDefault="00FE777A" w:rsidP="00FE777A">
      <w:pPr>
        <w:pStyle w:val="Bibliography"/>
        <w:rPr>
          <w:lang w:val="en-US"/>
        </w:rPr>
      </w:pPr>
      <w:r w:rsidRPr="00FE777A">
        <w:rPr>
          <w:lang w:val="en-US"/>
        </w:rPr>
        <w:t>37.</w:t>
      </w:r>
      <w:r w:rsidRPr="00FE777A">
        <w:rPr>
          <w:lang w:val="en-US"/>
        </w:rPr>
        <w:tab/>
        <w:t xml:space="preserve">Abate A, </w:t>
      </w:r>
      <w:proofErr w:type="spellStart"/>
      <w:r w:rsidRPr="00FE777A">
        <w:rPr>
          <w:lang w:val="en-US"/>
        </w:rPr>
        <w:t>Cavagnetto</w:t>
      </w:r>
      <w:proofErr w:type="spellEnd"/>
      <w:r w:rsidRPr="00FE777A">
        <w:rPr>
          <w:lang w:val="en-US"/>
        </w:rPr>
        <w:t xml:space="preserve"> D, Fama A, Maspero C, </w:t>
      </w:r>
      <w:proofErr w:type="spellStart"/>
      <w:r w:rsidRPr="00FE777A">
        <w:rPr>
          <w:lang w:val="en-US"/>
        </w:rPr>
        <w:t>Farronato</w:t>
      </w:r>
      <w:proofErr w:type="spellEnd"/>
      <w:r w:rsidRPr="00FE777A">
        <w:rPr>
          <w:lang w:val="en-US"/>
        </w:rPr>
        <w:t xml:space="preserve"> G. Relationship between Breastfeeding and Malocclusion: A Systematic Review of the Literature. Nutrients. 2020 Nov 30;12(12):3688. doi:10.3390/nu12123688</w:t>
      </w:r>
    </w:p>
    <w:p w14:paraId="14F255AD" w14:textId="77777777" w:rsidR="00FE777A" w:rsidRPr="00FE777A" w:rsidRDefault="00FE777A" w:rsidP="00FE777A">
      <w:pPr>
        <w:pStyle w:val="Bibliography"/>
        <w:rPr>
          <w:lang w:val="en-US"/>
        </w:rPr>
      </w:pPr>
      <w:r w:rsidRPr="00FE777A">
        <w:rPr>
          <w:lang w:val="en-US"/>
        </w:rPr>
        <w:t>38.</w:t>
      </w:r>
      <w:r w:rsidRPr="00FE777A">
        <w:rPr>
          <w:lang w:val="en-US"/>
        </w:rPr>
        <w:tab/>
      </w:r>
      <w:proofErr w:type="spellStart"/>
      <w:r w:rsidRPr="00FE777A">
        <w:rPr>
          <w:lang w:val="en-US"/>
        </w:rPr>
        <w:t>Arpalahti</w:t>
      </w:r>
      <w:proofErr w:type="spellEnd"/>
      <w:r w:rsidRPr="00FE777A">
        <w:rPr>
          <w:lang w:val="en-US"/>
        </w:rPr>
        <w:t xml:space="preserve"> I, Hänninen K, Tolvanen M, </w:t>
      </w:r>
      <w:proofErr w:type="spellStart"/>
      <w:r w:rsidRPr="00FE777A">
        <w:rPr>
          <w:lang w:val="en-US"/>
        </w:rPr>
        <w:t>Varrela</w:t>
      </w:r>
      <w:proofErr w:type="spellEnd"/>
      <w:r w:rsidRPr="00FE777A">
        <w:rPr>
          <w:lang w:val="en-US"/>
        </w:rPr>
        <w:t xml:space="preserve"> J, Rice DP. The effect of early childhood non-nutritive sucking behavior including pacifiers on malocclusion: a randomized controlled trial. </w:t>
      </w:r>
      <w:proofErr w:type="spellStart"/>
      <w:r w:rsidRPr="00FE777A">
        <w:rPr>
          <w:lang w:val="en-US"/>
        </w:rPr>
        <w:t>Eur</w:t>
      </w:r>
      <w:proofErr w:type="spellEnd"/>
      <w:r w:rsidRPr="00FE777A">
        <w:rPr>
          <w:lang w:val="en-US"/>
        </w:rPr>
        <w:t xml:space="preserve"> J Orthod. 2024 Oct 1;46(5):cjae024. doi:10.1093/</w:t>
      </w:r>
      <w:proofErr w:type="spellStart"/>
      <w:r w:rsidRPr="00FE777A">
        <w:rPr>
          <w:lang w:val="en-US"/>
        </w:rPr>
        <w:t>ejo</w:t>
      </w:r>
      <w:proofErr w:type="spellEnd"/>
      <w:r w:rsidRPr="00FE777A">
        <w:rPr>
          <w:lang w:val="en-US"/>
        </w:rPr>
        <w:t>/cjae024</w:t>
      </w:r>
    </w:p>
    <w:p w14:paraId="2FCD9CC0" w14:textId="77777777" w:rsidR="00FE777A" w:rsidRPr="00FE777A" w:rsidRDefault="00FE777A" w:rsidP="00FE777A">
      <w:pPr>
        <w:pStyle w:val="Bibliography"/>
        <w:rPr>
          <w:lang w:val="en-US"/>
        </w:rPr>
      </w:pPr>
      <w:r w:rsidRPr="00FE777A">
        <w:rPr>
          <w:lang w:val="en-US"/>
        </w:rPr>
        <w:t>39.</w:t>
      </w:r>
      <w:r w:rsidRPr="00FE777A">
        <w:rPr>
          <w:lang w:val="en-US"/>
        </w:rPr>
        <w:tab/>
        <w:t>Marinho VC, Worthington HV, Walsh T, Clarkson JE. Fluoride varnishes for preventing dental caries in children and adolescents. Cochrane Oral Health Group, editor. Cochrane Database Syst Rev. 2013 Jul 11;2014(2). doi:10.1002/14651858.CD002279.pub2</w:t>
      </w:r>
    </w:p>
    <w:p w14:paraId="7E032F7D" w14:textId="77777777" w:rsidR="00FE777A" w:rsidRPr="00FE777A" w:rsidRDefault="00FE777A" w:rsidP="00FE777A">
      <w:pPr>
        <w:pStyle w:val="Bibliography"/>
        <w:rPr>
          <w:lang w:val="en-US"/>
        </w:rPr>
      </w:pPr>
      <w:r w:rsidRPr="00FE777A">
        <w:rPr>
          <w:lang w:val="en-US"/>
        </w:rPr>
        <w:t>40.</w:t>
      </w:r>
      <w:r w:rsidRPr="00FE777A">
        <w:rPr>
          <w:lang w:val="en-US"/>
        </w:rPr>
        <w:tab/>
        <w:t xml:space="preserve">Couto FM, Sousa FSDO, </w:t>
      </w:r>
      <w:proofErr w:type="spellStart"/>
      <w:r w:rsidRPr="00FE777A">
        <w:rPr>
          <w:lang w:val="en-US"/>
        </w:rPr>
        <w:t>Dhyppolito</w:t>
      </w:r>
      <w:proofErr w:type="spellEnd"/>
      <w:r w:rsidRPr="00FE777A">
        <w:rPr>
          <w:lang w:val="en-US"/>
        </w:rPr>
        <w:t xml:space="preserve"> IM, Barja</w:t>
      </w:r>
      <w:r w:rsidRPr="00FE777A">
        <w:rPr>
          <w:rFonts w:ascii="Cambria Math" w:hAnsi="Cambria Math" w:cs="Cambria Math"/>
          <w:lang w:val="en-US"/>
        </w:rPr>
        <w:t>‐</w:t>
      </w:r>
      <w:r w:rsidRPr="00FE777A">
        <w:rPr>
          <w:lang w:val="en-US"/>
        </w:rPr>
        <w:t xml:space="preserve">Fidalgo F, Dos Santos APP, </w:t>
      </w:r>
      <w:proofErr w:type="spellStart"/>
      <w:r w:rsidRPr="00FE777A">
        <w:rPr>
          <w:lang w:val="en-US"/>
        </w:rPr>
        <w:t>Nadanovsky</w:t>
      </w:r>
      <w:proofErr w:type="spellEnd"/>
      <w:r w:rsidRPr="00FE777A">
        <w:rPr>
          <w:lang w:val="en-US"/>
        </w:rPr>
        <w:t xml:space="preserve"> P. Fluoride Varnish for Caries Prevention in Preschoolers: An Overview of Reviews. Community Dent Oral Epidemiol. 2026 Apr;54(2):203–19. doi:10.1111/cdoe.70032</w:t>
      </w:r>
    </w:p>
    <w:p w14:paraId="5B41C206" w14:textId="77777777" w:rsidR="00FE777A" w:rsidRPr="00FE777A" w:rsidRDefault="00FE777A" w:rsidP="00FE777A">
      <w:pPr>
        <w:pStyle w:val="Bibliography"/>
        <w:rPr>
          <w:lang w:val="en-US"/>
        </w:rPr>
      </w:pPr>
      <w:r w:rsidRPr="00FE777A">
        <w:rPr>
          <w:lang w:val="en-US"/>
        </w:rPr>
        <w:t>41.</w:t>
      </w:r>
      <w:r w:rsidRPr="00FE777A">
        <w:rPr>
          <w:lang w:val="en-US"/>
        </w:rPr>
        <w:tab/>
      </w:r>
      <w:proofErr w:type="spellStart"/>
      <w:r w:rsidRPr="00FE777A">
        <w:rPr>
          <w:lang w:val="en-US"/>
        </w:rPr>
        <w:t>Hujoel</w:t>
      </w:r>
      <w:proofErr w:type="spellEnd"/>
      <w:r w:rsidRPr="00FE777A">
        <w:rPr>
          <w:lang w:val="en-US"/>
        </w:rPr>
        <w:t xml:space="preserve"> PP, </w:t>
      </w:r>
      <w:proofErr w:type="spellStart"/>
      <w:r w:rsidRPr="00FE777A">
        <w:rPr>
          <w:lang w:val="en-US"/>
        </w:rPr>
        <w:t>Hujoel</w:t>
      </w:r>
      <w:proofErr w:type="spellEnd"/>
      <w:r w:rsidRPr="00FE777A">
        <w:rPr>
          <w:lang w:val="en-US"/>
        </w:rPr>
        <w:t xml:space="preserve"> MLA, Kotsakis GA. Personal oral hygiene and dental caries: A systematic review of </w:t>
      </w:r>
      <w:proofErr w:type="spellStart"/>
      <w:r w:rsidRPr="00FE777A">
        <w:rPr>
          <w:lang w:val="en-US"/>
        </w:rPr>
        <w:t>randomised</w:t>
      </w:r>
      <w:proofErr w:type="spellEnd"/>
      <w:r w:rsidRPr="00FE777A">
        <w:rPr>
          <w:lang w:val="en-US"/>
        </w:rPr>
        <w:t xml:space="preserve"> controlled trials. </w:t>
      </w:r>
      <w:proofErr w:type="spellStart"/>
      <w:r w:rsidRPr="00FE777A">
        <w:rPr>
          <w:lang w:val="en-US"/>
        </w:rPr>
        <w:t>Gerodontology</w:t>
      </w:r>
      <w:proofErr w:type="spellEnd"/>
      <w:r w:rsidRPr="00FE777A">
        <w:rPr>
          <w:lang w:val="en-US"/>
        </w:rPr>
        <w:t>. 2018 Dec;35(4):282–9. doi:10.1111/ger.12331</w:t>
      </w:r>
    </w:p>
    <w:p w14:paraId="04BD4483" w14:textId="77777777" w:rsidR="00FE777A" w:rsidRPr="00FE777A" w:rsidRDefault="00FE777A" w:rsidP="00FE777A">
      <w:pPr>
        <w:pStyle w:val="Bibliography"/>
        <w:rPr>
          <w:lang w:val="en-US"/>
        </w:rPr>
      </w:pPr>
      <w:r w:rsidRPr="00FE777A">
        <w:rPr>
          <w:lang w:val="en-US"/>
        </w:rPr>
        <w:t>42.</w:t>
      </w:r>
      <w:r w:rsidRPr="00FE777A">
        <w:rPr>
          <w:lang w:val="en-US"/>
        </w:rPr>
        <w:tab/>
        <w:t>Wong MC, Glenny AM, Tsang BW, Lo EC, Worthington HV, Marinho VC. Topical fluoride as a cause of dental fluorosis in children. Cochrane Database Syst Rev. 2010 Jan 20;2010(1):CD007693. doi:10.1002/14651858.CD007693.pub2 PubMed PMID: 20091645; PubMed Central PMCID: PMC8078481.</w:t>
      </w:r>
    </w:p>
    <w:p w14:paraId="6BFA1161" w14:textId="77777777" w:rsidR="00FE777A" w:rsidRPr="00FE777A" w:rsidRDefault="00FE777A" w:rsidP="00FE777A">
      <w:pPr>
        <w:pStyle w:val="Bibliography"/>
        <w:rPr>
          <w:lang w:val="en-US"/>
        </w:rPr>
      </w:pPr>
      <w:r w:rsidRPr="00FE777A">
        <w:rPr>
          <w:lang w:val="en-US"/>
        </w:rPr>
        <w:t>43.</w:t>
      </w:r>
      <w:r w:rsidRPr="00FE777A">
        <w:rPr>
          <w:lang w:val="en-US"/>
        </w:rPr>
        <w:tab/>
        <w:t xml:space="preserve">Petrović B, Kojić S, </w:t>
      </w:r>
      <w:proofErr w:type="spellStart"/>
      <w:r w:rsidRPr="00FE777A">
        <w:rPr>
          <w:lang w:val="en-US"/>
        </w:rPr>
        <w:t>Milić</w:t>
      </w:r>
      <w:proofErr w:type="spellEnd"/>
      <w:r w:rsidRPr="00FE777A">
        <w:rPr>
          <w:lang w:val="en-US"/>
        </w:rPr>
        <w:t xml:space="preserve"> L, Luzio A, </w:t>
      </w:r>
      <w:proofErr w:type="spellStart"/>
      <w:r w:rsidRPr="00FE777A">
        <w:rPr>
          <w:lang w:val="en-US"/>
        </w:rPr>
        <w:t>Perić</w:t>
      </w:r>
      <w:proofErr w:type="spellEnd"/>
      <w:r w:rsidRPr="00FE777A">
        <w:rPr>
          <w:lang w:val="en-US"/>
        </w:rPr>
        <w:t xml:space="preserve"> T, Marković E, et al. Toothpaste ingestion—evaluating the problem and ensuring safety: systematic review and meta-analysis. Front Public Health. 2023 Oct 20;11:1279915. doi:10.3389/fpubh.2023.1279915</w:t>
      </w:r>
    </w:p>
    <w:p w14:paraId="7379B47D" w14:textId="77777777" w:rsidR="00FE777A" w:rsidRPr="00FE777A" w:rsidRDefault="00FE777A" w:rsidP="00FE777A">
      <w:pPr>
        <w:pStyle w:val="Bibliography"/>
        <w:rPr>
          <w:lang w:val="en-US"/>
        </w:rPr>
      </w:pPr>
      <w:r w:rsidRPr="00FE777A">
        <w:rPr>
          <w:lang w:val="en-US"/>
        </w:rPr>
        <w:t>44.</w:t>
      </w:r>
      <w:r w:rsidRPr="00FE777A">
        <w:rPr>
          <w:lang w:val="en-US"/>
        </w:rPr>
        <w:tab/>
      </w:r>
      <w:proofErr w:type="spellStart"/>
      <w:r w:rsidRPr="00FE777A">
        <w:rPr>
          <w:lang w:val="en-US"/>
        </w:rPr>
        <w:t>Nembhwani</w:t>
      </w:r>
      <w:proofErr w:type="spellEnd"/>
      <w:r w:rsidRPr="00FE777A">
        <w:rPr>
          <w:lang w:val="en-US"/>
        </w:rPr>
        <w:t xml:space="preserve"> HV, </w:t>
      </w:r>
      <w:proofErr w:type="spellStart"/>
      <w:r w:rsidRPr="00FE777A">
        <w:rPr>
          <w:lang w:val="en-US"/>
        </w:rPr>
        <w:t>Winnier</w:t>
      </w:r>
      <w:proofErr w:type="spellEnd"/>
      <w:r w:rsidRPr="00FE777A">
        <w:rPr>
          <w:lang w:val="en-US"/>
        </w:rPr>
        <w:t xml:space="preserve"> J. Impact of problematic eating </w:t>
      </w:r>
      <w:proofErr w:type="spellStart"/>
      <w:r w:rsidRPr="00FE777A">
        <w:rPr>
          <w:lang w:val="en-US"/>
        </w:rPr>
        <w:t>behaviour</w:t>
      </w:r>
      <w:proofErr w:type="spellEnd"/>
      <w:r w:rsidRPr="00FE777A">
        <w:rPr>
          <w:lang w:val="en-US"/>
        </w:rPr>
        <w:t xml:space="preserve"> and parental feeding styles on early childhood caries. Int J </w:t>
      </w:r>
      <w:proofErr w:type="spellStart"/>
      <w:r w:rsidRPr="00FE777A">
        <w:rPr>
          <w:lang w:val="en-US"/>
        </w:rPr>
        <w:t>Paediatr</w:t>
      </w:r>
      <w:proofErr w:type="spellEnd"/>
      <w:r w:rsidRPr="00FE777A">
        <w:rPr>
          <w:lang w:val="en-US"/>
        </w:rPr>
        <w:t xml:space="preserve"> Dent. 2020 Sep;30(5):619–25. doi:10.1111/ipd.12628 PubMed PMID: 32057152.</w:t>
      </w:r>
    </w:p>
    <w:p w14:paraId="1F0E222A" w14:textId="77777777" w:rsidR="00FE777A" w:rsidRPr="00FE777A" w:rsidRDefault="00FE777A" w:rsidP="00FE777A">
      <w:pPr>
        <w:pStyle w:val="Bibliography"/>
        <w:rPr>
          <w:lang w:val="en-US"/>
        </w:rPr>
      </w:pPr>
      <w:r w:rsidRPr="00FE777A">
        <w:rPr>
          <w:lang w:val="en-US"/>
        </w:rPr>
        <w:t>45.</w:t>
      </w:r>
      <w:r w:rsidRPr="00FE777A">
        <w:rPr>
          <w:lang w:val="en-US"/>
        </w:rPr>
        <w:tab/>
        <w:t>Wen J, Tao Y, Pang L, Cao Y, Lin H, Zhou Y. Parental Feeding Styles and Risk of a New Carious Lesion in Preschool Children: A Longitudinal Study. Nutrients. 2023 Oct 16;15(20):4387. doi:10.3390/nu15204387</w:t>
      </w:r>
    </w:p>
    <w:p w14:paraId="7C415762" w14:textId="77777777" w:rsidR="00FE777A" w:rsidRPr="00FE777A" w:rsidRDefault="00FE777A" w:rsidP="00FE777A">
      <w:pPr>
        <w:pStyle w:val="Bibliography"/>
        <w:rPr>
          <w:lang w:val="en-US"/>
        </w:rPr>
      </w:pPr>
      <w:r w:rsidRPr="00FE777A">
        <w:rPr>
          <w:lang w:val="en-US"/>
        </w:rPr>
        <w:t>46.</w:t>
      </w:r>
      <w:r w:rsidRPr="00FE777A">
        <w:rPr>
          <w:lang w:val="en-US"/>
        </w:rPr>
        <w:tab/>
        <w:t xml:space="preserve">Siddiqui YD, </w:t>
      </w:r>
      <w:proofErr w:type="spellStart"/>
      <w:r w:rsidRPr="00FE777A">
        <w:rPr>
          <w:lang w:val="en-US"/>
        </w:rPr>
        <w:t>Almaeen</w:t>
      </w:r>
      <w:proofErr w:type="spellEnd"/>
      <w:r w:rsidRPr="00FE777A">
        <w:rPr>
          <w:lang w:val="en-US"/>
        </w:rPr>
        <w:t xml:space="preserve"> SH, Hashem AS, </w:t>
      </w:r>
      <w:proofErr w:type="spellStart"/>
      <w:r w:rsidRPr="00FE777A">
        <w:rPr>
          <w:lang w:val="en-US"/>
        </w:rPr>
        <w:t>Almuntashiri</w:t>
      </w:r>
      <w:proofErr w:type="spellEnd"/>
      <w:r w:rsidRPr="00FE777A">
        <w:rPr>
          <w:lang w:val="en-US"/>
        </w:rPr>
        <w:t xml:space="preserve"> AAA, Baig MN, Alshammari AH, et al. The impact of food-based incentive behaviors on oral health among Saudi children: a cross-sectional study. J Health </w:t>
      </w:r>
      <w:proofErr w:type="spellStart"/>
      <w:r w:rsidRPr="00FE777A">
        <w:rPr>
          <w:lang w:val="en-US"/>
        </w:rPr>
        <w:t>Popul</w:t>
      </w:r>
      <w:proofErr w:type="spellEnd"/>
      <w:r w:rsidRPr="00FE777A">
        <w:rPr>
          <w:lang w:val="en-US"/>
        </w:rPr>
        <w:t xml:space="preserve"> </w:t>
      </w:r>
      <w:proofErr w:type="spellStart"/>
      <w:r w:rsidRPr="00FE777A">
        <w:rPr>
          <w:lang w:val="en-US"/>
        </w:rPr>
        <w:t>Nutr</w:t>
      </w:r>
      <w:proofErr w:type="spellEnd"/>
      <w:r w:rsidRPr="00FE777A">
        <w:rPr>
          <w:lang w:val="en-US"/>
        </w:rPr>
        <w:t>. 2025 Feb 7;44(1):35. doi:10.1186/s41043-024-00734-w</w:t>
      </w:r>
    </w:p>
    <w:p w14:paraId="71C2384B" w14:textId="77777777" w:rsidR="00FE777A" w:rsidRPr="00FE777A" w:rsidRDefault="00FE777A" w:rsidP="00FE777A">
      <w:pPr>
        <w:pStyle w:val="Bibliography"/>
        <w:rPr>
          <w:lang w:val="en-US"/>
        </w:rPr>
      </w:pPr>
      <w:r w:rsidRPr="00FE777A">
        <w:rPr>
          <w:lang w:val="en-US"/>
        </w:rPr>
        <w:t>47.</w:t>
      </w:r>
      <w:r w:rsidRPr="00FE777A">
        <w:rPr>
          <w:lang w:val="en-US"/>
        </w:rPr>
        <w:tab/>
        <w:t xml:space="preserve">Large JF, Madigan C, </w:t>
      </w:r>
      <w:proofErr w:type="spellStart"/>
      <w:r w:rsidRPr="00FE777A">
        <w:rPr>
          <w:lang w:val="en-US"/>
        </w:rPr>
        <w:t>Pradeilles</w:t>
      </w:r>
      <w:proofErr w:type="spellEnd"/>
      <w:r w:rsidRPr="00FE777A">
        <w:rPr>
          <w:lang w:val="en-US"/>
        </w:rPr>
        <w:t xml:space="preserve"> R, Markey O, Boxer B, </w:t>
      </w:r>
      <w:proofErr w:type="spellStart"/>
      <w:r w:rsidRPr="00FE777A">
        <w:rPr>
          <w:lang w:val="en-US"/>
        </w:rPr>
        <w:t>Rousham</w:t>
      </w:r>
      <w:proofErr w:type="spellEnd"/>
      <w:r w:rsidRPr="00FE777A">
        <w:rPr>
          <w:lang w:val="en-US"/>
        </w:rPr>
        <w:t xml:space="preserve"> EK. Impact of unhealthy food and beverage consumption on children’s risk of dental caries: a systematic review. </w:t>
      </w:r>
      <w:proofErr w:type="spellStart"/>
      <w:r w:rsidRPr="00FE777A">
        <w:rPr>
          <w:lang w:val="en-US"/>
        </w:rPr>
        <w:t>Nutr</w:t>
      </w:r>
      <w:proofErr w:type="spellEnd"/>
      <w:r w:rsidRPr="00FE777A">
        <w:rPr>
          <w:lang w:val="en-US"/>
        </w:rPr>
        <w:t xml:space="preserve"> Rev. 2024 Nov 1;82(11):1539–55. doi:10.1093/</w:t>
      </w:r>
      <w:proofErr w:type="spellStart"/>
      <w:r w:rsidRPr="00FE777A">
        <w:rPr>
          <w:lang w:val="en-US"/>
        </w:rPr>
        <w:t>nutrit</w:t>
      </w:r>
      <w:proofErr w:type="spellEnd"/>
      <w:r w:rsidRPr="00FE777A">
        <w:rPr>
          <w:lang w:val="en-US"/>
        </w:rPr>
        <w:t>/nuad147</w:t>
      </w:r>
    </w:p>
    <w:p w14:paraId="42F69274" w14:textId="77777777" w:rsidR="00FE777A" w:rsidRPr="00FE777A" w:rsidRDefault="00FE777A" w:rsidP="00FE777A">
      <w:pPr>
        <w:pStyle w:val="Bibliography"/>
        <w:rPr>
          <w:lang w:val="en-US"/>
        </w:rPr>
      </w:pPr>
      <w:r w:rsidRPr="00FE777A">
        <w:rPr>
          <w:lang w:val="en-US"/>
        </w:rPr>
        <w:t>48.</w:t>
      </w:r>
      <w:r w:rsidRPr="00FE777A">
        <w:rPr>
          <w:lang w:val="en-US"/>
        </w:rPr>
        <w:tab/>
        <w:t xml:space="preserve">Chou R, Pappas M, Dana T, Selph S, Hart E, Fu RF, et al. Screening and Interventions to Prevent Dental Caries in Children Younger Than 5 Years: Updated Evidence Report </w:t>
      </w:r>
      <w:r w:rsidRPr="00FE777A">
        <w:rPr>
          <w:lang w:val="en-US"/>
        </w:rPr>
        <w:lastRenderedPageBreak/>
        <w:t>and Systematic Review for the US Preventive Services Task Force. JAMA. 2021 Dec 7;326(21):2179–92. doi:10.1001/jama.2021.15658 PubMed PMID: 34874413.</w:t>
      </w:r>
    </w:p>
    <w:p w14:paraId="085D33B3" w14:textId="77777777" w:rsidR="00FE777A" w:rsidRPr="00FE777A" w:rsidRDefault="00FE777A" w:rsidP="00FE777A">
      <w:pPr>
        <w:pStyle w:val="Bibliography"/>
        <w:rPr>
          <w:lang w:val="en-US"/>
        </w:rPr>
      </w:pPr>
      <w:r w:rsidRPr="00FE777A">
        <w:rPr>
          <w:lang w:val="en-US"/>
        </w:rPr>
        <w:t>49.</w:t>
      </w:r>
      <w:r w:rsidRPr="00FE777A">
        <w:rPr>
          <w:lang w:val="en-US"/>
        </w:rPr>
        <w:tab/>
        <w:t xml:space="preserve">Tubert-Jeannin S, Auclair C, </w:t>
      </w:r>
      <w:proofErr w:type="spellStart"/>
      <w:r w:rsidRPr="00FE777A">
        <w:rPr>
          <w:lang w:val="en-US"/>
        </w:rPr>
        <w:t>Amsallem</w:t>
      </w:r>
      <w:proofErr w:type="spellEnd"/>
      <w:r w:rsidRPr="00FE777A">
        <w:rPr>
          <w:lang w:val="en-US"/>
        </w:rPr>
        <w:t xml:space="preserve"> E, </w:t>
      </w:r>
      <w:proofErr w:type="spellStart"/>
      <w:r w:rsidRPr="00FE777A">
        <w:rPr>
          <w:lang w:val="en-US"/>
        </w:rPr>
        <w:t>Tramini</w:t>
      </w:r>
      <w:proofErr w:type="spellEnd"/>
      <w:r w:rsidRPr="00FE777A">
        <w:rPr>
          <w:lang w:val="en-US"/>
        </w:rPr>
        <w:t xml:space="preserve"> P, Gerbaud L, </w:t>
      </w:r>
      <w:proofErr w:type="spellStart"/>
      <w:r w:rsidRPr="00FE777A">
        <w:rPr>
          <w:lang w:val="en-US"/>
        </w:rPr>
        <w:t>Ruffieux</w:t>
      </w:r>
      <w:proofErr w:type="spellEnd"/>
      <w:r w:rsidRPr="00FE777A">
        <w:rPr>
          <w:lang w:val="en-US"/>
        </w:rPr>
        <w:t xml:space="preserve"> C, et al. Fluoride supplements (tablets, drops, lozenges or chewing gums) for preventing dental caries in children. Cochrane Oral Health Group, editor. Cochrane Database Syst Rev. 2011 Dec 7;2019(11). doi:10.1002/14651858.CD007592.pub2</w:t>
      </w:r>
    </w:p>
    <w:p w14:paraId="7A951F68" w14:textId="77777777" w:rsidR="00FE777A" w:rsidRPr="00FE777A" w:rsidRDefault="00FE777A" w:rsidP="00FE777A">
      <w:pPr>
        <w:pStyle w:val="Bibliography"/>
        <w:rPr>
          <w:lang w:val="en-US"/>
        </w:rPr>
      </w:pPr>
      <w:r w:rsidRPr="00FE777A">
        <w:rPr>
          <w:lang w:val="en-US"/>
        </w:rPr>
        <w:t>50.</w:t>
      </w:r>
      <w:r w:rsidRPr="00FE777A">
        <w:rPr>
          <w:lang w:val="en-US"/>
        </w:rPr>
        <w:tab/>
        <w:t>Ismail AI, Hasson H. Fluoride supplements, dental caries and fluorosis: a systematic review. J Am Dent Assoc. 2008 Nov;139(11):1457–68. doi:10.14219/jada.archive.2008.0071 PubMed PMID: 18978383.</w:t>
      </w:r>
    </w:p>
    <w:p w14:paraId="45E2E0A0" w14:textId="77777777" w:rsidR="00FE777A" w:rsidRPr="00FE777A" w:rsidRDefault="00FE777A" w:rsidP="00FE777A">
      <w:pPr>
        <w:pStyle w:val="Bibliography"/>
        <w:rPr>
          <w:lang w:val="en-US"/>
        </w:rPr>
      </w:pPr>
      <w:r w:rsidRPr="00FE777A">
        <w:rPr>
          <w:lang w:val="en-US"/>
        </w:rPr>
        <w:t>51.</w:t>
      </w:r>
      <w:r w:rsidRPr="00FE777A">
        <w:rPr>
          <w:lang w:val="en-US"/>
        </w:rPr>
        <w:tab/>
      </w:r>
      <w:proofErr w:type="spellStart"/>
      <w:r w:rsidRPr="00FE777A">
        <w:rPr>
          <w:lang w:val="en-US"/>
        </w:rPr>
        <w:t>Iheozor</w:t>
      </w:r>
      <w:proofErr w:type="spellEnd"/>
      <w:r w:rsidRPr="00FE777A">
        <w:rPr>
          <w:lang w:val="en-US"/>
        </w:rPr>
        <w:t>-Ejiofor Z, Walsh T, Lewis SR, Riley P, Boyers D, Clarkson JE, et al. Water fluoridation for the prevention of dental caries. Cochrane Oral Health Group, editor. Cochrane Database Syst Rev. 2024 Oct 4;2024(11). doi:10.1002/14651858.CD010856.pub3</w:t>
      </w:r>
    </w:p>
    <w:p w14:paraId="2BD0401B" w14:textId="77777777" w:rsidR="00FE777A" w:rsidRPr="00FE777A" w:rsidRDefault="00FE777A" w:rsidP="00FE777A">
      <w:pPr>
        <w:pStyle w:val="Bibliography"/>
        <w:rPr>
          <w:lang w:val="en-US"/>
        </w:rPr>
      </w:pPr>
      <w:r w:rsidRPr="00FE777A">
        <w:rPr>
          <w:lang w:val="en-US"/>
        </w:rPr>
        <w:t>52.</w:t>
      </w:r>
      <w:r w:rsidRPr="00FE777A">
        <w:rPr>
          <w:lang w:val="en-US"/>
        </w:rPr>
        <w:tab/>
        <w:t xml:space="preserve">Warren JJ, Levy SM, </w:t>
      </w:r>
      <w:proofErr w:type="spellStart"/>
      <w:r w:rsidRPr="00FE777A">
        <w:rPr>
          <w:lang w:val="en-US"/>
        </w:rPr>
        <w:t>Broffitt</w:t>
      </w:r>
      <w:proofErr w:type="spellEnd"/>
      <w:r w:rsidRPr="00FE777A">
        <w:rPr>
          <w:lang w:val="en-US"/>
        </w:rPr>
        <w:t xml:space="preserve"> B, Cavanaugh JE, Kanellis MJ, Weber</w:t>
      </w:r>
      <w:r w:rsidRPr="00FE777A">
        <w:rPr>
          <w:rFonts w:ascii="Cambria Math" w:hAnsi="Cambria Math" w:cs="Cambria Math"/>
          <w:lang w:val="en-US"/>
        </w:rPr>
        <w:t>‐</w:t>
      </w:r>
      <w:proofErr w:type="spellStart"/>
      <w:r w:rsidRPr="00FE777A">
        <w:rPr>
          <w:lang w:val="en-US"/>
        </w:rPr>
        <w:t>Gasparoni</w:t>
      </w:r>
      <w:proofErr w:type="spellEnd"/>
      <w:r w:rsidRPr="00FE777A">
        <w:rPr>
          <w:lang w:val="en-US"/>
        </w:rPr>
        <w:t xml:space="preserve"> K. Considerations on Optimal Fluoride Intake Using Dental Fluorosis and Dental Caries Outcomes – A Longitudinal Study. J Public Health Dent. 2009 Mar;69(2):111–5. doi:10.1111/j.1752-7325.2008.00108.x</w:t>
      </w:r>
    </w:p>
    <w:p w14:paraId="6F380773" w14:textId="77777777" w:rsidR="00FE777A" w:rsidRPr="00FE777A" w:rsidRDefault="00FE777A" w:rsidP="00FE777A">
      <w:pPr>
        <w:pStyle w:val="Bibliography"/>
        <w:rPr>
          <w:lang w:val="en-US"/>
        </w:rPr>
      </w:pPr>
      <w:r w:rsidRPr="00FE777A">
        <w:rPr>
          <w:lang w:val="en-US"/>
        </w:rPr>
        <w:t>53.</w:t>
      </w:r>
      <w:r w:rsidRPr="00FE777A">
        <w:rPr>
          <w:lang w:val="en-US"/>
        </w:rPr>
        <w:tab/>
      </w:r>
      <w:proofErr w:type="spellStart"/>
      <w:r w:rsidRPr="00FE777A">
        <w:rPr>
          <w:lang w:val="en-US"/>
        </w:rPr>
        <w:t>Vijayasekaram</w:t>
      </w:r>
      <w:proofErr w:type="spellEnd"/>
      <w:r w:rsidRPr="00FE777A">
        <w:rPr>
          <w:lang w:val="en-US"/>
        </w:rPr>
        <w:t xml:space="preserve"> R, </w:t>
      </w:r>
      <w:proofErr w:type="spellStart"/>
      <w:r w:rsidRPr="00FE777A">
        <w:rPr>
          <w:lang w:val="en-US"/>
        </w:rPr>
        <w:t>Senerath</w:t>
      </w:r>
      <w:proofErr w:type="spellEnd"/>
      <w:r w:rsidRPr="00FE777A">
        <w:rPr>
          <w:lang w:val="en-US"/>
        </w:rPr>
        <w:t xml:space="preserve"> O, </w:t>
      </w:r>
      <w:proofErr w:type="spellStart"/>
      <w:r w:rsidRPr="00FE777A">
        <w:rPr>
          <w:lang w:val="en-US"/>
        </w:rPr>
        <w:t>Thevarasah</w:t>
      </w:r>
      <w:proofErr w:type="spellEnd"/>
      <w:r w:rsidRPr="00FE777A">
        <w:rPr>
          <w:lang w:val="en-US"/>
        </w:rPr>
        <w:t xml:space="preserve"> N, Baig MH, Raj SS. A tailored tooth brushing program to control plaque accumulation and gingivitis among orphan children: A randomized trial. J Glob Oral Health. 2020 Nov 19;3(2):118–22. doi:10.25259/JGOH_39_2020</w:t>
      </w:r>
    </w:p>
    <w:p w14:paraId="5382B718" w14:textId="77777777" w:rsidR="00FE777A" w:rsidRPr="00FE777A" w:rsidRDefault="00FE777A" w:rsidP="00FE777A">
      <w:pPr>
        <w:pStyle w:val="Bibliography"/>
        <w:rPr>
          <w:lang w:val="en-US"/>
        </w:rPr>
      </w:pPr>
      <w:r w:rsidRPr="00FE777A">
        <w:rPr>
          <w:lang w:val="en-US"/>
        </w:rPr>
        <w:t>54.</w:t>
      </w:r>
      <w:r w:rsidRPr="00FE777A">
        <w:rPr>
          <w:lang w:val="en-US"/>
        </w:rPr>
        <w:tab/>
        <w:t xml:space="preserve">Patil S, Patil P, </w:t>
      </w:r>
      <w:proofErr w:type="spellStart"/>
      <w:r w:rsidRPr="00FE777A">
        <w:rPr>
          <w:lang w:val="en-US"/>
        </w:rPr>
        <w:t>Kashetty</w:t>
      </w:r>
      <w:proofErr w:type="spellEnd"/>
      <w:r w:rsidRPr="00FE777A">
        <w:rPr>
          <w:lang w:val="en-US"/>
        </w:rPr>
        <w:t xml:space="preserve"> M. Effectiveness of different tooth brushing techniques on the removal of dental plaque in </w:t>
      </w:r>
      <w:proofErr w:type="gramStart"/>
      <w:r w:rsidRPr="00FE777A">
        <w:rPr>
          <w:lang w:val="en-US"/>
        </w:rPr>
        <w:t>6-8 year old</w:t>
      </w:r>
      <w:proofErr w:type="gramEnd"/>
      <w:r w:rsidRPr="00FE777A">
        <w:rPr>
          <w:lang w:val="en-US"/>
        </w:rPr>
        <w:t xml:space="preserve"> children of Gulbarga. J Int Soc Prev Community Dent. 2014;4(2):113. doi:10.4103/2231-0762.138305</w:t>
      </w:r>
    </w:p>
    <w:p w14:paraId="58B6F859" w14:textId="77777777" w:rsidR="00FE777A" w:rsidRPr="00FE777A" w:rsidRDefault="00FE777A" w:rsidP="00FE777A">
      <w:pPr>
        <w:pStyle w:val="Bibliography"/>
        <w:rPr>
          <w:lang w:val="en-US"/>
        </w:rPr>
      </w:pPr>
      <w:r w:rsidRPr="00FE777A">
        <w:rPr>
          <w:lang w:val="en-US"/>
        </w:rPr>
        <w:t>55.</w:t>
      </w:r>
      <w:r w:rsidRPr="00FE777A">
        <w:rPr>
          <w:lang w:val="en-US"/>
        </w:rPr>
        <w:tab/>
      </w:r>
      <w:proofErr w:type="spellStart"/>
      <w:r w:rsidRPr="00FE777A">
        <w:rPr>
          <w:lang w:val="en-US"/>
        </w:rPr>
        <w:t>Ahovuo</w:t>
      </w:r>
      <w:proofErr w:type="spellEnd"/>
      <w:r w:rsidRPr="00FE777A">
        <w:rPr>
          <w:lang w:val="en-US"/>
        </w:rPr>
        <w:t>-Saloranta A, Forss H, Walsh T, Nordblad A, Mäkelä M, Worthington HV. Pit and fissure sealants for preventing dental decay in permanent teeth. Cochrane Oral Health Group, editor. Cochrane Database Syst Rev. 2017 Jul 31;2017(7). doi:10.1002/14651858.CD001830.pub5</w:t>
      </w:r>
    </w:p>
    <w:p w14:paraId="7E6245FF" w14:textId="77777777" w:rsidR="00FE777A" w:rsidRPr="00FE777A" w:rsidRDefault="00FE777A" w:rsidP="00FE777A">
      <w:pPr>
        <w:pStyle w:val="Bibliography"/>
        <w:rPr>
          <w:lang w:val="en-US"/>
        </w:rPr>
      </w:pPr>
      <w:r w:rsidRPr="00FE777A">
        <w:rPr>
          <w:lang w:val="en-US"/>
        </w:rPr>
        <w:t>56.</w:t>
      </w:r>
      <w:r w:rsidRPr="00FE777A">
        <w:rPr>
          <w:lang w:val="en-US"/>
        </w:rPr>
        <w:tab/>
        <w:t>Marinho VC, Chong LY, Worthington HV, Walsh T. Fluoride mouthrinses for preventing dental caries in children and adolescents. Cochrane Oral Health Group, editor. Cochrane Database Syst Rev. 2016 Jul 29;2021(2). doi:10.1002/14651858.CD002284.pub2</w:t>
      </w:r>
    </w:p>
    <w:p w14:paraId="1B243569" w14:textId="77777777" w:rsidR="00FE777A" w:rsidRPr="00FE777A" w:rsidRDefault="00FE777A" w:rsidP="00FE777A">
      <w:pPr>
        <w:pStyle w:val="Bibliography"/>
        <w:rPr>
          <w:lang w:val="en-US"/>
        </w:rPr>
      </w:pPr>
      <w:r w:rsidRPr="00FE777A">
        <w:rPr>
          <w:lang w:val="en-US"/>
        </w:rPr>
        <w:t>57.</w:t>
      </w:r>
      <w:r w:rsidRPr="00FE777A">
        <w:rPr>
          <w:lang w:val="en-US"/>
        </w:rPr>
        <w:tab/>
      </w:r>
      <w:proofErr w:type="spellStart"/>
      <w:r w:rsidRPr="00FE777A">
        <w:rPr>
          <w:lang w:val="en-US"/>
        </w:rPr>
        <w:t>Hujoel</w:t>
      </w:r>
      <w:proofErr w:type="spellEnd"/>
      <w:r w:rsidRPr="00FE777A">
        <w:rPr>
          <w:lang w:val="en-US"/>
        </w:rPr>
        <w:t xml:space="preserve"> PP, Zina LG, </w:t>
      </w:r>
      <w:proofErr w:type="spellStart"/>
      <w:r w:rsidRPr="00FE777A">
        <w:rPr>
          <w:lang w:val="en-US"/>
        </w:rPr>
        <w:t>Moimaz</w:t>
      </w:r>
      <w:proofErr w:type="spellEnd"/>
      <w:r w:rsidRPr="00FE777A">
        <w:rPr>
          <w:lang w:val="en-US"/>
        </w:rPr>
        <w:t xml:space="preserve"> SAS, Cunha-Cruz J. Infant formula and enamel fluorosis: a systematic review. J Am Dent Assoc. 2009 Jul;140(7):841–54. doi:10.14219/jada.archive.2009.0278 PubMed PMID: 19571048.</w:t>
      </w:r>
    </w:p>
    <w:p w14:paraId="5721B4AA" w14:textId="77777777" w:rsidR="00FE777A" w:rsidRPr="00FE777A" w:rsidRDefault="00FE777A" w:rsidP="00FE777A">
      <w:pPr>
        <w:pStyle w:val="Bibliography"/>
        <w:rPr>
          <w:lang w:val="en-US"/>
        </w:rPr>
      </w:pPr>
      <w:r w:rsidRPr="00FE777A">
        <w:rPr>
          <w:lang w:val="en-US"/>
        </w:rPr>
        <w:t>58.</w:t>
      </w:r>
      <w:r w:rsidRPr="00FE777A">
        <w:rPr>
          <w:lang w:val="en-US"/>
        </w:rPr>
        <w:tab/>
        <w:t xml:space="preserve">Tham R, </w:t>
      </w:r>
      <w:proofErr w:type="spellStart"/>
      <w:r w:rsidRPr="00FE777A">
        <w:rPr>
          <w:lang w:val="en-US"/>
        </w:rPr>
        <w:t>Bowatte</w:t>
      </w:r>
      <w:proofErr w:type="spellEnd"/>
      <w:r w:rsidRPr="00FE777A">
        <w:rPr>
          <w:lang w:val="en-US"/>
        </w:rPr>
        <w:t xml:space="preserve"> G, </w:t>
      </w:r>
      <w:proofErr w:type="spellStart"/>
      <w:r w:rsidRPr="00FE777A">
        <w:rPr>
          <w:lang w:val="en-US"/>
        </w:rPr>
        <w:t>Dharmage</w:t>
      </w:r>
      <w:proofErr w:type="spellEnd"/>
      <w:r w:rsidRPr="00FE777A">
        <w:rPr>
          <w:lang w:val="en-US"/>
        </w:rPr>
        <w:t xml:space="preserve"> S, Tan D, Lau M, Dai X, et al. Breastfeeding and the risk of dental caries: a systematic review and meta</w:t>
      </w:r>
      <w:r w:rsidRPr="00FE777A">
        <w:rPr>
          <w:rFonts w:ascii="Cambria Math" w:hAnsi="Cambria Math" w:cs="Cambria Math"/>
          <w:lang w:val="en-US"/>
        </w:rPr>
        <w:t>‐</w:t>
      </w:r>
      <w:r w:rsidRPr="00FE777A">
        <w:rPr>
          <w:lang w:val="en-US"/>
        </w:rPr>
        <w:t xml:space="preserve">analysis. Acta </w:t>
      </w:r>
      <w:proofErr w:type="spellStart"/>
      <w:r w:rsidRPr="00FE777A">
        <w:rPr>
          <w:lang w:val="en-US"/>
        </w:rPr>
        <w:t>Paediatr</w:t>
      </w:r>
      <w:proofErr w:type="spellEnd"/>
      <w:r w:rsidRPr="00FE777A">
        <w:rPr>
          <w:lang w:val="en-US"/>
        </w:rPr>
        <w:t>. 2015 Dec;104(S467):62–84. doi:10.1111/apa.13118</w:t>
      </w:r>
    </w:p>
    <w:p w14:paraId="431CCE73" w14:textId="77777777" w:rsidR="00FE777A" w:rsidRPr="00FE777A" w:rsidRDefault="00FE777A" w:rsidP="00FE777A">
      <w:pPr>
        <w:pStyle w:val="Bibliography"/>
        <w:rPr>
          <w:lang w:val="en-US"/>
        </w:rPr>
      </w:pPr>
      <w:r w:rsidRPr="00FE777A">
        <w:rPr>
          <w:lang w:val="en-US"/>
        </w:rPr>
        <w:t>59.</w:t>
      </w:r>
      <w:r w:rsidRPr="00FE777A">
        <w:rPr>
          <w:lang w:val="en-US"/>
        </w:rPr>
        <w:tab/>
        <w:t xml:space="preserve">Li A, Ma Y, Cui N, Zhang X, Zheng Q, Du P, et al. Research progress of milk and dairy products to prevent caries. J </w:t>
      </w:r>
      <w:proofErr w:type="spellStart"/>
      <w:r w:rsidRPr="00FE777A">
        <w:rPr>
          <w:lang w:val="en-US"/>
        </w:rPr>
        <w:t>Funct</w:t>
      </w:r>
      <w:proofErr w:type="spellEnd"/>
      <w:r w:rsidRPr="00FE777A">
        <w:rPr>
          <w:lang w:val="en-US"/>
        </w:rPr>
        <w:t xml:space="preserve"> Foods. 2023 Nov 1;110:105837. doi:10.1016/j.jff.2023.105837</w:t>
      </w:r>
    </w:p>
    <w:p w14:paraId="4328F2CF" w14:textId="77777777" w:rsidR="00FE777A" w:rsidRPr="00FE777A" w:rsidRDefault="00FE777A" w:rsidP="00FE777A">
      <w:pPr>
        <w:pStyle w:val="Bibliography"/>
        <w:rPr>
          <w:lang w:val="en-US"/>
        </w:rPr>
      </w:pPr>
      <w:r w:rsidRPr="00FE777A">
        <w:rPr>
          <w:lang w:val="en-US"/>
        </w:rPr>
        <w:lastRenderedPageBreak/>
        <w:t>60.</w:t>
      </w:r>
      <w:r w:rsidRPr="00FE777A">
        <w:rPr>
          <w:lang w:val="en-US"/>
        </w:rPr>
        <w:tab/>
        <w:t xml:space="preserve">Lessa A, Garcia AL, Emmett P, Crozier S, Robinson S, Godfrey KM, et al. Does early introduction of solid feeding lead to early cessation of breastfeeding? Matern Child </w:t>
      </w:r>
      <w:proofErr w:type="spellStart"/>
      <w:r w:rsidRPr="00FE777A">
        <w:rPr>
          <w:lang w:val="en-US"/>
        </w:rPr>
        <w:t>Nutr</w:t>
      </w:r>
      <w:proofErr w:type="spellEnd"/>
      <w:r w:rsidRPr="00FE777A">
        <w:rPr>
          <w:lang w:val="en-US"/>
        </w:rPr>
        <w:t>. 2020 Oct;16(4):e12944. doi:10.1111/mcn.12944</w:t>
      </w:r>
    </w:p>
    <w:p w14:paraId="14F7D1A8" w14:textId="77777777" w:rsidR="00FE777A" w:rsidRPr="00FE777A" w:rsidRDefault="00FE777A" w:rsidP="00FE777A">
      <w:pPr>
        <w:pStyle w:val="Bibliography"/>
        <w:rPr>
          <w:lang w:val="en-US"/>
        </w:rPr>
      </w:pPr>
      <w:r w:rsidRPr="00FE777A">
        <w:rPr>
          <w:lang w:val="en-US"/>
        </w:rPr>
        <w:t>61.</w:t>
      </w:r>
      <w:r w:rsidRPr="00FE777A">
        <w:rPr>
          <w:lang w:val="en-US"/>
        </w:rPr>
        <w:tab/>
        <w:t xml:space="preserve">Nazzal H, Duggal MS, </w:t>
      </w:r>
      <w:proofErr w:type="spellStart"/>
      <w:r w:rsidRPr="00FE777A">
        <w:rPr>
          <w:lang w:val="en-US"/>
        </w:rPr>
        <w:t>Kowash</w:t>
      </w:r>
      <w:proofErr w:type="spellEnd"/>
      <w:r w:rsidRPr="00FE777A">
        <w:rPr>
          <w:lang w:val="en-US"/>
        </w:rPr>
        <w:t xml:space="preserve"> MB, Kang J, Toumba KJ. Comparison of residual salivary fluoride retention using amine fluoride toothpastes in caries-free and caries-prone children. </w:t>
      </w:r>
      <w:proofErr w:type="spellStart"/>
      <w:r w:rsidRPr="00FE777A">
        <w:rPr>
          <w:lang w:val="en-US"/>
        </w:rPr>
        <w:t>Eur</w:t>
      </w:r>
      <w:proofErr w:type="spellEnd"/>
      <w:r w:rsidRPr="00FE777A">
        <w:rPr>
          <w:lang w:val="en-US"/>
        </w:rPr>
        <w:t xml:space="preserve"> Arch </w:t>
      </w:r>
      <w:proofErr w:type="spellStart"/>
      <w:r w:rsidRPr="00FE777A">
        <w:rPr>
          <w:lang w:val="en-US"/>
        </w:rPr>
        <w:t>Paediatr</w:t>
      </w:r>
      <w:proofErr w:type="spellEnd"/>
      <w:r w:rsidRPr="00FE777A">
        <w:rPr>
          <w:lang w:val="en-US"/>
        </w:rPr>
        <w:t xml:space="preserve"> Dent Off J </w:t>
      </w:r>
      <w:proofErr w:type="spellStart"/>
      <w:r w:rsidRPr="00FE777A">
        <w:rPr>
          <w:lang w:val="en-US"/>
        </w:rPr>
        <w:t>Eur</w:t>
      </w:r>
      <w:proofErr w:type="spellEnd"/>
      <w:r w:rsidRPr="00FE777A">
        <w:rPr>
          <w:lang w:val="en-US"/>
        </w:rPr>
        <w:t xml:space="preserve"> Acad </w:t>
      </w:r>
      <w:proofErr w:type="spellStart"/>
      <w:r w:rsidRPr="00FE777A">
        <w:rPr>
          <w:lang w:val="en-US"/>
        </w:rPr>
        <w:t>Paediatr</w:t>
      </w:r>
      <w:proofErr w:type="spellEnd"/>
      <w:r w:rsidRPr="00FE777A">
        <w:rPr>
          <w:lang w:val="en-US"/>
        </w:rPr>
        <w:t xml:space="preserve"> Dent. 2016 Jun;17(3):165–9. doi:10.1007/s40368-015-0220-x PubMed PMID: 27102319; PubMed Central PMCID: PMC4882375.</w:t>
      </w:r>
    </w:p>
    <w:p w14:paraId="0232E770" w14:textId="77777777" w:rsidR="00FE777A" w:rsidRPr="00FE777A" w:rsidRDefault="00FE777A" w:rsidP="00FE777A">
      <w:pPr>
        <w:pStyle w:val="Bibliography"/>
        <w:rPr>
          <w:lang w:val="en-US"/>
        </w:rPr>
      </w:pPr>
      <w:r w:rsidRPr="00FE777A">
        <w:rPr>
          <w:lang w:val="en-US"/>
        </w:rPr>
        <w:t>62.</w:t>
      </w:r>
      <w:r w:rsidRPr="00FE777A">
        <w:rPr>
          <w:lang w:val="en-US"/>
        </w:rPr>
        <w:tab/>
      </w:r>
      <w:proofErr w:type="spellStart"/>
      <w:r w:rsidRPr="00FE777A">
        <w:rPr>
          <w:lang w:val="en-US"/>
        </w:rPr>
        <w:t>Parakaw</w:t>
      </w:r>
      <w:proofErr w:type="spellEnd"/>
      <w:r w:rsidRPr="00FE777A">
        <w:rPr>
          <w:lang w:val="en-US"/>
        </w:rPr>
        <w:t xml:space="preserve"> T, </w:t>
      </w:r>
      <w:proofErr w:type="spellStart"/>
      <w:r w:rsidRPr="00FE777A">
        <w:rPr>
          <w:lang w:val="en-US"/>
        </w:rPr>
        <w:t>Srihirun</w:t>
      </w:r>
      <w:proofErr w:type="spellEnd"/>
      <w:r w:rsidRPr="00FE777A">
        <w:rPr>
          <w:lang w:val="en-US"/>
        </w:rPr>
        <w:t xml:space="preserve"> S, </w:t>
      </w:r>
      <w:proofErr w:type="spellStart"/>
      <w:r w:rsidRPr="00FE777A">
        <w:rPr>
          <w:lang w:val="en-US"/>
        </w:rPr>
        <w:t>Dararat</w:t>
      </w:r>
      <w:proofErr w:type="spellEnd"/>
      <w:r w:rsidRPr="00FE777A">
        <w:rPr>
          <w:lang w:val="en-US"/>
        </w:rPr>
        <w:t xml:space="preserve"> P, </w:t>
      </w:r>
      <w:proofErr w:type="spellStart"/>
      <w:r w:rsidRPr="00FE777A">
        <w:rPr>
          <w:lang w:val="en-US"/>
        </w:rPr>
        <w:t>Ruangsawasdi</w:t>
      </w:r>
      <w:proofErr w:type="spellEnd"/>
      <w:r w:rsidRPr="00FE777A">
        <w:rPr>
          <w:lang w:val="en-US"/>
        </w:rPr>
        <w:t xml:space="preserve"> N. Kinetics of fluoride after brushing with the no-rinse method. BMC Oral Health. 2024 Sep 8;24(1):1050. doi:10.1186/s12903-024-04807-4</w:t>
      </w:r>
    </w:p>
    <w:p w14:paraId="75E55926" w14:textId="77777777" w:rsidR="00FE777A" w:rsidRPr="00FE777A" w:rsidRDefault="00FE777A" w:rsidP="00FE777A">
      <w:pPr>
        <w:pStyle w:val="Bibliography"/>
        <w:rPr>
          <w:lang w:val="en-US"/>
        </w:rPr>
      </w:pPr>
      <w:r w:rsidRPr="00FE777A">
        <w:rPr>
          <w:lang w:val="en-US"/>
        </w:rPr>
        <w:t>63.</w:t>
      </w:r>
      <w:r w:rsidRPr="00FE777A">
        <w:rPr>
          <w:lang w:val="en-US"/>
        </w:rPr>
        <w:tab/>
      </w:r>
      <w:proofErr w:type="spellStart"/>
      <w:r w:rsidRPr="00FE777A">
        <w:rPr>
          <w:lang w:val="en-US"/>
        </w:rPr>
        <w:t>Nishide</w:t>
      </w:r>
      <w:proofErr w:type="spellEnd"/>
      <w:r w:rsidRPr="00FE777A">
        <w:rPr>
          <w:lang w:val="en-US"/>
        </w:rPr>
        <w:t xml:space="preserve"> S, Yoshihara T, </w:t>
      </w:r>
      <w:proofErr w:type="spellStart"/>
      <w:r w:rsidRPr="00FE777A">
        <w:rPr>
          <w:lang w:val="en-US"/>
        </w:rPr>
        <w:t>Hongou</w:t>
      </w:r>
      <w:proofErr w:type="spellEnd"/>
      <w:r w:rsidRPr="00FE777A">
        <w:rPr>
          <w:lang w:val="en-US"/>
        </w:rPr>
        <w:t xml:space="preserve"> H, </w:t>
      </w:r>
      <w:proofErr w:type="spellStart"/>
      <w:r w:rsidRPr="00FE777A">
        <w:rPr>
          <w:lang w:val="en-US"/>
        </w:rPr>
        <w:t>Kanehira</w:t>
      </w:r>
      <w:proofErr w:type="spellEnd"/>
      <w:r w:rsidRPr="00FE777A">
        <w:rPr>
          <w:lang w:val="en-US"/>
        </w:rPr>
        <w:t xml:space="preserve"> T, </w:t>
      </w:r>
      <w:proofErr w:type="spellStart"/>
      <w:r w:rsidRPr="00FE777A">
        <w:rPr>
          <w:lang w:val="en-US"/>
        </w:rPr>
        <w:t>Yawaka</w:t>
      </w:r>
      <w:proofErr w:type="spellEnd"/>
      <w:r w:rsidRPr="00FE777A">
        <w:rPr>
          <w:lang w:val="en-US"/>
        </w:rPr>
        <w:t xml:space="preserve"> Y. Daily life habits associated with </w:t>
      </w:r>
      <w:proofErr w:type="spellStart"/>
      <w:r w:rsidRPr="00FE777A">
        <w:rPr>
          <w:lang w:val="en-US"/>
        </w:rPr>
        <w:t>eveningness</w:t>
      </w:r>
      <w:proofErr w:type="spellEnd"/>
      <w:r w:rsidRPr="00FE777A">
        <w:rPr>
          <w:lang w:val="en-US"/>
        </w:rPr>
        <w:t xml:space="preserve"> lead to a higher prevalence of dental caries in children. J Dent Sci. 2019 Sep 1;14(3):302–8. doi:10.1016/j.jds.2019.01.015</w:t>
      </w:r>
    </w:p>
    <w:p w14:paraId="7A9A001D" w14:textId="77777777" w:rsidR="00FE777A" w:rsidRPr="00FE777A" w:rsidRDefault="00FE777A" w:rsidP="00FE777A">
      <w:pPr>
        <w:pStyle w:val="Bibliography"/>
        <w:rPr>
          <w:lang w:val="en-US"/>
        </w:rPr>
      </w:pPr>
      <w:r w:rsidRPr="00FE777A">
        <w:rPr>
          <w:lang w:val="en-US"/>
        </w:rPr>
        <w:t>64.</w:t>
      </w:r>
      <w:r w:rsidRPr="00FE777A">
        <w:rPr>
          <w:lang w:val="en-US"/>
        </w:rPr>
        <w:tab/>
        <w:t xml:space="preserve">Ganesh A, Muthu MS, Padmanabhan R, </w:t>
      </w:r>
      <w:proofErr w:type="spellStart"/>
      <w:r w:rsidRPr="00FE777A">
        <w:rPr>
          <w:lang w:val="en-US"/>
        </w:rPr>
        <w:t>Nuvvula</w:t>
      </w:r>
      <w:proofErr w:type="spellEnd"/>
      <w:r w:rsidRPr="00FE777A">
        <w:rPr>
          <w:lang w:val="en-US"/>
        </w:rPr>
        <w:t xml:space="preserve"> S. Association of Sleep-Time Feeding Practices with Early Childhood Caries: A Case-Control Study. Caries Res. 2022;56(4):399–406. doi:10.1159/000527035</w:t>
      </w:r>
    </w:p>
    <w:p w14:paraId="01034C4E" w14:textId="77777777" w:rsidR="00FE777A" w:rsidRPr="00FE777A" w:rsidRDefault="00FE777A" w:rsidP="00FE777A">
      <w:pPr>
        <w:pStyle w:val="Bibliography"/>
        <w:rPr>
          <w:lang w:val="en-US"/>
        </w:rPr>
      </w:pPr>
      <w:r w:rsidRPr="00FE777A">
        <w:rPr>
          <w:lang w:val="en-US"/>
        </w:rPr>
        <w:t>65.</w:t>
      </w:r>
      <w:r w:rsidRPr="00FE777A">
        <w:rPr>
          <w:lang w:val="en-US"/>
        </w:rPr>
        <w:tab/>
        <w:t>Quintessence Publishing Deutschland [Internet]. [cited 2026 Aug 1]. Effectiveness of Manual Toothbrushing Techniques on Plaque and Gingivitis: A Systematic Review. Available from: https://www.quintessence-publishing.com/deu/en/article/842364/oral-health-and-preventive-dentistry/2020/01/effectiveness-of-manual-toothbrushing-techniques-on-plaque-and-gingivitis-a-systematic-review</w:t>
      </w:r>
    </w:p>
    <w:p w14:paraId="040FD01E" w14:textId="7692F1DF" w:rsidR="003C36D5" w:rsidRDefault="00000000" w:rsidP="00FE777A">
      <w:pPr>
        <w:pStyle w:val="Bibliography"/>
        <w:rPr>
          <w:rFonts w:ascii="Times New Roman" w:eastAsia="Times New Roman" w:hAnsi="Times New Roman" w:cs="Times New Roman"/>
          <w:sz w:val="24"/>
          <w:szCs w:val="24"/>
        </w:rPr>
      </w:pPr>
      <w:r>
        <w:fldChar w:fldCharType="end"/>
      </w:r>
    </w:p>
    <w:p w14:paraId="6DAFC3F2" w14:textId="77777777" w:rsidR="003C36D5" w:rsidRDefault="003C36D5">
      <w:pPr>
        <w:spacing w:after="160" w:line="301" w:lineRule="auto"/>
        <w:rPr>
          <w:rFonts w:ascii="Times New Roman" w:eastAsia="Times New Roman" w:hAnsi="Times New Roman" w:cs="Times New Roman"/>
          <w:sz w:val="24"/>
          <w:szCs w:val="24"/>
        </w:rPr>
      </w:pPr>
    </w:p>
    <w:p w14:paraId="0AFD0BD6" w14:textId="77777777" w:rsidR="003C36D5" w:rsidRDefault="003C36D5">
      <w:pPr>
        <w:spacing w:after="160" w:line="301" w:lineRule="auto"/>
        <w:rPr>
          <w:rFonts w:ascii="Times New Roman" w:eastAsia="Times New Roman" w:hAnsi="Times New Roman" w:cs="Times New Roman"/>
          <w:sz w:val="24"/>
          <w:szCs w:val="24"/>
        </w:rPr>
      </w:pPr>
    </w:p>
    <w:p w14:paraId="28BBBA08" w14:textId="77777777" w:rsidR="003C36D5" w:rsidRDefault="003C36D5">
      <w:pPr>
        <w:spacing w:after="160" w:line="301" w:lineRule="auto"/>
        <w:rPr>
          <w:rFonts w:ascii="Times New Roman" w:eastAsia="Times New Roman" w:hAnsi="Times New Roman" w:cs="Times New Roman"/>
          <w:sz w:val="24"/>
          <w:szCs w:val="24"/>
        </w:rPr>
      </w:pPr>
    </w:p>
    <w:p w14:paraId="44DC7B9B" w14:textId="77777777" w:rsidR="003C36D5" w:rsidRDefault="003C36D5">
      <w:pPr>
        <w:spacing w:after="160" w:line="301" w:lineRule="auto"/>
        <w:rPr>
          <w:rFonts w:ascii="Times New Roman" w:eastAsia="Times New Roman" w:hAnsi="Times New Roman" w:cs="Times New Roman"/>
          <w:sz w:val="24"/>
          <w:szCs w:val="24"/>
        </w:rPr>
      </w:pPr>
    </w:p>
    <w:p w14:paraId="597EB3B6" w14:textId="77777777" w:rsidR="003C36D5" w:rsidRDefault="003C36D5">
      <w:pPr>
        <w:spacing w:after="160" w:line="301" w:lineRule="auto"/>
        <w:rPr>
          <w:rFonts w:ascii="Times New Roman" w:eastAsia="Times New Roman" w:hAnsi="Times New Roman" w:cs="Times New Roman"/>
          <w:sz w:val="24"/>
          <w:szCs w:val="24"/>
        </w:rPr>
      </w:pPr>
    </w:p>
    <w:p w14:paraId="6CC1351E" w14:textId="77777777" w:rsidR="003C36D5" w:rsidRDefault="003C36D5">
      <w:pPr>
        <w:spacing w:after="160" w:line="301" w:lineRule="auto"/>
        <w:rPr>
          <w:rFonts w:ascii="Times New Roman" w:eastAsia="Times New Roman" w:hAnsi="Times New Roman" w:cs="Times New Roman"/>
          <w:sz w:val="24"/>
          <w:szCs w:val="24"/>
        </w:rPr>
      </w:pPr>
    </w:p>
    <w:p w14:paraId="4B1F9E3C" w14:textId="77777777" w:rsidR="003C36D5" w:rsidRDefault="003C36D5">
      <w:pPr>
        <w:spacing w:after="160" w:line="301" w:lineRule="auto"/>
        <w:rPr>
          <w:rFonts w:ascii="Times New Roman" w:eastAsia="Times New Roman" w:hAnsi="Times New Roman" w:cs="Times New Roman"/>
          <w:sz w:val="24"/>
          <w:szCs w:val="24"/>
        </w:rPr>
      </w:pPr>
    </w:p>
    <w:p w14:paraId="170631A6" w14:textId="77777777" w:rsidR="003C36D5" w:rsidRDefault="003C36D5">
      <w:pPr>
        <w:spacing w:after="160" w:line="301" w:lineRule="auto"/>
        <w:rPr>
          <w:rFonts w:ascii="Times New Roman" w:eastAsia="Times New Roman" w:hAnsi="Times New Roman" w:cs="Times New Roman"/>
          <w:sz w:val="24"/>
          <w:szCs w:val="24"/>
        </w:rPr>
      </w:pPr>
    </w:p>
    <w:p w14:paraId="63AB7C94" w14:textId="77777777" w:rsidR="003C36D5" w:rsidRDefault="003C36D5">
      <w:pPr>
        <w:spacing w:after="160" w:line="301" w:lineRule="auto"/>
        <w:rPr>
          <w:rFonts w:ascii="Times New Roman" w:eastAsia="Times New Roman" w:hAnsi="Times New Roman" w:cs="Times New Roman"/>
          <w:sz w:val="24"/>
          <w:szCs w:val="24"/>
        </w:rPr>
      </w:pPr>
    </w:p>
    <w:p w14:paraId="44D71A59" w14:textId="77777777" w:rsidR="003C36D5" w:rsidRDefault="003C36D5">
      <w:pPr>
        <w:spacing w:after="160" w:line="301" w:lineRule="auto"/>
        <w:rPr>
          <w:rFonts w:ascii="Times New Roman" w:eastAsia="Times New Roman" w:hAnsi="Times New Roman" w:cs="Times New Roman"/>
          <w:sz w:val="24"/>
          <w:szCs w:val="24"/>
        </w:rPr>
      </w:pPr>
    </w:p>
    <w:p w14:paraId="0B1AA758" w14:textId="77777777" w:rsidR="003C36D5" w:rsidRDefault="003C36D5">
      <w:pPr>
        <w:spacing w:after="160" w:line="301" w:lineRule="auto"/>
        <w:rPr>
          <w:rFonts w:ascii="Times New Roman" w:eastAsia="Times New Roman" w:hAnsi="Times New Roman" w:cs="Times New Roman"/>
          <w:sz w:val="24"/>
          <w:szCs w:val="24"/>
        </w:rPr>
      </w:pPr>
    </w:p>
    <w:p w14:paraId="18929ABC" w14:textId="77777777" w:rsidR="003C36D5" w:rsidRDefault="003C36D5">
      <w:pPr>
        <w:spacing w:after="160" w:line="301" w:lineRule="auto"/>
        <w:rPr>
          <w:rFonts w:ascii="Times New Roman" w:eastAsia="Times New Roman" w:hAnsi="Times New Roman" w:cs="Times New Roman"/>
          <w:sz w:val="24"/>
          <w:szCs w:val="24"/>
        </w:rPr>
      </w:pPr>
    </w:p>
    <w:p w14:paraId="4B46E7E0" w14:textId="77777777" w:rsidR="003C36D5" w:rsidRDefault="00000000">
      <w:pPr>
        <w:spacing w:after="160"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3A6472" w14:textId="77777777" w:rsidR="003C36D5" w:rsidRDefault="003C36D5">
      <w:pPr>
        <w:spacing w:after="160" w:line="301" w:lineRule="auto"/>
        <w:rPr>
          <w:rFonts w:ascii="Times New Roman" w:eastAsia="Times New Roman" w:hAnsi="Times New Roman" w:cs="Times New Roman"/>
          <w:sz w:val="24"/>
          <w:szCs w:val="24"/>
        </w:rPr>
      </w:pPr>
    </w:p>
    <w:p w14:paraId="2D2C7515" w14:textId="77777777" w:rsidR="003C36D5" w:rsidRDefault="003C36D5">
      <w:pPr>
        <w:spacing w:after="160" w:line="301" w:lineRule="auto"/>
        <w:rPr>
          <w:rFonts w:ascii="Times New Roman" w:eastAsia="Times New Roman" w:hAnsi="Times New Roman" w:cs="Times New Roman"/>
          <w:sz w:val="24"/>
          <w:szCs w:val="24"/>
        </w:rPr>
      </w:pPr>
    </w:p>
    <w:p w14:paraId="1D947049" w14:textId="4B85BF54" w:rsidR="003C36D5" w:rsidRDefault="003C36D5">
      <w:pPr>
        <w:spacing w:after="160" w:line="301" w:lineRule="auto"/>
        <w:rPr>
          <w:rFonts w:ascii="Times New Roman" w:eastAsia="Times New Roman" w:hAnsi="Times New Roman" w:cs="Times New Roman"/>
          <w:sz w:val="24"/>
          <w:szCs w:val="24"/>
        </w:rPr>
      </w:pPr>
    </w:p>
    <w:p w14:paraId="62A46933" w14:textId="77777777" w:rsidR="003C36D5" w:rsidRDefault="003C36D5">
      <w:pPr>
        <w:spacing w:after="160" w:line="301" w:lineRule="auto"/>
        <w:rPr>
          <w:rFonts w:ascii="Times New Roman" w:eastAsia="Times New Roman" w:hAnsi="Times New Roman" w:cs="Times New Roman"/>
          <w:sz w:val="24"/>
          <w:szCs w:val="24"/>
        </w:rPr>
      </w:pPr>
    </w:p>
    <w:p w14:paraId="5864AAB5" w14:textId="77777777" w:rsidR="003C36D5" w:rsidRDefault="003C36D5">
      <w:pPr>
        <w:spacing w:after="160" w:line="301" w:lineRule="auto"/>
        <w:rPr>
          <w:rFonts w:ascii="Times New Roman" w:eastAsia="Times New Roman" w:hAnsi="Times New Roman" w:cs="Times New Roman"/>
          <w:sz w:val="24"/>
          <w:szCs w:val="24"/>
        </w:rPr>
      </w:pPr>
    </w:p>
    <w:p w14:paraId="28F5D226" w14:textId="77777777" w:rsidR="003C36D5" w:rsidRDefault="003C36D5">
      <w:pPr>
        <w:spacing w:after="160" w:line="301" w:lineRule="auto"/>
        <w:rPr>
          <w:rFonts w:ascii="Times New Roman" w:eastAsia="Times New Roman" w:hAnsi="Times New Roman" w:cs="Times New Roman"/>
          <w:sz w:val="24"/>
          <w:szCs w:val="24"/>
        </w:rPr>
      </w:pPr>
    </w:p>
    <w:p w14:paraId="798BC0F6" w14:textId="77777777" w:rsidR="003C36D5" w:rsidRDefault="003C36D5">
      <w:pPr>
        <w:spacing w:after="160" w:line="301" w:lineRule="auto"/>
        <w:rPr>
          <w:rFonts w:ascii="Times New Roman" w:eastAsia="Times New Roman" w:hAnsi="Times New Roman" w:cs="Times New Roman"/>
          <w:sz w:val="24"/>
          <w:szCs w:val="24"/>
        </w:rPr>
      </w:pPr>
    </w:p>
    <w:p w14:paraId="01769050" w14:textId="77777777" w:rsidR="003C36D5" w:rsidRDefault="003C36D5">
      <w:pPr>
        <w:spacing w:after="160" w:line="301" w:lineRule="auto"/>
        <w:rPr>
          <w:rFonts w:ascii="Times New Roman" w:eastAsia="Times New Roman" w:hAnsi="Times New Roman" w:cs="Times New Roman"/>
          <w:sz w:val="24"/>
          <w:szCs w:val="24"/>
        </w:rPr>
      </w:pPr>
    </w:p>
    <w:p w14:paraId="3C8AF29A" w14:textId="77777777" w:rsidR="003C36D5" w:rsidRDefault="003C36D5">
      <w:pPr>
        <w:spacing w:after="160" w:line="301" w:lineRule="auto"/>
        <w:rPr>
          <w:rFonts w:ascii="Times New Roman" w:eastAsia="Times New Roman" w:hAnsi="Times New Roman" w:cs="Times New Roman"/>
          <w:sz w:val="24"/>
          <w:szCs w:val="24"/>
        </w:rPr>
      </w:pPr>
    </w:p>
    <w:p w14:paraId="3989D7DC" w14:textId="77777777" w:rsidR="003C36D5" w:rsidRDefault="003C36D5">
      <w:pPr>
        <w:spacing w:after="160" w:line="301" w:lineRule="auto"/>
        <w:rPr>
          <w:rFonts w:ascii="Times New Roman" w:eastAsia="Times New Roman" w:hAnsi="Times New Roman" w:cs="Times New Roman"/>
          <w:sz w:val="24"/>
          <w:szCs w:val="24"/>
        </w:rPr>
      </w:pPr>
    </w:p>
    <w:p w14:paraId="782AF706" w14:textId="77777777" w:rsidR="003C36D5" w:rsidRDefault="003C36D5">
      <w:pPr>
        <w:spacing w:after="160" w:line="301" w:lineRule="auto"/>
        <w:rPr>
          <w:rFonts w:ascii="Times New Roman" w:eastAsia="Times New Roman" w:hAnsi="Times New Roman" w:cs="Times New Roman"/>
          <w:sz w:val="24"/>
          <w:szCs w:val="24"/>
        </w:rPr>
      </w:pPr>
    </w:p>
    <w:p w14:paraId="235394CC" w14:textId="77777777" w:rsidR="003C36D5" w:rsidRDefault="003C36D5">
      <w:pPr>
        <w:spacing w:after="160" w:line="301" w:lineRule="auto"/>
        <w:rPr>
          <w:rFonts w:ascii="Times New Roman" w:eastAsia="Times New Roman" w:hAnsi="Times New Roman" w:cs="Times New Roman"/>
          <w:sz w:val="24"/>
          <w:szCs w:val="24"/>
        </w:rPr>
      </w:pPr>
    </w:p>
    <w:p w14:paraId="58801413" w14:textId="77777777" w:rsidR="003C36D5" w:rsidRDefault="003C36D5">
      <w:pPr>
        <w:spacing w:after="160" w:line="301" w:lineRule="auto"/>
        <w:rPr>
          <w:rFonts w:ascii="Times New Roman" w:eastAsia="Times New Roman" w:hAnsi="Times New Roman" w:cs="Times New Roman"/>
          <w:sz w:val="24"/>
          <w:szCs w:val="24"/>
        </w:rPr>
      </w:pPr>
    </w:p>
    <w:p w14:paraId="448EFF0F" w14:textId="77777777" w:rsidR="003C36D5" w:rsidRDefault="003C36D5">
      <w:pPr>
        <w:spacing w:after="160" w:line="301" w:lineRule="auto"/>
        <w:rPr>
          <w:rFonts w:ascii="Times New Roman" w:eastAsia="Times New Roman" w:hAnsi="Times New Roman" w:cs="Times New Roman"/>
          <w:sz w:val="24"/>
          <w:szCs w:val="24"/>
        </w:rPr>
      </w:pPr>
    </w:p>
    <w:p w14:paraId="3CDBBA57" w14:textId="77777777" w:rsidR="003C36D5" w:rsidRDefault="003C36D5">
      <w:pPr>
        <w:spacing w:after="160" w:line="301" w:lineRule="auto"/>
        <w:rPr>
          <w:rFonts w:ascii="Times New Roman" w:eastAsia="Times New Roman" w:hAnsi="Times New Roman" w:cs="Times New Roman"/>
          <w:sz w:val="24"/>
          <w:szCs w:val="24"/>
        </w:rPr>
      </w:pPr>
    </w:p>
    <w:p w14:paraId="548877EB" w14:textId="77777777" w:rsidR="003C36D5" w:rsidRDefault="003C36D5">
      <w:pPr>
        <w:spacing w:after="160" w:line="301" w:lineRule="auto"/>
        <w:rPr>
          <w:rFonts w:ascii="Times New Roman" w:eastAsia="Times New Roman" w:hAnsi="Times New Roman" w:cs="Times New Roman"/>
          <w:sz w:val="24"/>
          <w:szCs w:val="24"/>
        </w:rPr>
      </w:pPr>
    </w:p>
    <w:p w14:paraId="126D43D2" w14:textId="13D61C1A" w:rsidR="003C36D5" w:rsidRDefault="003C36D5">
      <w:pPr>
        <w:spacing w:after="160" w:line="301" w:lineRule="auto"/>
        <w:rPr>
          <w:rFonts w:ascii="Times New Roman" w:eastAsia="Times New Roman" w:hAnsi="Times New Roman" w:cs="Times New Roman"/>
          <w:sz w:val="24"/>
          <w:szCs w:val="24"/>
        </w:rPr>
      </w:pPr>
    </w:p>
    <w:sectPr w:rsidR="003C36D5">
      <w:headerReference w:type="default" r:id="rId6"/>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C5763A" w14:textId="77777777" w:rsidR="006C1ACA" w:rsidRDefault="006C1ACA">
      <w:pPr>
        <w:spacing w:line="240" w:lineRule="auto"/>
      </w:pPr>
      <w:r>
        <w:separator/>
      </w:r>
    </w:p>
  </w:endnote>
  <w:endnote w:type="continuationSeparator" w:id="0">
    <w:p w14:paraId="75DAC484" w14:textId="77777777" w:rsidR="006C1ACA" w:rsidRDefault="006C1A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7E15BF62-0190-3746-A33B-A788022542C5}"/>
    <w:embedBold r:id="rId2" w:fontKey="{CE3C3D84-A20B-864D-8214-CEB8E160520C}"/>
    <w:embedItalic r:id="rId3" w:fontKey="{84B763E7-C29D-6F49-A061-ED7C8D8BA917}"/>
  </w:font>
  <w:font w:name="Times New Roman">
    <w:panose1 w:val="02020603050405020304"/>
    <w:charset w:val="00"/>
    <w:family w:val="roman"/>
    <w:pitch w:val="variable"/>
    <w:sig w:usb0="E0002EFF" w:usb1="C000785B" w:usb2="00000009" w:usb3="00000000" w:csb0="000001FF" w:csb1="00000000"/>
    <w:embedRegular r:id="rId4" w:fontKey="{928E1759-A53F-144A-BFF1-57CB20AD3048}"/>
    <w:embedBold r:id="rId5" w:fontKey="{AA63EC60-BC11-1E44-80E4-B97D2127CD7B}"/>
  </w:font>
  <w:font w:name="Cambria Math">
    <w:panose1 w:val="02040503050406030204"/>
    <w:charset w:val="00"/>
    <w:family w:val="roman"/>
    <w:pitch w:val="variable"/>
    <w:sig w:usb0="E00002FF" w:usb1="420024FF" w:usb2="00000000" w:usb3="00000000" w:csb0="0000019F" w:csb1="00000000"/>
    <w:embedRegular r:id="rId6" w:fontKey="{85BD4D39-840A-414A-82F8-F8E925E8B6CC}"/>
  </w:font>
  <w:font w:name="Calibri">
    <w:panose1 w:val="020F0502020204030204"/>
    <w:charset w:val="00"/>
    <w:family w:val="swiss"/>
    <w:pitch w:val="variable"/>
    <w:sig w:usb0="E0002AFF" w:usb1="C000247B" w:usb2="00000009" w:usb3="00000000" w:csb0="000001FF" w:csb1="00000000"/>
    <w:embedRegular r:id="rId7" w:fontKey="{88F1C3BB-88C7-0B4B-95CD-4C4FA2F674CB}"/>
  </w:font>
  <w:font w:name="Cambria">
    <w:panose1 w:val="02040503050406030204"/>
    <w:charset w:val="00"/>
    <w:family w:val="roman"/>
    <w:notTrueType/>
    <w:pitch w:val="default"/>
    <w:embedRegular r:id="rId8" w:fontKey="{1B8EDCC3-24BF-D948-89CD-CDC0B8417D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319DFB" w14:textId="77777777" w:rsidR="003C36D5" w:rsidRDefault="003C36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74ECC1" w14:textId="77777777" w:rsidR="006C1ACA" w:rsidRDefault="006C1ACA">
      <w:pPr>
        <w:spacing w:line="240" w:lineRule="auto"/>
      </w:pPr>
      <w:r>
        <w:separator/>
      </w:r>
    </w:p>
  </w:footnote>
  <w:footnote w:type="continuationSeparator" w:id="0">
    <w:p w14:paraId="4E93521F" w14:textId="77777777" w:rsidR="006C1ACA" w:rsidRDefault="006C1A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1D872" w14:textId="77777777" w:rsidR="003C36D5" w:rsidRDefault="003C36D5"/>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6D5"/>
    <w:rsid w:val="003C36D5"/>
    <w:rsid w:val="006C1ACA"/>
    <w:rsid w:val="00B71A07"/>
    <w:rsid w:val="00FE77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7AC45F7"/>
  <w15:docId w15:val="{B2CB9FD1-E021-AC4A-BDAB-971CBD7FD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Bibliography">
    <w:name w:val="Bibliography"/>
    <w:basedOn w:val="Normal"/>
    <w:next w:val="Normal"/>
    <w:uiPriority w:val="37"/>
    <w:unhideWhenUsed/>
    <w:rsid w:val="00FE777A"/>
    <w:pPr>
      <w:tabs>
        <w:tab w:val="left" w:pos="380"/>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25741</Words>
  <Characters>146729</Characters>
  <Application>Microsoft Office Word</Application>
  <DocSecurity>0</DocSecurity>
  <Lines>1222</Lines>
  <Paragraphs>344</Paragraphs>
  <ScaleCrop>false</ScaleCrop>
  <Company/>
  <LinksUpToDate>false</LinksUpToDate>
  <CharactersWithSpaces>172126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Alomar, Karim</cp:lastModifiedBy>
  <cp:revision>2</cp:revision>
  <dcterms:created xsi:type="dcterms:W3CDTF">2026-09-08T20:41:00Z</dcterms:created>
  <dcterms:modified xsi:type="dcterms:W3CDTF">2026-09-08T20:41:00Z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{"style":{"styleID":"http://www.zotero.org/styles/nlm-citation-sequence-brackets","locale":"en-US","hasBibliography":true,"bibliographyStyleHasBeenSet":true},"prefs":{"fieldType":"Field","automaticJournalAbbreviations":true,"delayCitationUpdates":false,"n</vt:lpwstr>
  </property>
  <property fmtid="{D5CDD505-2E9C-101B-9397-08002B2CF9AE}" pid="3" name="ZOTERO_PREF_2">
    <vt:lpwstr>oteType":0},"sessionID":"IQl34Zuz","zoteroVersion":"9.0.6","dataVersion":4}</vt:lpwstr>
  </property>
</Properties>
</file>