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89D04" w14:textId="77777777" w:rsidR="00DF34F0" w:rsidRPr="001F06DA" w:rsidRDefault="00DF34F0" w:rsidP="00DF34F0">
      <w:pPr>
        <w:spacing w:before="120" w:after="0" w:line="276" w:lineRule="auto"/>
        <w:mirrorIndents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7E03DC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>Supplemental Figure 1.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Kaplan–Meier survival curve restricted to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participants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diagnosed with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death defined based on the underlying cause of death or were lost to follow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-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up. Survival time was calculated from the time of diagnosis of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to the date of death due to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.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The underlying cause of death definition was used to be consistent with the SEER mortality data used for comparison. 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(End-of-follow-up survival probability: 0.17) </w:t>
      </w:r>
    </w:p>
    <w:p w14:paraId="727C935E" w14:textId="77777777" w:rsidR="00DF34F0" w:rsidRPr="001F06DA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1F06DA">
        <w:rPr>
          <w:noProof/>
          <w:sz w:val="20"/>
          <w:szCs w:val="20"/>
          <w:lang w:eastAsia="en-US"/>
        </w:rPr>
        <w:drawing>
          <wp:inline distT="0" distB="0" distL="0" distR="0" wp14:anchorId="02E54D98" wp14:editId="31DE7B0A">
            <wp:extent cx="5245100" cy="3915613"/>
            <wp:effectExtent l="0" t="0" r="0" b="0"/>
            <wp:docPr id="9899779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547376" name="Picture 13695473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91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7329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0104C909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2FA10948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4FEDCCAC" w14:textId="77777777" w:rsidR="00DF34F0" w:rsidRDefault="00DF34F0" w:rsidP="00DF34F0">
      <w:pPr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70D1CCB1" w14:textId="77777777" w:rsidR="00DF34F0" w:rsidRDefault="00DF34F0" w:rsidP="00DF34F0">
      <w:pPr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3BA6A188" w14:textId="77777777" w:rsidR="00DF34F0" w:rsidRPr="001F06DA" w:rsidRDefault="00DF34F0" w:rsidP="00DF34F0">
      <w:pPr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028FA25F" w14:textId="77777777" w:rsidR="00DF34F0" w:rsidRPr="001F06DA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7E03DC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>Supplemental Figure 2.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Kaplan–Meier survival curves for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cases restricted to cases with stage at diagnosis information (including our reclassifications) and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participants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with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as an underlying cause of death. Survival time was calculated from the time of diagnosis of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to the date of death due to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or loss to follow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-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up.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The underlying cause of death definition was used to be consistent with the SEER mortality data used for comparison. 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(Log-rank p &lt; 0.0001; Wilcoxon &lt; 0.0001)(End-of-follow-up survival probability: Localized, 0.44; Regional, 0.24; Distant, 0.06)</w:t>
      </w:r>
    </w:p>
    <w:p w14:paraId="5B54C052" w14:textId="77777777" w:rsidR="00DF34F0" w:rsidRPr="001F06DA" w:rsidRDefault="00DF34F0" w:rsidP="00DF34F0">
      <w:pPr>
        <w:spacing w:before="120" w:after="0" w:line="276" w:lineRule="auto"/>
        <w:mirrorIndents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CA04F9">
        <w:rPr>
          <w:rFonts w:ascii="Times New Roman" w:eastAsia="Arial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3F22F8AA" wp14:editId="3BAA6DEC">
            <wp:extent cx="6866626" cy="5132453"/>
            <wp:effectExtent l="0" t="0" r="0" b="0"/>
            <wp:docPr id="82822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25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72912" cy="513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2F144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37CEA8A0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0E27E3AF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</w:p>
    <w:p w14:paraId="2B567715" w14:textId="77777777" w:rsidR="00DF34F0" w:rsidRPr="001F06DA" w:rsidRDefault="00DF34F0" w:rsidP="00DF34F0">
      <w:pPr>
        <w:spacing w:before="120" w:after="0" w:line="276" w:lineRule="auto"/>
        <w:mirrorIndents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7E03DC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Supplemental </w:t>
      </w:r>
      <w: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>f</w:t>
      </w:r>
      <w:r w:rsidRPr="007E03DC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>igure 3.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Kaplan–Meier survival curve restricted to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participants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diagnosed with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who died of any causes or were lost to follow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-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up. Survival time was calculated from the time of diagnosis of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to the date of death. (End-of-follow-up survival probability: 0.00) </w:t>
      </w:r>
    </w:p>
    <w:p w14:paraId="2F23378C" w14:textId="77777777" w:rsidR="00DF34F0" w:rsidRPr="001F06DA" w:rsidRDefault="00DF34F0" w:rsidP="00DF34F0">
      <w:pPr>
        <w:spacing w:before="120" w:after="0" w:line="276" w:lineRule="auto"/>
        <w:mirrorIndents/>
        <w:rPr>
          <w:sz w:val="20"/>
          <w:szCs w:val="20"/>
        </w:rPr>
      </w:pPr>
      <w:r w:rsidRPr="001F06DA">
        <w:rPr>
          <w:noProof/>
          <w:sz w:val="20"/>
          <w:szCs w:val="20"/>
          <w:lang w:eastAsia="en-US"/>
        </w:rPr>
        <w:drawing>
          <wp:inline distT="0" distB="0" distL="0" distR="0" wp14:anchorId="1447BA3F" wp14:editId="1EC0CF9E">
            <wp:extent cx="5348377" cy="3924123"/>
            <wp:effectExtent l="0" t="0" r="5080" b="635"/>
            <wp:docPr id="135132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242530" name=""/>
                    <pic:cNvPicPr/>
                  </pic:nvPicPr>
                  <pic:blipFill rotWithShape="1">
                    <a:blip r:embed="rId6"/>
                    <a:srcRect l="3354" t="13599" r="2136" b="2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669" cy="3944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6C44E" w14:textId="77777777" w:rsidR="00DF34F0" w:rsidRPr="001F06DA" w:rsidRDefault="00DF34F0" w:rsidP="00DF34F0">
      <w:pPr>
        <w:spacing w:before="120" w:after="0" w:line="276" w:lineRule="auto"/>
        <w:mirrorIndents/>
        <w:rPr>
          <w:sz w:val="20"/>
          <w:szCs w:val="20"/>
        </w:rPr>
      </w:pPr>
    </w:p>
    <w:p w14:paraId="0575EB5C" w14:textId="77777777" w:rsidR="00DF34F0" w:rsidRDefault="00DF34F0" w:rsidP="00DF34F0">
      <w:pPr>
        <w:spacing w:before="120" w:after="0" w:line="276" w:lineRule="auto"/>
        <w:rPr>
          <w:sz w:val="20"/>
          <w:szCs w:val="20"/>
        </w:rPr>
      </w:pPr>
    </w:p>
    <w:p w14:paraId="17D2E830" w14:textId="77777777" w:rsidR="00DF34F0" w:rsidRDefault="00DF34F0" w:rsidP="00DF34F0">
      <w:pPr>
        <w:spacing w:before="120" w:after="0" w:line="276" w:lineRule="auto"/>
        <w:rPr>
          <w:sz w:val="20"/>
          <w:szCs w:val="20"/>
        </w:rPr>
      </w:pPr>
    </w:p>
    <w:p w14:paraId="11224305" w14:textId="77777777" w:rsidR="00DF34F0" w:rsidRPr="001F06DA" w:rsidRDefault="00DF34F0" w:rsidP="00DF34F0">
      <w:pPr>
        <w:spacing w:before="120" w:after="0" w:line="276" w:lineRule="auto"/>
        <w:rPr>
          <w:sz w:val="20"/>
          <w:szCs w:val="20"/>
        </w:rPr>
      </w:pPr>
    </w:p>
    <w:p w14:paraId="6A71D887" w14:textId="77777777" w:rsidR="00DF34F0" w:rsidRPr="001912F3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7E03DC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 xml:space="preserve">Supplemental </w:t>
      </w:r>
      <w:r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>f</w:t>
      </w:r>
      <w:r w:rsidRPr="007E03DC">
        <w:rPr>
          <w:rFonts w:ascii="Times New Roman" w:eastAsia="Arial" w:hAnsi="Times New Roman" w:cs="Times New Roman"/>
          <w:b/>
          <w:bCs/>
          <w:color w:val="000000" w:themeColor="text1"/>
          <w:sz w:val="20"/>
          <w:szCs w:val="20"/>
        </w:rPr>
        <w:t>igure 4.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Kaplan–Meier survival curves for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cases restricted to cases with stage at diagnosis information (including our reclassifications). Survival time was calculated from the time of diagnosis of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LC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to death from any cause or loss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to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follow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-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up. (Log-rank p &lt; 0.0001; Wilcoxon p &lt; 0.0001)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 xml:space="preserve"> 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(End-of-follow-up survival probability: Localized, 0.23; Regional, 0.00</w:t>
      </w:r>
      <w:r w:rsidRPr="005E4BF4">
        <w:rPr>
          <w:rFonts w:ascii="Times New Roman" w:eastAsia="Arial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1F06DA"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; Distant, 0.00)</w:t>
      </w:r>
    </w:p>
    <w:p w14:paraId="2C8C9859" w14:textId="77777777" w:rsidR="00DF34F0" w:rsidRDefault="00DF34F0" w:rsidP="00DF34F0">
      <w:pPr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</w:pPr>
      <w:r w:rsidRPr="001912F3">
        <w:rPr>
          <w:rFonts w:ascii="Times New Roman" w:eastAsia="Arial" w:hAnsi="Times New Roman"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65E993DF" wp14:editId="4CDACA0C">
            <wp:extent cx="6127750" cy="4516978"/>
            <wp:effectExtent l="0" t="0" r="6350" b="0"/>
            <wp:docPr id="1553684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684725" name=""/>
                    <pic:cNvPicPr/>
                  </pic:nvPicPr>
                  <pic:blipFill rotWithShape="1">
                    <a:blip r:embed="rId7"/>
                    <a:srcRect b="1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584" cy="4536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br/>
      </w:r>
    </w:p>
    <w:p w14:paraId="28BD57FD" w14:textId="77777777" w:rsidR="00DF34F0" w:rsidRPr="00F85B24" w:rsidRDefault="00DF34F0" w:rsidP="00DF34F0">
      <w:pPr>
        <w:pStyle w:val="ListParagraph"/>
        <w:spacing w:before="120" w:after="0" w:line="276" w:lineRule="auto"/>
        <w:rPr>
          <w:rFonts w:ascii="Times New Roman" w:eastAsia="Arial" w:hAnsi="Times New Roman" w:cs="Times New Roman"/>
          <w:color w:val="000000" w:themeColor="text1"/>
          <w:sz w:val="20"/>
          <w:szCs w:val="20"/>
        </w:rPr>
        <w:sectPr w:rsidR="00DF34F0" w:rsidRPr="00F85B24" w:rsidSect="00DF34F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eastAsia="Arial" w:hAnsi="Times New Roman" w:cs="Times New Roman"/>
          <w:color w:val="000000" w:themeColor="text1"/>
          <w:sz w:val="20"/>
          <w:szCs w:val="20"/>
          <w:vertAlign w:val="superscript"/>
        </w:rPr>
        <w:t xml:space="preserve">a </w:t>
      </w:r>
      <w:r>
        <w:rPr>
          <w:rFonts w:ascii="Times New Roman" w:eastAsia="Arial" w:hAnsi="Times New Roman" w:cs="Times New Roman"/>
          <w:color w:val="000000" w:themeColor="text1"/>
          <w:sz w:val="20"/>
          <w:szCs w:val="20"/>
        </w:rPr>
        <w:t>In the regional group, two participants remained alive at 20 years but died shortly thereafter.</w:t>
      </w:r>
    </w:p>
    <w:p w14:paraId="1AE7B23F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F0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A60F4C"/>
    <w:rsid w:val="00BF13F9"/>
    <w:rsid w:val="00CE738E"/>
    <w:rsid w:val="00D31E7D"/>
    <w:rsid w:val="00DF34F0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446F1"/>
  <w15:chartTrackingRefBased/>
  <w15:docId w15:val="{7588DF52-8A7A-4C22-AA0B-99C4A372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4F0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34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4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4F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4F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4F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4F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4F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4F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4F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4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4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4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4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4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4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3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4F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3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4F0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34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4F0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34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4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4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2026-10-21T14:03:00Z</dcterms:created>
  <dcterms:modified xsi:type="dcterms:W3CDTF">2026-10-21T14:04:00Z</dcterms:modified>
</cp:coreProperties>
</file>