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media/image4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72449">
      <w:pPr>
        <w:spacing w:after="120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 w:val="24"/>
          <w:szCs w:val="21"/>
        </w:rPr>
        <w:t>Opposing NF-κB–associated transcriptional changes accompany high CAR density and signaling rest in CAR-T cells</w:t>
      </w:r>
    </w:p>
    <w:p w14:paraId="5D6EBECD">
      <w:pPr>
        <w:spacing w:after="120"/>
        <w:rPr>
          <w:rFonts w:ascii="Arial" w:hAnsi="Arial" w:cs="Arial"/>
          <w:szCs w:val="21"/>
        </w:rPr>
      </w:pPr>
    </w:p>
    <w:p w14:paraId="3017B985">
      <w:pPr>
        <w:spacing w:after="120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 w:val="24"/>
          <w:szCs w:val="21"/>
        </w:rPr>
        <w:t>Qian Wang</w:t>
      </w:r>
      <w:r>
        <w:rPr>
          <w:rFonts w:ascii="Arial" w:hAnsi="Arial" w:eastAsia="黑体" w:cs="Arial"/>
          <w:sz w:val="24"/>
          <w:szCs w:val="21"/>
          <w:vertAlign w:val="superscript"/>
        </w:rPr>
        <w:t>1,2,†</w:t>
      </w:r>
      <w:r>
        <w:rPr>
          <w:rFonts w:ascii="Arial" w:hAnsi="Arial" w:eastAsia="黑体" w:cs="Arial"/>
          <w:sz w:val="24"/>
          <w:szCs w:val="21"/>
        </w:rPr>
        <w:t>, Zhoulin Chen</w:t>
      </w:r>
      <w:r>
        <w:rPr>
          <w:rFonts w:ascii="Arial" w:hAnsi="Arial" w:eastAsia="黑体" w:cs="Arial"/>
          <w:sz w:val="24"/>
          <w:szCs w:val="21"/>
          <w:vertAlign w:val="superscript"/>
        </w:rPr>
        <w:t>1,†</w:t>
      </w:r>
      <w:r>
        <w:rPr>
          <w:rFonts w:ascii="Arial" w:hAnsi="Arial" w:eastAsia="黑体" w:cs="Arial"/>
          <w:sz w:val="24"/>
          <w:szCs w:val="21"/>
        </w:rPr>
        <w:t>, Haohan Yang</w:t>
      </w:r>
      <w:r>
        <w:rPr>
          <w:rFonts w:ascii="Arial" w:hAnsi="Arial" w:eastAsia="黑体" w:cs="Arial"/>
          <w:sz w:val="24"/>
          <w:szCs w:val="21"/>
          <w:vertAlign w:val="superscript"/>
        </w:rPr>
        <w:t>1</w:t>
      </w:r>
      <w:r>
        <w:rPr>
          <w:rFonts w:ascii="Arial" w:hAnsi="Arial" w:eastAsia="黑体" w:cs="Arial"/>
          <w:sz w:val="24"/>
          <w:szCs w:val="21"/>
        </w:rPr>
        <w:t xml:space="preserve">, </w:t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>Youcheng Yang</w:t>
      </w:r>
      <w:r>
        <w:rPr>
          <w:rFonts w:ascii="Arial" w:hAnsi="Arial" w:eastAsia="黑体" w:cs="Arial"/>
          <w:sz w:val="24"/>
          <w:szCs w:val="21"/>
          <w:vertAlign w:val="superscript"/>
        </w:rPr>
        <w:t>1,§</w:t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 xml:space="preserve">, </w:t>
      </w:r>
      <w:r>
        <w:rPr>
          <w:rFonts w:ascii="Arial" w:hAnsi="Arial" w:eastAsia="黑体" w:cs="Arial"/>
          <w:sz w:val="24"/>
          <w:szCs w:val="21"/>
        </w:rPr>
        <w:t>Shubing Wang</w:t>
      </w:r>
      <w:r>
        <w:rPr>
          <w:rFonts w:ascii="Arial" w:hAnsi="Arial" w:eastAsia="黑体" w:cs="Arial"/>
          <w:sz w:val="24"/>
          <w:szCs w:val="21"/>
          <w:vertAlign w:val="superscript"/>
        </w:rPr>
        <w:t>1,§</w:t>
      </w:r>
      <w:r>
        <w:rPr>
          <w:rFonts w:ascii="Arial" w:hAnsi="Arial" w:eastAsia="黑体" w:cs="Arial"/>
          <w:sz w:val="24"/>
          <w:szCs w:val="21"/>
        </w:rPr>
        <w:t xml:space="preserve"> </w:t>
      </w:r>
    </w:p>
    <w:p w14:paraId="09297D52">
      <w:pPr>
        <w:spacing w:after="120"/>
        <w:rPr>
          <w:rFonts w:ascii="Arial" w:hAnsi="Arial" w:eastAsia="黑体" w:cs="Arial"/>
          <w:szCs w:val="21"/>
        </w:rPr>
      </w:pPr>
    </w:p>
    <w:p w14:paraId="1934E841">
      <w:pPr>
        <w:spacing w:after="120"/>
        <w:rPr>
          <w:rFonts w:ascii="Arial" w:hAnsi="Arial" w:eastAsia="黑体" w:cs="Arial"/>
          <w:b/>
          <w:bCs/>
          <w:szCs w:val="21"/>
        </w:rPr>
      </w:pPr>
      <w:r>
        <w:rPr>
          <w:rFonts w:ascii="Arial" w:hAnsi="Arial" w:eastAsia="黑体" w:cs="Arial"/>
          <w:b/>
          <w:bCs/>
          <w:sz w:val="24"/>
          <w:szCs w:val="21"/>
        </w:rPr>
        <w:t>Affiliations</w:t>
      </w:r>
    </w:p>
    <w:p w14:paraId="1DBEBD4A">
      <w:pPr>
        <w:spacing w:after="120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 w:val="24"/>
          <w:szCs w:val="21"/>
          <w:vertAlign w:val="superscript"/>
        </w:rPr>
        <w:t>1</w:t>
      </w:r>
      <w:r>
        <w:rPr>
          <w:rFonts w:ascii="Arial" w:hAnsi="Arial" w:eastAsia="黑体" w:cs="Arial"/>
          <w:sz w:val="24"/>
          <w:szCs w:val="21"/>
        </w:rPr>
        <w:t>Department of Bioengineering, University of California, Los Angeles, Los Angeles, CA 90095, USA</w:t>
      </w:r>
    </w:p>
    <w:p w14:paraId="6F10C823">
      <w:pPr>
        <w:spacing w:after="120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 w:val="24"/>
          <w:szCs w:val="21"/>
          <w:vertAlign w:val="superscript"/>
        </w:rPr>
        <w:t>2</w:t>
      </w:r>
      <w:r>
        <w:rPr>
          <w:rFonts w:ascii="Arial" w:hAnsi="Arial" w:eastAsia="黑体" w:cs="Arial"/>
          <w:sz w:val="24"/>
          <w:szCs w:val="21"/>
        </w:rPr>
        <w:t>Biomedical Imaging Research Institute, Cedars-Sinai Medical Center, Los Angeles, California, USA</w:t>
      </w:r>
    </w:p>
    <w:p w14:paraId="62098C4B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  <w:vertAlign w:val="superscript"/>
        </w:rPr>
        <w:t>§</w:t>
      </w:r>
      <w:r>
        <w:rPr>
          <w:rFonts w:ascii="Arial" w:hAnsi="Arial" w:eastAsia="黑体" w:cs="Arial"/>
          <w:sz w:val="24"/>
          <w:szCs w:val="21"/>
        </w:rPr>
        <w:t xml:space="preserve">Corresponding author Email: </w:t>
      </w:r>
      <w:r>
        <w:rPr>
          <w:rFonts w:ascii="Arial" w:hAnsi="Arial" w:eastAsia="黑体" w:cs="Arial"/>
          <w:sz w:val="24"/>
          <w:szCs w:val="21"/>
        </w:rPr>
        <w:fldChar w:fldCharType="begin"/>
      </w:r>
      <w:r>
        <w:rPr>
          <w:rFonts w:ascii="Arial" w:hAnsi="Arial" w:eastAsia="黑体" w:cs="Arial"/>
          <w:sz w:val="24"/>
          <w:szCs w:val="21"/>
        </w:rPr>
        <w:instrText xml:space="preserve"> HYPERLINK "mailto:youcheng@ucla.edu" </w:instrText>
      </w:r>
      <w:r>
        <w:rPr>
          <w:rFonts w:ascii="Arial" w:hAnsi="Arial" w:eastAsia="黑体" w:cs="Arial"/>
          <w:sz w:val="24"/>
          <w:szCs w:val="21"/>
        </w:rPr>
        <w:fldChar w:fldCharType="separate"/>
      </w:r>
      <w:r>
        <w:rPr>
          <w:rFonts w:ascii="Arial" w:hAnsi="Arial" w:eastAsia="黑体" w:cs="Arial"/>
          <w:sz w:val="24"/>
          <w:szCs w:val="21"/>
        </w:rPr>
        <w:t>youcheng@ucla.edu</w:t>
      </w:r>
      <w:r>
        <w:rPr>
          <w:rFonts w:ascii="Arial" w:hAnsi="Arial" w:eastAsia="黑体" w:cs="Arial"/>
          <w:sz w:val="24"/>
          <w:szCs w:val="21"/>
        </w:rPr>
        <w:fldChar w:fldCharType="end"/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 xml:space="preserve"> (Y.Y.), </w:t>
      </w:r>
      <w:r>
        <w:rPr>
          <w:rFonts w:ascii="Arial" w:hAnsi="Arial" w:eastAsia="黑体" w:cs="Arial"/>
          <w:sz w:val="24"/>
          <w:szCs w:val="21"/>
        </w:rPr>
        <w:t>brianbrian@g.ucla.edu (S.W.)</w:t>
      </w:r>
    </w:p>
    <w:p w14:paraId="4BA708CD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  <w:vertAlign w:val="superscript"/>
        </w:rPr>
        <w:t>†</w:t>
      </w:r>
      <w:r>
        <w:rPr>
          <w:rFonts w:ascii="Arial" w:hAnsi="Arial" w:eastAsia="黑体" w:cs="Arial"/>
          <w:sz w:val="24"/>
          <w:szCs w:val="21"/>
        </w:rPr>
        <w:t>These authors contributed equally: Qian Wang, Zhoulin Chen</w:t>
      </w:r>
    </w:p>
    <w:p w14:paraId="57E52554">
      <w:pPr>
        <w:spacing w:after="120"/>
        <w:rPr>
          <w:rFonts w:ascii="Arial" w:hAnsi="Arial" w:eastAsia="黑体" w:cs="Arial"/>
          <w:szCs w:val="21"/>
        </w:rPr>
      </w:pPr>
    </w:p>
    <w:p w14:paraId="0245EB73">
      <w:pPr>
        <w:spacing w:after="120"/>
        <w:rPr>
          <w:rFonts w:ascii="Arial" w:hAnsi="Arial" w:eastAsia="黑体" w:cs="Arial"/>
          <w:b/>
          <w:szCs w:val="21"/>
        </w:rPr>
      </w:pPr>
      <w:r>
        <w:rPr>
          <w:rFonts w:ascii="Arial" w:hAnsi="Arial" w:eastAsia="黑体" w:cs="Arial"/>
          <w:b/>
          <w:sz w:val="24"/>
          <w:szCs w:val="21"/>
        </w:rPr>
        <w:t>Correspondence and requests for materials</w:t>
      </w:r>
    </w:p>
    <w:p w14:paraId="5F476E15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hint="eastAsia" w:ascii="Arial" w:hAnsi="Arial" w:eastAsia="黑体" w:cs="Arial"/>
          <w:sz w:val="24"/>
          <w:szCs w:val="21"/>
          <w:lang w:val="en-US" w:eastAsia="zh-CN"/>
        </w:rPr>
        <w:t>Youcheng Yang</w:t>
      </w:r>
      <w:r>
        <w:rPr>
          <w:rFonts w:ascii="Arial" w:hAnsi="Arial" w:eastAsia="黑体" w:cs="Arial"/>
          <w:sz w:val="24"/>
          <w:szCs w:val="21"/>
        </w:rPr>
        <w:br w:type="textWrapping"/>
      </w:r>
      <w:r>
        <w:rPr>
          <w:rFonts w:ascii="Arial" w:hAnsi="Arial" w:eastAsia="黑体" w:cs="Arial"/>
          <w:sz w:val="24"/>
          <w:szCs w:val="21"/>
        </w:rPr>
        <w:t>Department of Bioengineering</w:t>
      </w:r>
    </w:p>
    <w:p w14:paraId="5F40FB87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University of California, Los Angeles</w:t>
      </w:r>
    </w:p>
    <w:p w14:paraId="18E3416B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Los Angeles, CA 90095, USA</w:t>
      </w:r>
    </w:p>
    <w:p w14:paraId="7F23C170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 xml:space="preserve">Phone: </w:t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>617</w:t>
      </w:r>
      <w:r>
        <w:rPr>
          <w:rFonts w:ascii="Arial" w:hAnsi="Arial" w:eastAsia="黑体" w:cs="Arial"/>
          <w:sz w:val="24"/>
          <w:szCs w:val="21"/>
        </w:rPr>
        <w:t>-</w:t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>650</w:t>
      </w:r>
      <w:r>
        <w:rPr>
          <w:rFonts w:ascii="Arial" w:hAnsi="Arial" w:eastAsia="黑体" w:cs="Arial"/>
          <w:sz w:val="24"/>
          <w:szCs w:val="21"/>
        </w:rPr>
        <w:t>-</w:t>
      </w:r>
      <w:r>
        <w:rPr>
          <w:rFonts w:hint="eastAsia" w:ascii="Arial" w:hAnsi="Arial" w:eastAsia="黑体" w:cs="Arial"/>
          <w:sz w:val="24"/>
          <w:szCs w:val="21"/>
          <w:lang w:val="en-US" w:eastAsia="zh-CN"/>
        </w:rPr>
        <w:t>7327</w:t>
      </w:r>
      <w:r>
        <w:rPr>
          <w:rFonts w:ascii="Arial" w:hAnsi="Arial" w:eastAsia="黑体" w:cs="Arial"/>
          <w:sz w:val="24"/>
          <w:szCs w:val="21"/>
        </w:rPr>
        <w:t xml:space="preserve">, Email: </w:t>
      </w:r>
      <w:r>
        <w:rPr>
          <w:rFonts w:ascii="Arial" w:hAnsi="Arial" w:eastAsia="黑体" w:cs="Arial"/>
          <w:sz w:val="24"/>
          <w:szCs w:val="21"/>
        </w:rPr>
        <w:fldChar w:fldCharType="begin"/>
      </w:r>
      <w:r>
        <w:rPr>
          <w:rFonts w:ascii="Arial" w:hAnsi="Arial" w:eastAsia="黑体" w:cs="Arial"/>
          <w:sz w:val="24"/>
          <w:szCs w:val="21"/>
        </w:rPr>
        <w:instrText xml:space="preserve"> HYPERLINK "mailto:youcheng@ucla.edu" </w:instrText>
      </w:r>
      <w:r>
        <w:rPr>
          <w:rFonts w:ascii="Arial" w:hAnsi="Arial" w:eastAsia="黑体" w:cs="Arial"/>
          <w:sz w:val="24"/>
          <w:szCs w:val="21"/>
        </w:rPr>
        <w:fldChar w:fldCharType="separate"/>
      </w:r>
      <w:r>
        <w:rPr>
          <w:rFonts w:ascii="Arial" w:hAnsi="Arial" w:eastAsia="黑体" w:cs="Arial"/>
          <w:sz w:val="24"/>
          <w:szCs w:val="21"/>
        </w:rPr>
        <w:t>youcheng@ucla.edu</w:t>
      </w:r>
      <w:r>
        <w:rPr>
          <w:rFonts w:ascii="Arial" w:hAnsi="Arial" w:eastAsia="黑体" w:cs="Arial"/>
          <w:sz w:val="24"/>
          <w:szCs w:val="21"/>
        </w:rPr>
        <w:fldChar w:fldCharType="end"/>
      </w:r>
    </w:p>
    <w:p w14:paraId="461A29AD">
      <w:pPr>
        <w:spacing w:after="120"/>
        <w:rPr>
          <w:rFonts w:ascii="Arial" w:hAnsi="Arial" w:eastAsia="黑体" w:cs="Arial"/>
          <w:sz w:val="24"/>
          <w:szCs w:val="21"/>
        </w:rPr>
      </w:pPr>
    </w:p>
    <w:p w14:paraId="1877BDAD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Shubing Wang</w:t>
      </w:r>
      <w:r>
        <w:rPr>
          <w:rFonts w:ascii="Arial" w:hAnsi="Arial" w:eastAsia="黑体" w:cs="Arial"/>
          <w:sz w:val="24"/>
          <w:szCs w:val="21"/>
        </w:rPr>
        <w:br w:type="textWrapping"/>
      </w:r>
      <w:r>
        <w:rPr>
          <w:rFonts w:ascii="Arial" w:hAnsi="Arial" w:eastAsia="黑体" w:cs="Arial"/>
          <w:sz w:val="24"/>
          <w:szCs w:val="21"/>
        </w:rPr>
        <w:t>Department of Bioengineering</w:t>
      </w:r>
    </w:p>
    <w:p w14:paraId="6AEC2CEA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University of California, Los Angeles</w:t>
      </w:r>
    </w:p>
    <w:p w14:paraId="0F9F222A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Los Angeles, CA 90095, USA</w:t>
      </w:r>
    </w:p>
    <w:p w14:paraId="6A98D573">
      <w:pPr>
        <w:spacing w:after="120"/>
        <w:rPr>
          <w:rFonts w:ascii="Arial" w:hAnsi="Arial" w:eastAsia="黑体" w:cs="Arial"/>
          <w:sz w:val="24"/>
          <w:szCs w:val="21"/>
        </w:rPr>
      </w:pPr>
      <w:r>
        <w:rPr>
          <w:rFonts w:ascii="Arial" w:hAnsi="Arial" w:eastAsia="黑体" w:cs="Arial"/>
          <w:sz w:val="24"/>
          <w:szCs w:val="21"/>
        </w:rPr>
        <w:t>Phone: 310-963-4840, Email: brianbrian@g.ucla.edu</w:t>
      </w:r>
    </w:p>
    <w:p w14:paraId="342818E2">
      <w:pPr>
        <w:spacing w:after="120"/>
        <w:rPr>
          <w:rFonts w:ascii="Arial" w:hAnsi="Arial" w:cs="Arial"/>
          <w:szCs w:val="21"/>
        </w:rPr>
      </w:pPr>
    </w:p>
    <w:p w14:paraId="30546244">
      <w:pPr>
        <w:spacing w:after="120"/>
        <w:rPr>
          <w:rFonts w:ascii="Arial" w:hAnsi="Arial" w:cs="Arial"/>
        </w:rPr>
      </w:pPr>
    </w:p>
    <w:p w14:paraId="572EE427">
      <w:pPr>
        <w:spacing w:after="120"/>
        <w:rPr>
          <w:rFonts w:ascii="Arial" w:hAnsi="Arial" w:cs="Arial"/>
        </w:rPr>
      </w:pPr>
    </w:p>
    <w:p w14:paraId="32DDF084">
      <w:pPr>
        <w:spacing w:after="120"/>
        <w:rPr>
          <w:rFonts w:ascii="Arial" w:hAnsi="Arial" w:cs="Arial"/>
        </w:rPr>
      </w:pPr>
    </w:p>
    <w:p w14:paraId="47195E33">
      <w:pPr>
        <w:spacing w:after="120"/>
        <w:rPr>
          <w:rFonts w:ascii="Arial" w:hAnsi="Arial" w:cs="Arial"/>
        </w:rPr>
      </w:pPr>
    </w:p>
    <w:p w14:paraId="11FA53C1">
      <w:pPr>
        <w:spacing w:after="120"/>
        <w:rPr>
          <w:rFonts w:ascii="Arial" w:hAnsi="Arial" w:cs="Arial"/>
        </w:rPr>
      </w:pPr>
    </w:p>
    <w:p w14:paraId="5A7ABCF2">
      <w:pPr>
        <w:spacing w:after="120"/>
        <w:rPr>
          <w:rFonts w:ascii="Arial" w:hAnsi="Arial" w:cs="Arial"/>
        </w:rPr>
      </w:pPr>
    </w:p>
    <w:p w14:paraId="68886B9E">
      <w:pPr>
        <w:spacing w:after="120"/>
        <w:rPr>
          <w:rFonts w:ascii="Arial" w:hAnsi="Arial" w:cs="Arial"/>
        </w:rPr>
      </w:pPr>
    </w:p>
    <w:p w14:paraId="422B6CEC">
      <w:pPr>
        <w:spacing w:after="120"/>
        <w:rPr>
          <w:rFonts w:ascii="Arial" w:hAnsi="Arial" w:cs="Arial"/>
        </w:rPr>
      </w:pPr>
    </w:p>
    <w:p w14:paraId="4CCA2123">
      <w:pPr>
        <w:spacing w:after="120"/>
        <w:rPr>
          <w:rFonts w:hint="eastAsia" w:ascii="Arial" w:hAnsi="Arial" w:cs="Arial"/>
        </w:rPr>
      </w:pPr>
      <w:r>
        <w:rPr>
          <w:rFonts w:hint="eastAsia" w:ascii="Arial" w:hAnsi="Arial" w:cs="Arial"/>
        </w:rPr>
        <w:drawing>
          <wp:inline distT="0" distB="0" distL="0" distR="0">
            <wp:extent cx="6400800" cy="7421245"/>
            <wp:effectExtent l="0" t="0" r="0" b="0"/>
            <wp:docPr id="184201900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019002" name="图形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E1098">
      <w:pPr>
        <w:pStyle w:val="12"/>
        <w:rPr>
          <w:rFonts w:cs="Arial"/>
        </w:rPr>
      </w:pPr>
      <w:r>
        <w:rPr>
          <w:rFonts w:cs="Arial"/>
        </w:rPr>
        <w:t xml:space="preserve">Supplementary Fig.1 | Quality checks </w:t>
      </w:r>
      <w:bookmarkStart w:id="0" w:name="_GoBack"/>
      <w:bookmarkEnd w:id="0"/>
      <w:r>
        <w:rPr>
          <w:rFonts w:cs="Arial"/>
        </w:rPr>
        <w:t>of rest-associated chromatin accessibility.</w:t>
      </w:r>
    </w:p>
    <w:p w14:paraId="122A38AA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a,</w:t>
      </w:r>
      <w:r>
        <w:rPr>
          <w:rFonts w:ascii="Arial" w:hAnsi="Arial" w:cs="Arial"/>
          <w:sz w:val="24"/>
        </w:rPr>
        <w:t xml:space="preserve"> Principal component analysis of ATAC-seq profiles from three donors under OFF, ON, four-day rest (Rest4) and eight-day rest (Rest8) conditions. </w:t>
      </w:r>
      <w:r>
        <w:rPr>
          <w:rFonts w:ascii="Arial" w:hAnsi="Arial" w:cs="Arial"/>
          <w:b/>
          <w:bCs/>
          <w:sz w:val="24"/>
        </w:rPr>
        <w:t>b,</w:t>
      </w:r>
      <w:r>
        <w:rPr>
          <w:rFonts w:ascii="Arial" w:hAnsi="Arial" w:cs="Arial"/>
          <w:sz w:val="24"/>
        </w:rPr>
        <w:t xml:space="preserve"> Donor-level directional consistency of the 9,254 four-day return peaks, showing the fraction of peaks that changed with signaling and reversed direction after Rest4 in each donor. </w:t>
      </w:r>
      <w:r>
        <w:rPr>
          <w:rFonts w:ascii="Arial" w:hAnsi="Arial" w:cs="Arial"/>
          <w:b/>
          <w:bCs/>
          <w:sz w:val="24"/>
        </w:rPr>
        <w:t>c,</w:t>
      </w:r>
      <w:r>
        <w:rPr>
          <w:rFonts w:ascii="Arial" w:hAnsi="Arial" w:cs="Arial"/>
          <w:sz w:val="24"/>
        </w:rPr>
        <w:t xml:space="preserve"> Comparison of ON−OFF and Rest4−ON accessibility effects across the return-peak set, illustrating the opposing changes used to define signaling-responsive chromatin regions.</w:t>
      </w:r>
    </w:p>
    <w:p w14:paraId="0CBAE458">
      <w:pPr>
        <w:spacing w:after="120"/>
        <w:rPr>
          <w:rFonts w:ascii="Arial" w:hAnsi="Arial" w:cs="Arial"/>
          <w:sz w:val="24"/>
        </w:rPr>
      </w:pPr>
    </w:p>
    <w:p w14:paraId="12F4403A">
      <w:pPr>
        <w:spacing w:after="120"/>
        <w:rPr>
          <w:rFonts w:hint="eastAsia" w:ascii="Arial" w:hAnsi="Arial" w:cs="Arial"/>
        </w:rPr>
      </w:pPr>
      <w:r>
        <w:rPr>
          <w:rFonts w:hint="eastAsia" w:ascii="Arial" w:hAnsi="Arial" w:cs="Arial"/>
        </w:rPr>
        <w:drawing>
          <wp:inline distT="0" distB="0" distL="0" distR="0">
            <wp:extent cx="6188710" cy="2422525"/>
            <wp:effectExtent l="0" t="0" r="0" b="0"/>
            <wp:docPr id="850946167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946167" name="图形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b="4498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C1B3A">
      <w:pPr>
        <w:pStyle w:val="12"/>
        <w:rPr>
          <w:rFonts w:cs="Arial"/>
        </w:rPr>
      </w:pPr>
      <w:r>
        <w:rPr>
          <w:rFonts w:cs="Arial"/>
        </w:rPr>
        <w:t>Supplementary Fi</w:t>
      </w:r>
      <w:r>
        <w:rPr>
          <w:rFonts w:hint="eastAsia" w:cs="Arial"/>
          <w:lang w:val="en-US" w:eastAsia="zh-CN"/>
        </w:rPr>
        <w:t>g</w:t>
      </w:r>
      <w:r>
        <w:rPr>
          <w:rFonts w:cs="Arial"/>
        </w:rPr>
        <w:t xml:space="preserve">.2 | </w:t>
      </w:r>
      <w:r>
        <w:rPr>
          <w:rFonts w:hint="eastAsia" w:cs="Arial"/>
          <w:lang w:val="en-US" w:eastAsia="zh-CN"/>
        </w:rPr>
        <w:t>S</w:t>
      </w:r>
      <w:r>
        <w:rPr>
          <w:rFonts w:cs="Arial"/>
        </w:rPr>
        <w:t>ubsampling reproducibility of virtual NFKBIA knockout.</w:t>
      </w:r>
    </w:p>
    <w:p w14:paraId="4029B5CD">
      <w:pPr>
        <w:spacing w:after="120"/>
        <w:rPr>
          <w:rFonts w:hint="eastAsia" w:ascii="Arial" w:hAnsi="Arial" w:cs="Arial"/>
        </w:rPr>
      </w:pPr>
      <w:r>
        <w:rPr>
          <w:rFonts w:ascii="Arial" w:hAnsi="Arial" w:cs="Arial"/>
          <w:b/>
          <w:bCs/>
          <w:sz w:val="24"/>
        </w:rPr>
        <w:t>a,</w:t>
      </w:r>
      <w:r>
        <w:rPr>
          <w:rFonts w:ascii="Arial" w:hAnsi="Arial" w:cs="Arial"/>
          <w:sz w:val="24"/>
        </w:rPr>
        <w:t xml:space="preserve"> Concordance of gene-level perturbation ranks across two independent subsampling runs for each donor. TCF7 is highlighted, and Spearman correlation coefficients indicate the reproducibility of the inferred network responses.</w:t>
      </w:r>
    </w:p>
    <w:sectPr>
      <w:pgSz w:w="11906" w:h="16838"/>
      <w:pgMar w:top="1440" w:right="1080" w:bottom="1440" w:left="108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EF"/>
    <w:rsid w:val="000000A6"/>
    <w:rsid w:val="00000229"/>
    <w:rsid w:val="00037752"/>
    <w:rsid w:val="00041CFA"/>
    <w:rsid w:val="000801AF"/>
    <w:rsid w:val="000A12A3"/>
    <w:rsid w:val="000C25C3"/>
    <w:rsid w:val="000D1A22"/>
    <w:rsid w:val="001758D0"/>
    <w:rsid w:val="001824E3"/>
    <w:rsid w:val="00197918"/>
    <w:rsid w:val="001B101E"/>
    <w:rsid w:val="001C25EF"/>
    <w:rsid w:val="001D37AD"/>
    <w:rsid w:val="001E1952"/>
    <w:rsid w:val="002046C6"/>
    <w:rsid w:val="00211132"/>
    <w:rsid w:val="002276FA"/>
    <w:rsid w:val="00233FD2"/>
    <w:rsid w:val="00242E3B"/>
    <w:rsid w:val="00261A9C"/>
    <w:rsid w:val="00264F13"/>
    <w:rsid w:val="00265916"/>
    <w:rsid w:val="002B2535"/>
    <w:rsid w:val="003148A1"/>
    <w:rsid w:val="00320C15"/>
    <w:rsid w:val="00377B25"/>
    <w:rsid w:val="00390A73"/>
    <w:rsid w:val="00393888"/>
    <w:rsid w:val="003A4589"/>
    <w:rsid w:val="003B0FAC"/>
    <w:rsid w:val="003C1AC7"/>
    <w:rsid w:val="003D6CEB"/>
    <w:rsid w:val="00405264"/>
    <w:rsid w:val="00413D87"/>
    <w:rsid w:val="00444B77"/>
    <w:rsid w:val="004845C8"/>
    <w:rsid w:val="004C7920"/>
    <w:rsid w:val="004D35AD"/>
    <w:rsid w:val="004F24B6"/>
    <w:rsid w:val="005010F6"/>
    <w:rsid w:val="00535AC1"/>
    <w:rsid w:val="005668B7"/>
    <w:rsid w:val="00582967"/>
    <w:rsid w:val="00587EBE"/>
    <w:rsid w:val="005948C5"/>
    <w:rsid w:val="005D252E"/>
    <w:rsid w:val="005D6E94"/>
    <w:rsid w:val="005D7DD0"/>
    <w:rsid w:val="005E3C9E"/>
    <w:rsid w:val="005E7718"/>
    <w:rsid w:val="00606161"/>
    <w:rsid w:val="00625AD7"/>
    <w:rsid w:val="00635C56"/>
    <w:rsid w:val="00636619"/>
    <w:rsid w:val="00641552"/>
    <w:rsid w:val="00666C54"/>
    <w:rsid w:val="00674F6F"/>
    <w:rsid w:val="00684113"/>
    <w:rsid w:val="00684EB4"/>
    <w:rsid w:val="006A0870"/>
    <w:rsid w:val="006D0E94"/>
    <w:rsid w:val="006D6ECA"/>
    <w:rsid w:val="006E73D3"/>
    <w:rsid w:val="0070339B"/>
    <w:rsid w:val="00721BF2"/>
    <w:rsid w:val="00774207"/>
    <w:rsid w:val="007860DF"/>
    <w:rsid w:val="007B43E6"/>
    <w:rsid w:val="007C49E0"/>
    <w:rsid w:val="007E3D6B"/>
    <w:rsid w:val="00810A4D"/>
    <w:rsid w:val="008308A7"/>
    <w:rsid w:val="00830F64"/>
    <w:rsid w:val="00833D90"/>
    <w:rsid w:val="008379B2"/>
    <w:rsid w:val="008578DF"/>
    <w:rsid w:val="00862DD8"/>
    <w:rsid w:val="0086558A"/>
    <w:rsid w:val="00870020"/>
    <w:rsid w:val="00873BF1"/>
    <w:rsid w:val="00946AB0"/>
    <w:rsid w:val="00970461"/>
    <w:rsid w:val="009934A3"/>
    <w:rsid w:val="009947AC"/>
    <w:rsid w:val="009A669D"/>
    <w:rsid w:val="009D1721"/>
    <w:rsid w:val="009D5A31"/>
    <w:rsid w:val="009E0793"/>
    <w:rsid w:val="009E28FA"/>
    <w:rsid w:val="00A04573"/>
    <w:rsid w:val="00A04F59"/>
    <w:rsid w:val="00A17D79"/>
    <w:rsid w:val="00A71927"/>
    <w:rsid w:val="00AB3234"/>
    <w:rsid w:val="00AB4B94"/>
    <w:rsid w:val="00AC6B21"/>
    <w:rsid w:val="00AC6C41"/>
    <w:rsid w:val="00AD1EA1"/>
    <w:rsid w:val="00AD3B38"/>
    <w:rsid w:val="00AD7130"/>
    <w:rsid w:val="00AD7525"/>
    <w:rsid w:val="00AF08E6"/>
    <w:rsid w:val="00B25652"/>
    <w:rsid w:val="00B30782"/>
    <w:rsid w:val="00B4174C"/>
    <w:rsid w:val="00B7554C"/>
    <w:rsid w:val="00BC2848"/>
    <w:rsid w:val="00C061D8"/>
    <w:rsid w:val="00C71B1A"/>
    <w:rsid w:val="00C7605F"/>
    <w:rsid w:val="00C90B62"/>
    <w:rsid w:val="00CC5C7B"/>
    <w:rsid w:val="00CE16C2"/>
    <w:rsid w:val="00CE56EE"/>
    <w:rsid w:val="00CF2CDA"/>
    <w:rsid w:val="00CF5009"/>
    <w:rsid w:val="00CF763D"/>
    <w:rsid w:val="00D32B95"/>
    <w:rsid w:val="00DB0EBB"/>
    <w:rsid w:val="00DE756E"/>
    <w:rsid w:val="00E17F1E"/>
    <w:rsid w:val="00E32698"/>
    <w:rsid w:val="00E358ED"/>
    <w:rsid w:val="00E70B52"/>
    <w:rsid w:val="00EA51A9"/>
    <w:rsid w:val="00EB0B91"/>
    <w:rsid w:val="00EB5AB0"/>
    <w:rsid w:val="00EE1C3B"/>
    <w:rsid w:val="00F436E8"/>
    <w:rsid w:val="00F55936"/>
    <w:rsid w:val="00F81B45"/>
    <w:rsid w:val="00F90312"/>
    <w:rsid w:val="00F94750"/>
    <w:rsid w:val="00FD0070"/>
    <w:rsid w:val="00FE3CE3"/>
    <w:rsid w:val="00FE4939"/>
    <w:rsid w:val="00FE7DED"/>
    <w:rsid w:val="00FF4ABB"/>
    <w:rsid w:val="04B862AB"/>
    <w:rsid w:val="05DB60C3"/>
    <w:rsid w:val="06976DFC"/>
    <w:rsid w:val="08852948"/>
    <w:rsid w:val="0A590531"/>
    <w:rsid w:val="14784A9B"/>
    <w:rsid w:val="182C1032"/>
    <w:rsid w:val="18510A99"/>
    <w:rsid w:val="1977452F"/>
    <w:rsid w:val="1BA333BA"/>
    <w:rsid w:val="1BEF2D2A"/>
    <w:rsid w:val="23D762F6"/>
    <w:rsid w:val="254A339D"/>
    <w:rsid w:val="292F2731"/>
    <w:rsid w:val="2C1874AC"/>
    <w:rsid w:val="2F7A476B"/>
    <w:rsid w:val="318800F4"/>
    <w:rsid w:val="31CF4F58"/>
    <w:rsid w:val="32496611"/>
    <w:rsid w:val="32B60BB8"/>
    <w:rsid w:val="37CA01F4"/>
    <w:rsid w:val="38B404DB"/>
    <w:rsid w:val="3B650E0A"/>
    <w:rsid w:val="3BCE45B8"/>
    <w:rsid w:val="3C0D677A"/>
    <w:rsid w:val="3C297DA9"/>
    <w:rsid w:val="3EF82CBD"/>
    <w:rsid w:val="41A40E53"/>
    <w:rsid w:val="43597522"/>
    <w:rsid w:val="44B53FC2"/>
    <w:rsid w:val="4B5641CD"/>
    <w:rsid w:val="52254212"/>
    <w:rsid w:val="52EF06B7"/>
    <w:rsid w:val="54332825"/>
    <w:rsid w:val="5452714F"/>
    <w:rsid w:val="5CA93FCD"/>
    <w:rsid w:val="608C4DE3"/>
    <w:rsid w:val="60B46A9C"/>
    <w:rsid w:val="617D1584"/>
    <w:rsid w:val="622E26CF"/>
    <w:rsid w:val="64542A70"/>
    <w:rsid w:val="67540CFD"/>
    <w:rsid w:val="6AF94A6C"/>
    <w:rsid w:val="6DE450DB"/>
    <w:rsid w:val="6F886C5A"/>
    <w:rsid w:val="735A7977"/>
    <w:rsid w:val="74283DBC"/>
    <w:rsid w:val="748D0C82"/>
    <w:rsid w:val="776155B6"/>
    <w:rsid w:val="787D038F"/>
    <w:rsid w:val="78FD1C28"/>
    <w:rsid w:val="7AE77D42"/>
    <w:rsid w:val="7B90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lin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标题 11"/>
    <w:qFormat/>
    <w:uiPriority w:val="0"/>
    <w:pPr>
      <w:keepNext/>
    </w:pPr>
    <w:rPr>
      <w:rFonts w:ascii="Arial" w:hAnsi="Arial" w:eastAsia="宋体" w:cs="Times New Roman"/>
      <w:b/>
      <w:sz w:val="28"/>
      <w:lang w:val="en-US" w:eastAsia="zh-CN" w:bidi="ar-SA"/>
    </w:rPr>
  </w:style>
  <w:style w:type="paragraph" w:customStyle="1" w:styleId="12">
    <w:name w:val="标题 21"/>
    <w:qFormat/>
    <w:uiPriority w:val="0"/>
    <w:pPr>
      <w:keepNext/>
    </w:pPr>
    <w:rPr>
      <w:rFonts w:ascii="Arial" w:hAnsi="Arial" w:eastAsia="宋体" w:cs="Times New Roman"/>
      <w:b/>
      <w:sz w:val="24"/>
      <w:lang w:val="en-US" w:eastAsia="zh-CN" w:bidi="ar-SA"/>
    </w:rPr>
  </w:style>
  <w:style w:type="table" w:customStyle="1" w:styleId="13">
    <w:name w:val="网格型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14">
    <w:name w:val="Placeholder Text"/>
    <w:basedOn w:val="6"/>
    <w:unhideWhenUsed/>
    <w:uiPriority w:val="99"/>
    <w:rPr>
      <w:color w:val="666666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svg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17FD-6639-4AD5-B763-E5571063D6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</Words>
  <Characters>1590</Characters>
  <Lines>28</Lines>
  <Paragraphs>5</Paragraphs>
  <TotalTime>5</TotalTime>
  <ScaleCrop>false</ScaleCrop>
  <LinksUpToDate>false</LinksUpToDate>
  <CharactersWithSpaces>1796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2026-09-21T02:35:00Z</dcterms:created>
  <dc:creator>12783</dc:creator>
  <cp:lastModifiedBy>Brian Shubing Wang</cp:lastModifiedBy>
  <dcterms:modified xsi:type="dcterms:W3CDTF">2026-09-24T21:12:24Z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eyJoZGlkIjoiNTNjNDY2NjIzZTliY2UwMThkMTFhZWE0OTk1Mzk0OTYiLCJ1c2VySWQiOiI1NzY3MzY4OTAifQ==</vt:lpwstr>
  </property>
  <property fmtid="{D5CDD505-2E9C-101B-9397-08002B2CF9AE}" pid="4" name="ICV">
    <vt:lpwstr>743D55A665FD4664996ECA07A1DEBE63_13</vt:lpwstr>
  </property>
</Properties>
</file>