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64A0F" w14:textId="1A6F2EAC" w:rsidR="00056F5F" w:rsidRPr="00CC2F0D" w:rsidRDefault="00056F5F" w:rsidP="00056F5F">
      <w:pPr>
        <w:adjustRightInd w:val="0"/>
        <w:snapToGrid w:val="0"/>
        <w:spacing w:line="240" w:lineRule="auto"/>
        <w:ind w:firstLineChars="0" w:firstLine="0"/>
        <w:jc w:val="center"/>
        <w:rPr>
          <w:rFonts w:ascii="Arial" w:hAnsi="Arial" w:cs="Arial"/>
          <w:b/>
          <w:bCs/>
          <w:sz w:val="32"/>
          <w:szCs w:val="32"/>
        </w:rPr>
      </w:pPr>
      <w:r w:rsidRPr="00CC2F0D">
        <w:rPr>
          <w:rFonts w:ascii="Arial" w:hAnsi="Arial" w:cs="Arial"/>
          <w:b/>
          <w:bCs/>
          <w:sz w:val="32"/>
          <w:szCs w:val="32"/>
        </w:rPr>
        <w:t>Supplementary Information</w:t>
      </w:r>
    </w:p>
    <w:p w14:paraId="4EA4F2B7" w14:textId="60A1E1C0" w:rsidR="002E37BB" w:rsidRPr="00CC2F0D" w:rsidRDefault="00CC2F0D" w:rsidP="00CC2F0D">
      <w:pPr>
        <w:adjustRightInd w:val="0"/>
        <w:snapToGrid w:val="0"/>
        <w:spacing w:beforeLines="100" w:before="312" w:line="276" w:lineRule="auto"/>
        <w:ind w:firstLineChars="0" w:firstLine="0"/>
        <w:jc w:val="both"/>
        <w:rPr>
          <w:rFonts w:ascii="Arial" w:hAnsi="Arial" w:cs="Arial"/>
          <w:sz w:val="28"/>
          <w:szCs w:val="28"/>
        </w:rPr>
      </w:pPr>
      <w:bookmarkStart w:id="0" w:name="OLE_LINK32"/>
      <w:r w:rsidRPr="00CC2F0D">
        <w:rPr>
          <w:rFonts w:ascii="Arial" w:hAnsi="Arial" w:cs="Arial"/>
          <w:b/>
          <w:bCs/>
          <w:sz w:val="28"/>
          <w:szCs w:val="28"/>
        </w:rPr>
        <w:t xml:space="preserve">Near-reference carbon stocks with distinct carbon pool composition following restoration of northern China's largest seagrass bed </w:t>
      </w:r>
      <w:bookmarkEnd w:id="0"/>
    </w:p>
    <w:p w14:paraId="6BE14349" w14:textId="77777777" w:rsidR="00102339" w:rsidRPr="00CC2F0D" w:rsidRDefault="00102339" w:rsidP="00102339">
      <w:pPr>
        <w:adjustRightInd w:val="0"/>
        <w:snapToGrid w:val="0"/>
        <w:spacing w:beforeLines="100" w:before="312"/>
        <w:ind w:firstLineChars="0" w:firstLine="0"/>
        <w:jc w:val="both"/>
        <w:rPr>
          <w:rFonts w:ascii="Arial" w:hAnsi="Arial" w:cs="Arial"/>
          <w:sz w:val="21"/>
          <w:szCs w:val="21"/>
        </w:rPr>
      </w:pPr>
      <w:r w:rsidRPr="00CC2F0D">
        <w:rPr>
          <w:rFonts w:ascii="Arial" w:hAnsi="Arial" w:cs="Arial"/>
          <w:sz w:val="21"/>
          <w:szCs w:val="21"/>
        </w:rPr>
        <w:t>Chao Liu</w:t>
      </w:r>
      <w:r w:rsidRPr="00CC2F0D">
        <w:rPr>
          <w:rFonts w:ascii="Arial" w:hAnsi="Arial" w:cs="Arial"/>
          <w:sz w:val="21"/>
          <w:szCs w:val="21"/>
          <w:vertAlign w:val="superscript"/>
        </w:rPr>
        <w:t>1,2</w:t>
      </w:r>
      <w:r w:rsidRPr="00CC2F0D">
        <w:rPr>
          <w:rFonts w:ascii="Arial" w:hAnsi="Arial" w:cs="Arial"/>
          <w:sz w:val="21"/>
          <w:szCs w:val="21"/>
        </w:rPr>
        <w:t xml:space="preserve">, </w:t>
      </w:r>
      <w:proofErr w:type="spellStart"/>
      <w:r w:rsidRPr="00CC2F0D">
        <w:rPr>
          <w:rFonts w:ascii="Arial" w:hAnsi="Arial" w:cs="Arial"/>
          <w:sz w:val="21"/>
          <w:szCs w:val="21"/>
        </w:rPr>
        <w:t>Shihao</w:t>
      </w:r>
      <w:proofErr w:type="spellEnd"/>
      <w:r w:rsidRPr="00CC2F0D">
        <w:rPr>
          <w:rFonts w:ascii="Arial" w:hAnsi="Arial" w:cs="Arial"/>
          <w:sz w:val="21"/>
          <w:szCs w:val="21"/>
        </w:rPr>
        <w:t xml:space="preserve"> Niu</w:t>
      </w:r>
      <w:r w:rsidRPr="00CC2F0D">
        <w:rPr>
          <w:rFonts w:ascii="Arial" w:hAnsi="Arial" w:cs="Arial"/>
          <w:sz w:val="21"/>
          <w:szCs w:val="21"/>
          <w:vertAlign w:val="superscript"/>
        </w:rPr>
        <w:t>3</w:t>
      </w:r>
      <w:r w:rsidRPr="00CC2F0D">
        <w:rPr>
          <w:rFonts w:ascii="Arial" w:hAnsi="Arial" w:cs="Arial"/>
          <w:sz w:val="21"/>
          <w:szCs w:val="21"/>
        </w:rPr>
        <w:t xml:space="preserve">, </w:t>
      </w:r>
      <w:proofErr w:type="spellStart"/>
      <w:r w:rsidRPr="00CC2F0D">
        <w:rPr>
          <w:rFonts w:ascii="Arial" w:hAnsi="Arial" w:cs="Arial"/>
          <w:sz w:val="21"/>
          <w:szCs w:val="21"/>
        </w:rPr>
        <w:t>Shaochun</w:t>
      </w:r>
      <w:proofErr w:type="spellEnd"/>
      <w:r w:rsidRPr="00CC2F0D">
        <w:rPr>
          <w:rFonts w:ascii="Arial" w:hAnsi="Arial" w:cs="Arial"/>
          <w:sz w:val="21"/>
          <w:szCs w:val="21"/>
        </w:rPr>
        <w:t xml:space="preserve"> Xu</w:t>
      </w:r>
      <w:r w:rsidRPr="00CC2F0D">
        <w:rPr>
          <w:rFonts w:ascii="Arial" w:hAnsi="Arial" w:cs="Arial"/>
          <w:sz w:val="21"/>
          <w:szCs w:val="21"/>
          <w:vertAlign w:val="superscript"/>
        </w:rPr>
        <w:t>4</w:t>
      </w:r>
      <w:r w:rsidRPr="00CC2F0D">
        <w:rPr>
          <w:rFonts w:ascii="Arial" w:hAnsi="Arial" w:cs="Arial"/>
          <w:sz w:val="21"/>
          <w:szCs w:val="21"/>
        </w:rPr>
        <w:t>, Yanping Li</w:t>
      </w:r>
      <w:r w:rsidRPr="00CC2F0D">
        <w:rPr>
          <w:rFonts w:ascii="Arial" w:hAnsi="Arial" w:cs="Arial"/>
          <w:sz w:val="21"/>
          <w:szCs w:val="21"/>
          <w:vertAlign w:val="superscript"/>
        </w:rPr>
        <w:t>1</w:t>
      </w:r>
      <w:r w:rsidRPr="00CC2F0D">
        <w:rPr>
          <w:rFonts w:ascii="Arial" w:hAnsi="Arial" w:cs="Arial"/>
          <w:sz w:val="21"/>
          <w:szCs w:val="21"/>
        </w:rPr>
        <w:t>, Xin Zhao</w:t>
      </w:r>
      <w:r w:rsidRPr="00CC2F0D">
        <w:rPr>
          <w:rFonts w:ascii="Arial" w:hAnsi="Arial" w:cs="Arial"/>
          <w:sz w:val="21"/>
          <w:szCs w:val="21"/>
          <w:vertAlign w:val="superscript"/>
        </w:rPr>
        <w:t>5</w:t>
      </w:r>
      <w:r w:rsidRPr="00CC2F0D">
        <w:rPr>
          <w:rFonts w:ascii="Arial" w:hAnsi="Arial" w:cs="Arial"/>
          <w:sz w:val="21"/>
          <w:szCs w:val="21"/>
        </w:rPr>
        <w:t>, Ping Li</w:t>
      </w:r>
      <w:r w:rsidRPr="00CC2F0D">
        <w:rPr>
          <w:rFonts w:ascii="Arial" w:hAnsi="Arial" w:cs="Arial"/>
          <w:sz w:val="21"/>
          <w:szCs w:val="21"/>
          <w:vertAlign w:val="superscript"/>
        </w:rPr>
        <w:t>6</w:t>
      </w:r>
      <w:r w:rsidRPr="00CC2F0D">
        <w:rPr>
          <w:rFonts w:ascii="Arial" w:hAnsi="Arial" w:cs="Arial"/>
          <w:sz w:val="21"/>
          <w:szCs w:val="21"/>
        </w:rPr>
        <w:t>, Zhiwei Zhang</w:t>
      </w:r>
      <w:r w:rsidRPr="00CC2F0D">
        <w:rPr>
          <w:rFonts w:ascii="Arial" w:hAnsi="Arial" w:cs="Arial"/>
          <w:sz w:val="21"/>
          <w:szCs w:val="21"/>
          <w:vertAlign w:val="superscript"/>
        </w:rPr>
        <w:t>1*</w:t>
      </w:r>
      <w:r w:rsidRPr="00CC2F0D">
        <w:rPr>
          <w:rFonts w:ascii="Arial" w:hAnsi="Arial" w:cs="Arial"/>
          <w:sz w:val="21"/>
          <w:szCs w:val="21"/>
        </w:rPr>
        <w:t xml:space="preserve">, </w:t>
      </w:r>
      <w:proofErr w:type="spellStart"/>
      <w:r w:rsidRPr="00CC2F0D">
        <w:rPr>
          <w:rFonts w:ascii="Arial" w:hAnsi="Arial" w:cs="Arial"/>
          <w:sz w:val="21"/>
          <w:szCs w:val="21"/>
        </w:rPr>
        <w:t>Huohuo</w:t>
      </w:r>
      <w:proofErr w:type="spellEnd"/>
      <w:r w:rsidRPr="00CC2F0D">
        <w:rPr>
          <w:rFonts w:ascii="Arial" w:hAnsi="Arial" w:cs="Arial"/>
          <w:sz w:val="21"/>
          <w:szCs w:val="21"/>
        </w:rPr>
        <w:t xml:space="preserve"> Wang</w:t>
      </w:r>
      <w:r w:rsidRPr="00CC2F0D">
        <w:rPr>
          <w:rFonts w:ascii="Arial" w:hAnsi="Arial" w:cs="Arial"/>
          <w:sz w:val="21"/>
          <w:szCs w:val="21"/>
          <w:vertAlign w:val="superscript"/>
        </w:rPr>
        <w:t>3</w:t>
      </w:r>
      <w:r w:rsidRPr="00CC2F0D">
        <w:rPr>
          <w:rFonts w:ascii="Arial" w:hAnsi="Arial" w:cs="Arial"/>
          <w:sz w:val="21"/>
          <w:szCs w:val="21"/>
        </w:rPr>
        <w:t>, Liming Zuo</w:t>
      </w:r>
      <w:r w:rsidRPr="00CC2F0D">
        <w:rPr>
          <w:rFonts w:ascii="Arial" w:hAnsi="Arial" w:cs="Arial"/>
          <w:sz w:val="21"/>
          <w:szCs w:val="21"/>
          <w:vertAlign w:val="superscript"/>
        </w:rPr>
        <w:t>3*</w:t>
      </w:r>
      <w:r w:rsidRPr="00CC2F0D">
        <w:rPr>
          <w:rFonts w:ascii="Arial" w:hAnsi="Arial" w:cs="Arial"/>
          <w:sz w:val="21"/>
          <w:szCs w:val="21"/>
        </w:rPr>
        <w:t xml:space="preserve">, </w:t>
      </w:r>
      <w:proofErr w:type="spellStart"/>
      <w:r w:rsidRPr="00CC2F0D">
        <w:rPr>
          <w:rFonts w:ascii="Arial" w:hAnsi="Arial" w:cs="Arial"/>
          <w:sz w:val="21"/>
          <w:szCs w:val="21"/>
        </w:rPr>
        <w:t>Chunjuan</w:t>
      </w:r>
      <w:proofErr w:type="spellEnd"/>
      <w:r w:rsidRPr="00CC2F0D">
        <w:rPr>
          <w:rFonts w:ascii="Arial" w:hAnsi="Arial" w:cs="Arial"/>
          <w:sz w:val="21"/>
          <w:szCs w:val="21"/>
        </w:rPr>
        <w:t xml:space="preserve"> Wang</w:t>
      </w:r>
      <w:r w:rsidRPr="00CC2F0D">
        <w:rPr>
          <w:rFonts w:ascii="Arial" w:hAnsi="Arial" w:cs="Arial"/>
          <w:sz w:val="21"/>
          <w:szCs w:val="21"/>
          <w:vertAlign w:val="superscript"/>
        </w:rPr>
        <w:t>1</w:t>
      </w:r>
      <w:r w:rsidRPr="00CC2F0D">
        <w:rPr>
          <w:rFonts w:ascii="Arial" w:hAnsi="Arial" w:cs="Arial"/>
          <w:sz w:val="21"/>
          <w:szCs w:val="21"/>
        </w:rPr>
        <w:t xml:space="preserve">, </w:t>
      </w:r>
      <w:proofErr w:type="spellStart"/>
      <w:r w:rsidRPr="00CC2F0D">
        <w:rPr>
          <w:rFonts w:ascii="Arial" w:hAnsi="Arial" w:cs="Arial"/>
          <w:sz w:val="21"/>
          <w:szCs w:val="21"/>
        </w:rPr>
        <w:t>Wanglai</w:t>
      </w:r>
      <w:proofErr w:type="spellEnd"/>
      <w:r w:rsidRPr="00CC2F0D">
        <w:rPr>
          <w:rFonts w:ascii="Arial" w:hAnsi="Arial" w:cs="Arial"/>
          <w:sz w:val="21"/>
          <w:szCs w:val="21"/>
        </w:rPr>
        <w:t xml:space="preserve"> Cui</w:t>
      </w:r>
      <w:r w:rsidRPr="00CC2F0D">
        <w:rPr>
          <w:rFonts w:ascii="Arial" w:hAnsi="Arial" w:cs="Arial"/>
          <w:sz w:val="21"/>
          <w:szCs w:val="21"/>
          <w:vertAlign w:val="superscript"/>
        </w:rPr>
        <w:t>7*</w:t>
      </w:r>
      <w:r w:rsidRPr="00CC2F0D">
        <w:rPr>
          <w:rFonts w:ascii="Arial" w:hAnsi="Arial" w:cs="Arial"/>
          <w:sz w:val="21"/>
          <w:szCs w:val="21"/>
        </w:rPr>
        <w:t xml:space="preserve">, </w:t>
      </w:r>
      <w:proofErr w:type="spellStart"/>
      <w:r w:rsidRPr="00CC2F0D">
        <w:rPr>
          <w:rFonts w:ascii="Arial" w:hAnsi="Arial" w:cs="Arial"/>
          <w:sz w:val="21"/>
          <w:szCs w:val="21"/>
        </w:rPr>
        <w:t>Bojun</w:t>
      </w:r>
      <w:proofErr w:type="spellEnd"/>
      <w:r w:rsidRPr="00CC2F0D">
        <w:rPr>
          <w:rFonts w:ascii="Arial" w:hAnsi="Arial" w:cs="Arial"/>
          <w:sz w:val="21"/>
          <w:szCs w:val="21"/>
        </w:rPr>
        <w:t>, Gu</w:t>
      </w:r>
      <w:r w:rsidRPr="00CC2F0D">
        <w:rPr>
          <w:rFonts w:ascii="Arial" w:hAnsi="Arial" w:cs="Arial"/>
          <w:sz w:val="21"/>
          <w:szCs w:val="21"/>
          <w:vertAlign w:val="superscript"/>
        </w:rPr>
        <w:t>7</w:t>
      </w:r>
    </w:p>
    <w:p w14:paraId="3BDF287A" w14:textId="77777777" w:rsidR="00102339" w:rsidRPr="00CC2F0D" w:rsidRDefault="00102339" w:rsidP="00102339">
      <w:pPr>
        <w:adjustRightInd w:val="0"/>
        <w:snapToGrid w:val="0"/>
        <w:ind w:firstLineChars="0" w:firstLine="0"/>
        <w:jc w:val="both"/>
        <w:rPr>
          <w:rFonts w:ascii="Arial" w:hAnsi="Arial" w:cs="Arial"/>
          <w:bCs/>
          <w:kern w:val="0"/>
          <w:sz w:val="21"/>
          <w:szCs w:val="21"/>
        </w:rPr>
      </w:pPr>
      <w:r w:rsidRPr="00CC2F0D">
        <w:rPr>
          <w:rFonts w:ascii="Arial" w:hAnsi="Arial" w:cs="Arial"/>
          <w:bCs/>
          <w:sz w:val="21"/>
          <w:szCs w:val="21"/>
          <w:vertAlign w:val="superscript"/>
        </w:rPr>
        <w:t>1</w:t>
      </w:r>
      <w:r w:rsidRPr="00CC2F0D">
        <w:rPr>
          <w:rFonts w:ascii="Arial" w:hAnsi="Arial" w:cs="Arial"/>
          <w:bCs/>
          <w:kern w:val="0"/>
          <w:sz w:val="21"/>
          <w:szCs w:val="21"/>
          <w:vertAlign w:val="superscript"/>
        </w:rPr>
        <w:t xml:space="preserve"> </w:t>
      </w:r>
      <w:r w:rsidRPr="00CC2F0D">
        <w:rPr>
          <w:rFonts w:ascii="Arial" w:hAnsi="Arial" w:cs="Arial"/>
          <w:bCs/>
          <w:kern w:val="0"/>
          <w:sz w:val="21"/>
          <w:szCs w:val="21"/>
        </w:rPr>
        <w:t xml:space="preserve">Research Center for Coastal Zone Science and Marine Development Strategy, First Institute of Oceanography, Ministry of Natural Resources, </w:t>
      </w:r>
      <w:r w:rsidRPr="00CC2F0D">
        <w:rPr>
          <w:rFonts w:ascii="Arial" w:hAnsi="Arial" w:cs="Arial"/>
          <w:bCs/>
          <w:sz w:val="21"/>
          <w:szCs w:val="21"/>
        </w:rPr>
        <w:t>Qingdao 266100, P. R. China</w:t>
      </w:r>
    </w:p>
    <w:p w14:paraId="7B20ABF4" w14:textId="77777777" w:rsidR="00102339" w:rsidRPr="00CC2F0D" w:rsidRDefault="00102339" w:rsidP="00623F7A">
      <w:pPr>
        <w:adjustRightInd w:val="0"/>
        <w:snapToGrid w:val="0"/>
        <w:ind w:firstLineChars="0" w:firstLine="0"/>
        <w:jc w:val="both"/>
        <w:rPr>
          <w:rFonts w:ascii="Arial" w:hAnsi="Arial" w:cs="Arial"/>
          <w:bCs/>
          <w:sz w:val="21"/>
          <w:szCs w:val="21"/>
        </w:rPr>
      </w:pPr>
      <w:r w:rsidRPr="00CC2F0D">
        <w:rPr>
          <w:rFonts w:ascii="Arial" w:hAnsi="Arial" w:cs="Arial"/>
          <w:bCs/>
          <w:sz w:val="21"/>
          <w:szCs w:val="21"/>
          <w:vertAlign w:val="superscript"/>
        </w:rPr>
        <w:t>2</w:t>
      </w:r>
      <w:r w:rsidRPr="00CC2F0D">
        <w:rPr>
          <w:rFonts w:ascii="Arial" w:hAnsi="Arial" w:cs="Arial"/>
          <w:sz w:val="21"/>
          <w:szCs w:val="21"/>
        </w:rPr>
        <w:t xml:space="preserve"> </w:t>
      </w:r>
      <w:r w:rsidRPr="00CC2F0D">
        <w:rPr>
          <w:rFonts w:ascii="Arial" w:hAnsi="Arial" w:cs="Arial"/>
          <w:bCs/>
          <w:kern w:val="0"/>
          <w:sz w:val="21"/>
          <w:szCs w:val="21"/>
        </w:rPr>
        <w:t>School of Engineering, Cardiff University, Cardiff</w:t>
      </w:r>
      <w:r w:rsidRPr="00CC2F0D">
        <w:rPr>
          <w:rFonts w:ascii="Arial" w:eastAsia="CIDFont+F1" w:hAnsi="Arial" w:cs="Arial"/>
          <w:kern w:val="0"/>
          <w:sz w:val="21"/>
          <w:szCs w:val="21"/>
        </w:rPr>
        <w:t xml:space="preserve"> </w:t>
      </w:r>
      <w:r w:rsidRPr="00CC2F0D">
        <w:rPr>
          <w:rFonts w:ascii="Arial" w:hAnsi="Arial" w:cs="Arial"/>
          <w:bCs/>
          <w:kern w:val="0"/>
          <w:sz w:val="21"/>
          <w:szCs w:val="21"/>
        </w:rPr>
        <w:t xml:space="preserve">CF24 3AA, </w:t>
      </w:r>
      <w:r w:rsidRPr="00CC2F0D">
        <w:rPr>
          <w:rFonts w:ascii="Arial" w:hAnsi="Arial" w:cs="Arial"/>
          <w:bCs/>
          <w:sz w:val="21"/>
          <w:szCs w:val="21"/>
        </w:rPr>
        <w:t>United Kingdom</w:t>
      </w:r>
    </w:p>
    <w:p w14:paraId="2F71B577" w14:textId="77777777" w:rsidR="00102339" w:rsidRPr="00CC2F0D" w:rsidRDefault="00102339" w:rsidP="00623F7A">
      <w:pPr>
        <w:adjustRightInd w:val="0"/>
        <w:snapToGrid w:val="0"/>
        <w:ind w:firstLineChars="0" w:firstLine="0"/>
        <w:jc w:val="both"/>
        <w:rPr>
          <w:rFonts w:ascii="Arial" w:hAnsi="Arial" w:cs="Arial"/>
          <w:bCs/>
          <w:sz w:val="21"/>
          <w:szCs w:val="21"/>
        </w:rPr>
      </w:pPr>
      <w:r w:rsidRPr="00CC2F0D">
        <w:rPr>
          <w:rFonts w:ascii="Arial" w:hAnsi="Arial" w:cs="Arial"/>
          <w:bCs/>
          <w:sz w:val="21"/>
          <w:szCs w:val="21"/>
          <w:vertAlign w:val="superscript"/>
        </w:rPr>
        <w:t>3</w:t>
      </w:r>
      <w:r w:rsidRPr="00CC2F0D">
        <w:rPr>
          <w:rFonts w:ascii="Arial" w:hAnsi="Arial" w:cs="Arial"/>
          <w:bCs/>
          <w:sz w:val="21"/>
          <w:szCs w:val="21"/>
        </w:rPr>
        <w:t xml:space="preserve"> Hebei Provincial Water Exploration Institute (Hebei Provincial Remote Sensing Center)</w:t>
      </w:r>
      <w:r w:rsidRPr="00CC2F0D">
        <w:rPr>
          <w:rFonts w:ascii="Arial" w:hAnsi="Arial" w:cs="Arial"/>
          <w:bCs/>
          <w:kern w:val="0"/>
          <w:sz w:val="21"/>
          <w:szCs w:val="21"/>
        </w:rPr>
        <w:t xml:space="preserve">, </w:t>
      </w:r>
      <w:r w:rsidRPr="00CC2F0D">
        <w:rPr>
          <w:rFonts w:ascii="Arial" w:hAnsi="Arial" w:cs="Arial"/>
          <w:bCs/>
          <w:sz w:val="21"/>
          <w:szCs w:val="21"/>
        </w:rPr>
        <w:t>Shijiazhuang 050021, P. R. China</w:t>
      </w:r>
    </w:p>
    <w:p w14:paraId="384B5998" w14:textId="77777777" w:rsidR="00102339" w:rsidRPr="00CC2F0D" w:rsidRDefault="00102339" w:rsidP="00623F7A">
      <w:pPr>
        <w:adjustRightInd w:val="0"/>
        <w:snapToGrid w:val="0"/>
        <w:ind w:firstLineChars="0" w:firstLine="0"/>
        <w:jc w:val="both"/>
        <w:rPr>
          <w:rFonts w:ascii="Arial" w:hAnsi="Arial" w:cs="Arial"/>
          <w:bCs/>
          <w:sz w:val="21"/>
          <w:szCs w:val="21"/>
        </w:rPr>
      </w:pPr>
      <w:r w:rsidRPr="00CC2F0D">
        <w:rPr>
          <w:rFonts w:ascii="Arial" w:hAnsi="Arial" w:cs="Arial"/>
          <w:bCs/>
          <w:sz w:val="21"/>
          <w:szCs w:val="21"/>
          <w:vertAlign w:val="superscript"/>
        </w:rPr>
        <w:t>4</w:t>
      </w:r>
      <w:r w:rsidRPr="00CC2F0D">
        <w:rPr>
          <w:rFonts w:ascii="Arial" w:hAnsi="Arial" w:cs="Arial"/>
          <w:bCs/>
          <w:sz w:val="21"/>
          <w:szCs w:val="21"/>
        </w:rPr>
        <w:t xml:space="preserve"> Laboratory of Marine Ecology and Environmental Sciences, Institute of Oceanology, Chinese Academy of Sciences</w:t>
      </w:r>
      <w:r w:rsidRPr="00CC2F0D">
        <w:rPr>
          <w:rFonts w:ascii="Arial" w:hAnsi="Arial" w:cs="Arial"/>
          <w:bCs/>
          <w:kern w:val="0"/>
          <w:sz w:val="21"/>
          <w:szCs w:val="21"/>
        </w:rPr>
        <w:t xml:space="preserve">, </w:t>
      </w:r>
      <w:r w:rsidRPr="00CC2F0D">
        <w:rPr>
          <w:rFonts w:ascii="Arial" w:hAnsi="Arial" w:cs="Arial"/>
          <w:bCs/>
          <w:sz w:val="21"/>
          <w:szCs w:val="21"/>
        </w:rPr>
        <w:t>Qingdao 266100, P. R. China</w:t>
      </w:r>
    </w:p>
    <w:p w14:paraId="3DB8DB02" w14:textId="77777777" w:rsidR="00102339" w:rsidRPr="00CC2F0D" w:rsidRDefault="00102339" w:rsidP="00623F7A">
      <w:pPr>
        <w:adjustRightInd w:val="0"/>
        <w:snapToGrid w:val="0"/>
        <w:ind w:firstLineChars="0" w:firstLine="0"/>
        <w:jc w:val="both"/>
        <w:rPr>
          <w:rFonts w:ascii="Arial" w:hAnsi="Arial" w:cs="Arial"/>
          <w:bCs/>
          <w:kern w:val="0"/>
          <w:sz w:val="21"/>
          <w:szCs w:val="21"/>
          <w:vertAlign w:val="superscript"/>
        </w:rPr>
      </w:pPr>
      <w:r w:rsidRPr="00CC2F0D">
        <w:rPr>
          <w:rFonts w:ascii="Arial" w:hAnsi="Arial" w:cs="Arial"/>
          <w:bCs/>
          <w:sz w:val="21"/>
          <w:szCs w:val="21"/>
          <w:vertAlign w:val="superscript"/>
        </w:rPr>
        <w:t xml:space="preserve">5 </w:t>
      </w:r>
      <w:bookmarkStart w:id="1" w:name="OLE_LINK11"/>
      <w:r w:rsidRPr="00CC2F0D">
        <w:rPr>
          <w:rFonts w:ascii="Arial" w:eastAsiaTheme="minorEastAsia" w:hAnsi="Arial" w:cs="Arial"/>
          <w:bCs/>
          <w:sz w:val="21"/>
          <w:szCs w:val="21"/>
          <w:lang w:eastAsia="en-US"/>
        </w:rPr>
        <w:t>School of Geographic Science</w:t>
      </w:r>
      <w:bookmarkEnd w:id="1"/>
      <w:r w:rsidRPr="00CC2F0D">
        <w:rPr>
          <w:rFonts w:ascii="Arial" w:eastAsiaTheme="minorEastAsia" w:hAnsi="Arial" w:cs="Arial"/>
          <w:bCs/>
          <w:sz w:val="21"/>
          <w:szCs w:val="21"/>
          <w:lang w:eastAsia="en-US"/>
        </w:rPr>
        <w:t>, East China Normal University, Shanghai</w:t>
      </w:r>
      <w:r w:rsidRPr="00CC2F0D">
        <w:rPr>
          <w:rFonts w:ascii="Arial" w:hAnsi="Arial" w:cs="Arial"/>
          <w:bCs/>
          <w:sz w:val="21"/>
          <w:szCs w:val="21"/>
        </w:rPr>
        <w:t xml:space="preserve"> 200062</w:t>
      </w:r>
      <w:r w:rsidRPr="00CC2F0D">
        <w:rPr>
          <w:rFonts w:ascii="Arial" w:eastAsiaTheme="minorEastAsia" w:hAnsi="Arial" w:cs="Arial"/>
          <w:bCs/>
          <w:sz w:val="21"/>
          <w:szCs w:val="21"/>
          <w:lang w:eastAsia="en-US"/>
        </w:rPr>
        <w:t>, China.</w:t>
      </w:r>
    </w:p>
    <w:p w14:paraId="77B6BDCE" w14:textId="77777777" w:rsidR="00102339" w:rsidRPr="00CC2F0D" w:rsidRDefault="00102339" w:rsidP="00623F7A">
      <w:pPr>
        <w:adjustRightInd w:val="0"/>
        <w:snapToGrid w:val="0"/>
        <w:ind w:firstLineChars="0" w:firstLine="0"/>
        <w:jc w:val="both"/>
        <w:rPr>
          <w:rFonts w:ascii="Arial" w:hAnsi="Arial" w:cs="Arial"/>
          <w:bCs/>
          <w:kern w:val="0"/>
          <w:sz w:val="21"/>
          <w:szCs w:val="21"/>
          <w:vertAlign w:val="superscript"/>
        </w:rPr>
      </w:pPr>
      <w:r w:rsidRPr="00CC2F0D">
        <w:rPr>
          <w:rFonts w:ascii="Arial" w:hAnsi="Arial" w:cs="Arial"/>
          <w:bCs/>
          <w:sz w:val="21"/>
          <w:szCs w:val="21"/>
          <w:vertAlign w:val="superscript"/>
        </w:rPr>
        <w:t>6</w:t>
      </w:r>
      <w:r w:rsidRPr="00CC2F0D">
        <w:rPr>
          <w:rFonts w:ascii="Arial" w:hAnsi="Arial" w:cs="Arial"/>
          <w:bCs/>
          <w:sz w:val="21"/>
          <w:szCs w:val="21"/>
        </w:rPr>
        <w:t xml:space="preserve"> </w:t>
      </w:r>
      <w:r w:rsidRPr="00CC2F0D">
        <w:rPr>
          <w:rFonts w:ascii="Arial" w:hAnsi="Arial" w:cs="Arial"/>
          <w:bCs/>
          <w:kern w:val="0"/>
          <w:sz w:val="21"/>
          <w:szCs w:val="21"/>
        </w:rPr>
        <w:t xml:space="preserve">Institute of Marine Development, Ocean University of China, Qingdao, 266100, China College of Management, Ocean University of China, </w:t>
      </w:r>
      <w:r w:rsidRPr="00CC2F0D">
        <w:rPr>
          <w:rFonts w:ascii="Arial" w:hAnsi="Arial" w:cs="Arial"/>
          <w:bCs/>
          <w:sz w:val="21"/>
          <w:szCs w:val="21"/>
        </w:rPr>
        <w:t>Qingdao 266100, P. R. China</w:t>
      </w:r>
    </w:p>
    <w:p w14:paraId="389C7F1F" w14:textId="77777777" w:rsidR="00102339" w:rsidRPr="00CC2F0D" w:rsidRDefault="00102339" w:rsidP="00623F7A">
      <w:pPr>
        <w:adjustRightInd w:val="0"/>
        <w:snapToGrid w:val="0"/>
        <w:ind w:firstLineChars="0" w:firstLine="0"/>
        <w:jc w:val="both"/>
        <w:rPr>
          <w:rFonts w:ascii="Arial" w:hAnsi="Arial" w:cs="Arial"/>
          <w:bCs/>
          <w:sz w:val="21"/>
          <w:szCs w:val="21"/>
        </w:rPr>
      </w:pPr>
      <w:r w:rsidRPr="00CC2F0D">
        <w:rPr>
          <w:rFonts w:ascii="Arial" w:hAnsi="Arial" w:cs="Arial"/>
          <w:bCs/>
          <w:sz w:val="21"/>
          <w:szCs w:val="21"/>
          <w:vertAlign w:val="superscript"/>
        </w:rPr>
        <w:t>7</w:t>
      </w:r>
      <w:r w:rsidRPr="00CC2F0D">
        <w:rPr>
          <w:rFonts w:ascii="Arial" w:hAnsi="Arial" w:cs="Arial"/>
          <w:bCs/>
          <w:sz w:val="21"/>
          <w:szCs w:val="21"/>
        </w:rPr>
        <w:t xml:space="preserve"> College of Economics and Management, Zhejiang Ocean University</w:t>
      </w:r>
      <w:r w:rsidRPr="00CC2F0D">
        <w:rPr>
          <w:rFonts w:ascii="Arial" w:hAnsi="Arial" w:cs="Arial"/>
          <w:bCs/>
          <w:kern w:val="0"/>
          <w:sz w:val="21"/>
          <w:szCs w:val="21"/>
        </w:rPr>
        <w:t xml:space="preserve">, </w:t>
      </w:r>
      <w:r w:rsidRPr="00CC2F0D">
        <w:rPr>
          <w:rFonts w:ascii="Arial" w:hAnsi="Arial" w:cs="Arial"/>
          <w:bCs/>
          <w:sz w:val="21"/>
          <w:szCs w:val="21"/>
        </w:rPr>
        <w:t>Zhoushan 316022, P. R. China</w:t>
      </w:r>
    </w:p>
    <w:p w14:paraId="66C5A8B1" w14:textId="77777777" w:rsidR="00102339" w:rsidRPr="00CC2F0D" w:rsidRDefault="00102339" w:rsidP="00241D5E">
      <w:pPr>
        <w:adjustRightInd w:val="0"/>
        <w:snapToGrid w:val="0"/>
        <w:spacing w:beforeLines="50" w:before="156"/>
        <w:ind w:firstLineChars="0" w:firstLine="0"/>
        <w:jc w:val="both"/>
        <w:rPr>
          <w:rFonts w:ascii="Arial" w:hAnsi="Arial" w:cs="Arial"/>
          <w:bCs/>
          <w:sz w:val="21"/>
          <w:szCs w:val="21"/>
        </w:rPr>
      </w:pPr>
      <w:r w:rsidRPr="00CC2F0D">
        <w:rPr>
          <w:rFonts w:ascii="Arial" w:hAnsi="Arial" w:cs="Arial"/>
          <w:bCs/>
          <w:sz w:val="21"/>
          <w:szCs w:val="21"/>
        </w:rPr>
        <w:t xml:space="preserve">*Corresponding </w:t>
      </w:r>
      <w:proofErr w:type="spellStart"/>
      <w:r w:rsidRPr="00CC2F0D">
        <w:rPr>
          <w:rFonts w:ascii="Arial" w:hAnsi="Arial" w:cs="Arial"/>
          <w:bCs/>
          <w:sz w:val="21"/>
          <w:szCs w:val="21"/>
        </w:rPr>
        <w:t>anthors</w:t>
      </w:r>
      <w:proofErr w:type="spellEnd"/>
      <w:r w:rsidRPr="00CC2F0D">
        <w:rPr>
          <w:rFonts w:ascii="Arial" w:hAnsi="Arial" w:cs="Arial"/>
          <w:bCs/>
          <w:sz w:val="21"/>
          <w:szCs w:val="21"/>
        </w:rPr>
        <w:t xml:space="preserve">: </w:t>
      </w:r>
    </w:p>
    <w:p w14:paraId="47E585BC" w14:textId="66C5127A" w:rsidR="00102339" w:rsidRPr="00CC2F0D" w:rsidRDefault="00102339" w:rsidP="00102339">
      <w:pPr>
        <w:adjustRightInd w:val="0"/>
        <w:snapToGrid w:val="0"/>
        <w:ind w:firstLineChars="0" w:firstLine="0"/>
        <w:jc w:val="both"/>
        <w:rPr>
          <w:rFonts w:ascii="Arial" w:hAnsi="Arial" w:cs="Arial"/>
          <w:bCs/>
          <w:kern w:val="0"/>
          <w:sz w:val="21"/>
          <w:szCs w:val="21"/>
          <w:vertAlign w:val="superscript"/>
        </w:rPr>
      </w:pPr>
      <w:r w:rsidRPr="00CC2F0D">
        <w:rPr>
          <w:rFonts w:ascii="Arial" w:hAnsi="Arial" w:cs="Arial"/>
          <w:bCs/>
          <w:sz w:val="21"/>
          <w:szCs w:val="21"/>
        </w:rPr>
        <w:t>Zhiwei Zhang (</w:t>
      </w:r>
      <w:hyperlink r:id="rId6" w:history="1">
        <w:r w:rsidRPr="00CC2F0D">
          <w:rPr>
            <w:rStyle w:val="af3"/>
            <w:rFonts w:ascii="Arial" w:hAnsi="Arial" w:cs="Arial"/>
            <w:bCs/>
            <w:sz w:val="21"/>
            <w:szCs w:val="21"/>
          </w:rPr>
          <w:t>zhangzhiwei@fio.org.cn</w:t>
        </w:r>
      </w:hyperlink>
      <w:r w:rsidRPr="00CC2F0D">
        <w:rPr>
          <w:rFonts w:ascii="Arial" w:hAnsi="Arial" w:cs="Arial"/>
          <w:bCs/>
          <w:sz w:val="21"/>
          <w:szCs w:val="21"/>
        </w:rPr>
        <w:t xml:space="preserve">), Liming Zuo(zuoliming@163.com), </w:t>
      </w:r>
      <w:r w:rsidR="00CF32F8">
        <w:rPr>
          <w:rFonts w:ascii="Arial" w:hAnsi="Arial" w:cs="Arial" w:hint="eastAsia"/>
          <w:bCs/>
          <w:sz w:val="21"/>
          <w:szCs w:val="21"/>
        </w:rPr>
        <w:t xml:space="preserve">and </w:t>
      </w:r>
      <w:proofErr w:type="spellStart"/>
      <w:r w:rsidRPr="00CC2F0D">
        <w:rPr>
          <w:rFonts w:ascii="Arial" w:hAnsi="Arial" w:cs="Arial"/>
          <w:bCs/>
          <w:sz w:val="21"/>
          <w:szCs w:val="21"/>
        </w:rPr>
        <w:t>Wanglai</w:t>
      </w:r>
      <w:proofErr w:type="spellEnd"/>
      <w:r w:rsidRPr="00CC2F0D">
        <w:rPr>
          <w:rFonts w:ascii="Arial" w:hAnsi="Arial" w:cs="Arial"/>
          <w:bCs/>
          <w:sz w:val="21"/>
          <w:szCs w:val="21"/>
        </w:rPr>
        <w:t xml:space="preserve"> Cui (cuiwanglai@zjou.edu.cn)</w:t>
      </w:r>
    </w:p>
    <w:p w14:paraId="7A53791B" w14:textId="62EE5289" w:rsidR="00056F5F" w:rsidRDefault="00056F5F" w:rsidP="009723B3">
      <w:pPr>
        <w:widowControl/>
        <w:spacing w:beforeLines="50" w:before="156" w:after="160" w:line="278" w:lineRule="auto"/>
        <w:ind w:firstLineChars="0" w:firstLine="0"/>
        <w:rPr>
          <w:rFonts w:ascii="Arial" w:hAnsi="Arial" w:cs="Arial"/>
          <w:sz w:val="21"/>
          <w:szCs w:val="21"/>
        </w:rPr>
      </w:pPr>
      <w:r>
        <w:rPr>
          <w:rFonts w:ascii="Arial" w:hAnsi="Arial" w:cs="Arial"/>
          <w:sz w:val="21"/>
          <w:szCs w:val="21"/>
        </w:rPr>
        <w:br w:type="page"/>
      </w:r>
    </w:p>
    <w:p w14:paraId="5BCE728B" w14:textId="295DB06A" w:rsidR="005449A5" w:rsidRDefault="00D855E4" w:rsidP="0016545A">
      <w:pPr>
        <w:adjustRightInd w:val="0"/>
        <w:snapToGrid w:val="0"/>
        <w:spacing w:line="240" w:lineRule="auto"/>
        <w:ind w:firstLineChars="0" w:firstLine="0"/>
        <w:jc w:val="both"/>
      </w:pPr>
      <w:r>
        <w:rPr>
          <w:noProof/>
        </w:rPr>
        <w:lastRenderedPageBreak/>
        <w:drawing>
          <wp:inline distT="0" distB="0" distL="0" distR="0" wp14:anchorId="6A0F297C" wp14:editId="5122DFC6">
            <wp:extent cx="5274310" cy="2651760"/>
            <wp:effectExtent l="0" t="0" r="2540" b="0"/>
            <wp:docPr id="1548863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63120" name="图片 15488631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651760"/>
                    </a:xfrm>
                    <a:prstGeom prst="rect">
                      <a:avLst/>
                    </a:prstGeom>
                  </pic:spPr>
                </pic:pic>
              </a:graphicData>
            </a:graphic>
          </wp:inline>
        </w:drawing>
      </w:r>
    </w:p>
    <w:p w14:paraId="3CCA0170" w14:textId="7AFC7920" w:rsidR="009A11E6" w:rsidRPr="009A11E6" w:rsidRDefault="002E0E0C" w:rsidP="00DD55FD">
      <w:pPr>
        <w:adjustRightInd w:val="0"/>
        <w:snapToGrid w:val="0"/>
        <w:spacing w:beforeLines="50" w:before="156" w:line="276" w:lineRule="auto"/>
        <w:ind w:firstLineChars="0" w:firstLine="0"/>
        <w:jc w:val="both"/>
        <w:rPr>
          <w:rFonts w:ascii="Arial" w:hAnsi="Arial" w:cs="Arial"/>
          <w:sz w:val="21"/>
          <w:szCs w:val="21"/>
        </w:rPr>
      </w:pPr>
      <w:r w:rsidRPr="002E0E0C">
        <w:rPr>
          <w:rFonts w:ascii="Arial" w:hAnsi="Arial" w:cs="Arial"/>
          <w:b/>
          <w:bCs/>
          <w:sz w:val="21"/>
          <w:szCs w:val="21"/>
        </w:rPr>
        <w:t>Supplementary Figure</w:t>
      </w:r>
      <w:r w:rsidR="000C058E">
        <w:rPr>
          <w:rFonts w:ascii="Arial" w:hAnsi="Arial" w:cs="Arial" w:hint="eastAsia"/>
          <w:b/>
          <w:bCs/>
          <w:sz w:val="21"/>
          <w:szCs w:val="21"/>
        </w:rPr>
        <w:t xml:space="preserve"> </w:t>
      </w:r>
      <w:r w:rsidR="00270411" w:rsidRPr="009F78D8">
        <w:rPr>
          <w:rFonts w:ascii="Arial" w:hAnsi="Arial" w:cs="Arial"/>
          <w:b/>
          <w:bCs/>
          <w:sz w:val="21"/>
          <w:szCs w:val="21"/>
        </w:rPr>
        <w:t>S</w:t>
      </w:r>
      <w:r w:rsidR="00BC45B4">
        <w:rPr>
          <w:rFonts w:ascii="Arial" w:hAnsi="Arial" w:cs="Arial" w:hint="eastAsia"/>
          <w:b/>
          <w:bCs/>
          <w:sz w:val="21"/>
          <w:szCs w:val="21"/>
        </w:rPr>
        <w:t>1</w:t>
      </w:r>
      <w:r w:rsidR="00270411" w:rsidRPr="009F78D8">
        <w:rPr>
          <w:rFonts w:ascii="Arial" w:hAnsi="Arial" w:cs="Arial"/>
          <w:b/>
          <w:bCs/>
          <w:sz w:val="21"/>
          <w:szCs w:val="21"/>
        </w:rPr>
        <w:t xml:space="preserve"> | </w:t>
      </w:r>
      <w:r w:rsidR="00D855E4" w:rsidRPr="00D855E4">
        <w:rPr>
          <w:rFonts w:ascii="Arial" w:hAnsi="Arial" w:cs="Arial"/>
          <w:b/>
          <w:bCs/>
          <w:sz w:val="21"/>
          <w:szCs w:val="21"/>
        </w:rPr>
        <w:t>Sediment organic-carbon density profiles across the three habitat groups</w:t>
      </w:r>
      <w:r w:rsidR="00270411" w:rsidRPr="009F78D8">
        <w:rPr>
          <w:rFonts w:ascii="Arial" w:hAnsi="Arial" w:cs="Arial"/>
          <w:b/>
          <w:bCs/>
          <w:sz w:val="21"/>
          <w:szCs w:val="21"/>
        </w:rPr>
        <w:t>.</w:t>
      </w:r>
      <w:r w:rsidR="00270411" w:rsidRPr="00270411">
        <w:rPr>
          <w:rFonts w:ascii="Arial" w:hAnsi="Arial" w:cs="Arial" w:hint="eastAsia"/>
          <w:sz w:val="21"/>
          <w:szCs w:val="21"/>
        </w:rPr>
        <w:t xml:space="preserve"> </w:t>
      </w:r>
      <w:r w:rsidR="00D855E4" w:rsidRPr="00D855E4">
        <w:rPr>
          <w:rFonts w:ascii="Arial" w:hAnsi="Arial" w:cs="Arial"/>
          <w:sz w:val="21"/>
          <w:szCs w:val="21"/>
        </w:rPr>
        <w:t xml:space="preserve">Depth-resolved sediment organic-carbon density in a, the bare flat (n = 3 cores), b, the restored meadow (n = 7 cores), and c, the pooled natural reference (n = 8 cores). Thin </w:t>
      </w:r>
      <w:proofErr w:type="spellStart"/>
      <w:r w:rsidR="00D855E4" w:rsidRPr="00D855E4">
        <w:rPr>
          <w:rFonts w:ascii="Arial" w:hAnsi="Arial" w:cs="Arial"/>
          <w:sz w:val="21"/>
          <w:szCs w:val="21"/>
        </w:rPr>
        <w:t>coloured</w:t>
      </w:r>
      <w:proofErr w:type="spellEnd"/>
      <w:r w:rsidR="00D855E4" w:rsidRPr="00D855E4">
        <w:rPr>
          <w:rFonts w:ascii="Arial" w:hAnsi="Arial" w:cs="Arial"/>
          <w:sz w:val="21"/>
          <w:szCs w:val="21"/>
        </w:rPr>
        <w:t xml:space="preserve"> step lines show individual core profiles at their original sampling intervals. Thick lines and shaded envelopes show the habitat mean and ±1 standard deviation, respectively, evaluated at 5-cm depth midpoints. Where an original measurement spanned 10 cm, its measured value was retained across the corresponding two display positions; this visualization does not add analytical depth resolution. The horizontal dashed line marks the 20-cm boundary used to partition the 0–20-cm surface layer from the 20–50-cm rooting-zone interval. Natural-reference cores collected in 2021 and 2024 were pooled for the habitat-level analysis; sampling year and original core identifiers are retained in the accompanying Source Data and are not treated as comparison factors in this figure.</w:t>
      </w:r>
    </w:p>
    <w:p w14:paraId="6C5C297B" w14:textId="2A1C4E2D" w:rsidR="005449A5" w:rsidRDefault="00D855E4" w:rsidP="0016545A">
      <w:pPr>
        <w:adjustRightInd w:val="0"/>
        <w:snapToGrid w:val="0"/>
        <w:spacing w:line="240" w:lineRule="auto"/>
        <w:ind w:firstLineChars="0" w:firstLine="0"/>
        <w:jc w:val="both"/>
      </w:pPr>
      <w:r>
        <w:rPr>
          <w:noProof/>
        </w:rPr>
        <w:lastRenderedPageBreak/>
        <w:drawing>
          <wp:inline distT="0" distB="0" distL="0" distR="0" wp14:anchorId="1AEFDFBA" wp14:editId="66510343">
            <wp:extent cx="5274310" cy="4785360"/>
            <wp:effectExtent l="0" t="0" r="2540" b="0"/>
            <wp:docPr id="8291504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50438" name="图片 8291504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785360"/>
                    </a:xfrm>
                    <a:prstGeom prst="rect">
                      <a:avLst/>
                    </a:prstGeom>
                  </pic:spPr>
                </pic:pic>
              </a:graphicData>
            </a:graphic>
          </wp:inline>
        </w:drawing>
      </w:r>
    </w:p>
    <w:p w14:paraId="339AADB3" w14:textId="3817B217" w:rsidR="009F78D8" w:rsidRPr="00D855E4" w:rsidRDefault="002E0E0C" w:rsidP="009F78D8">
      <w:pPr>
        <w:adjustRightInd w:val="0"/>
        <w:snapToGrid w:val="0"/>
        <w:spacing w:beforeLines="50" w:before="156" w:line="276" w:lineRule="auto"/>
        <w:ind w:firstLineChars="0" w:firstLine="0"/>
        <w:jc w:val="both"/>
        <w:rPr>
          <w:rFonts w:ascii="Arial" w:hAnsi="Arial" w:cs="Arial"/>
          <w:sz w:val="21"/>
          <w:szCs w:val="21"/>
        </w:rPr>
      </w:pPr>
      <w:r w:rsidRPr="002E0E0C">
        <w:rPr>
          <w:rFonts w:ascii="Arial" w:hAnsi="Arial" w:cs="Arial"/>
          <w:b/>
          <w:bCs/>
          <w:sz w:val="21"/>
          <w:szCs w:val="21"/>
        </w:rPr>
        <w:t>Supplementary Figure</w:t>
      </w:r>
      <w:r w:rsidR="000C058E">
        <w:rPr>
          <w:rFonts w:ascii="Arial" w:hAnsi="Arial" w:cs="Arial" w:hint="eastAsia"/>
          <w:b/>
          <w:bCs/>
          <w:sz w:val="21"/>
          <w:szCs w:val="21"/>
        </w:rPr>
        <w:t xml:space="preserve"> </w:t>
      </w:r>
      <w:r w:rsidR="009F78D8" w:rsidRPr="00FB4538">
        <w:rPr>
          <w:rFonts w:ascii="Arial" w:hAnsi="Arial" w:cs="Arial"/>
          <w:b/>
          <w:bCs/>
          <w:sz w:val="21"/>
          <w:szCs w:val="21"/>
        </w:rPr>
        <w:t>S</w:t>
      </w:r>
      <w:r w:rsidR="00D26775">
        <w:rPr>
          <w:rFonts w:ascii="Arial" w:hAnsi="Arial" w:cs="Arial" w:hint="eastAsia"/>
          <w:b/>
          <w:bCs/>
          <w:sz w:val="21"/>
          <w:szCs w:val="21"/>
        </w:rPr>
        <w:t>2</w:t>
      </w:r>
      <w:r w:rsidR="009F78D8" w:rsidRPr="00FB4538">
        <w:rPr>
          <w:rFonts w:ascii="Arial" w:hAnsi="Arial" w:cs="Arial"/>
          <w:b/>
          <w:bCs/>
          <w:sz w:val="21"/>
          <w:szCs w:val="21"/>
        </w:rPr>
        <w:t xml:space="preserve"> | </w:t>
      </w:r>
      <w:r w:rsidR="00D855E4" w:rsidRPr="00D855E4">
        <w:rPr>
          <w:rFonts w:ascii="Arial" w:hAnsi="Arial" w:cs="Arial"/>
          <w:b/>
          <w:bCs/>
          <w:sz w:val="21"/>
          <w:szCs w:val="21"/>
        </w:rPr>
        <w:t>Measured sediment organic-carbon stocks and profile-depth coverage across habitat groups</w:t>
      </w:r>
      <w:r w:rsidR="009F78D8" w:rsidRPr="00FB4538">
        <w:rPr>
          <w:rFonts w:ascii="Arial" w:hAnsi="Arial" w:cs="Arial"/>
          <w:b/>
          <w:bCs/>
          <w:sz w:val="21"/>
          <w:szCs w:val="21"/>
        </w:rPr>
        <w:t>.</w:t>
      </w:r>
      <w:r w:rsidR="00FB4538">
        <w:rPr>
          <w:rFonts w:ascii="Arial" w:hAnsi="Arial" w:cs="Arial" w:hint="eastAsia"/>
          <w:b/>
          <w:bCs/>
          <w:sz w:val="21"/>
          <w:szCs w:val="21"/>
        </w:rPr>
        <w:t xml:space="preserve"> </w:t>
      </w:r>
      <w:r w:rsidR="00D855E4" w:rsidRPr="00D855E4">
        <w:rPr>
          <w:rFonts w:ascii="Arial" w:hAnsi="Arial" w:cs="Arial"/>
          <w:sz w:val="21"/>
          <w:szCs w:val="21"/>
        </w:rPr>
        <w:t xml:space="preserve">Core-level sediment organic-carbon stocks within a, 0–20 cm, b, 20–50 cm, and c, the common measured 0–50-cm interval in the bare flat (n = 3), restored meadow (n = 7), and pooled natural reference (n = 8). </w:t>
      </w:r>
      <w:proofErr w:type="spellStart"/>
      <w:r w:rsidR="00D855E4" w:rsidRPr="00D855E4">
        <w:rPr>
          <w:rFonts w:ascii="Arial" w:hAnsi="Arial" w:cs="Arial"/>
          <w:sz w:val="21"/>
          <w:szCs w:val="21"/>
        </w:rPr>
        <w:t>Coloured</w:t>
      </w:r>
      <w:proofErr w:type="spellEnd"/>
      <w:r w:rsidR="00D855E4" w:rsidRPr="00D855E4">
        <w:rPr>
          <w:rFonts w:ascii="Arial" w:hAnsi="Arial" w:cs="Arial"/>
          <w:sz w:val="21"/>
          <w:szCs w:val="21"/>
        </w:rPr>
        <w:t xml:space="preserve"> points represent independent sediment cores; black points and error bars denote the mean ±1 standard deviation. Stocks were calculated as the sum of measured interval-specific carbon density multiplied by interval thickness and were not extrapolated below 50 cm. d, deepest depth for which sediment carbon concentration was tabulated for each core. </w:t>
      </w:r>
      <w:proofErr w:type="spellStart"/>
      <w:r w:rsidR="00D855E4" w:rsidRPr="00D855E4">
        <w:rPr>
          <w:rFonts w:ascii="Arial" w:hAnsi="Arial" w:cs="Arial"/>
          <w:sz w:val="21"/>
          <w:szCs w:val="21"/>
        </w:rPr>
        <w:t>Coloured</w:t>
      </w:r>
      <w:proofErr w:type="spellEnd"/>
      <w:r w:rsidR="00D855E4" w:rsidRPr="00D855E4">
        <w:rPr>
          <w:rFonts w:ascii="Arial" w:hAnsi="Arial" w:cs="Arial"/>
          <w:sz w:val="21"/>
          <w:szCs w:val="21"/>
        </w:rPr>
        <w:t xml:space="preserve"> bars denote measured profile coverage, pale-grey extensions denote the remaining depth to 100 cm without tabulated carbon-concentration data, and the dashed vertical line marks the common 50-cm analytical depth used in a–c. Natural-reference cores from both surveys are combined into one habitat group; sampling year remains available in the Source Data and sample identifiers but is not used as a graphical or statistical comparison factor.</w:t>
      </w:r>
    </w:p>
    <w:p w14:paraId="6BC15B04" w14:textId="4B4E292F" w:rsidR="005449A5" w:rsidRDefault="00D855E4" w:rsidP="0016545A">
      <w:pPr>
        <w:adjustRightInd w:val="0"/>
        <w:snapToGrid w:val="0"/>
        <w:spacing w:line="240" w:lineRule="auto"/>
        <w:ind w:firstLineChars="0" w:firstLine="0"/>
        <w:jc w:val="both"/>
      </w:pPr>
      <w:r>
        <w:rPr>
          <w:noProof/>
        </w:rPr>
        <w:lastRenderedPageBreak/>
        <w:drawing>
          <wp:inline distT="0" distB="0" distL="0" distR="0" wp14:anchorId="108ED1B6" wp14:editId="594C1E23">
            <wp:extent cx="5274310" cy="4467860"/>
            <wp:effectExtent l="0" t="0" r="2540" b="8890"/>
            <wp:docPr id="3485838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83881" name="图片 34858388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467860"/>
                    </a:xfrm>
                    <a:prstGeom prst="rect">
                      <a:avLst/>
                    </a:prstGeom>
                  </pic:spPr>
                </pic:pic>
              </a:graphicData>
            </a:graphic>
          </wp:inline>
        </w:drawing>
      </w:r>
    </w:p>
    <w:p w14:paraId="55B0BB00" w14:textId="71CBDCF6" w:rsidR="005F0CF5" w:rsidRDefault="002E0E0C" w:rsidP="00D855E4">
      <w:pPr>
        <w:adjustRightInd w:val="0"/>
        <w:snapToGrid w:val="0"/>
        <w:spacing w:beforeLines="50" w:before="156" w:line="276" w:lineRule="auto"/>
        <w:ind w:firstLineChars="0" w:firstLine="0"/>
        <w:jc w:val="both"/>
        <w:rPr>
          <w:rFonts w:ascii="Arial" w:hAnsi="Arial" w:cs="Arial"/>
          <w:sz w:val="21"/>
          <w:szCs w:val="21"/>
        </w:rPr>
      </w:pPr>
      <w:r w:rsidRPr="002E0E0C">
        <w:rPr>
          <w:rFonts w:ascii="Arial" w:hAnsi="Arial" w:cs="Arial"/>
          <w:b/>
          <w:bCs/>
          <w:sz w:val="21"/>
          <w:szCs w:val="21"/>
        </w:rPr>
        <w:t>Supplementary Figure</w:t>
      </w:r>
      <w:r w:rsidR="000C058E">
        <w:rPr>
          <w:rFonts w:ascii="Arial" w:hAnsi="Arial" w:cs="Arial" w:hint="eastAsia"/>
          <w:b/>
          <w:bCs/>
          <w:sz w:val="21"/>
          <w:szCs w:val="21"/>
        </w:rPr>
        <w:t xml:space="preserve"> </w:t>
      </w:r>
      <w:r w:rsidR="00FB4538" w:rsidRPr="00A76540">
        <w:rPr>
          <w:rFonts w:ascii="Arial" w:hAnsi="Arial" w:cs="Arial"/>
          <w:b/>
          <w:bCs/>
          <w:sz w:val="21"/>
          <w:szCs w:val="21"/>
        </w:rPr>
        <w:t>S</w:t>
      </w:r>
      <w:r w:rsidR="00D26775">
        <w:rPr>
          <w:rFonts w:ascii="Arial" w:hAnsi="Arial" w:cs="Arial" w:hint="eastAsia"/>
          <w:b/>
          <w:bCs/>
          <w:sz w:val="21"/>
          <w:szCs w:val="21"/>
        </w:rPr>
        <w:t>3</w:t>
      </w:r>
      <w:r w:rsidR="00FB4538" w:rsidRPr="00A76540">
        <w:rPr>
          <w:rFonts w:ascii="Arial" w:hAnsi="Arial" w:cs="Arial"/>
          <w:b/>
          <w:bCs/>
          <w:sz w:val="21"/>
          <w:szCs w:val="21"/>
        </w:rPr>
        <w:t xml:space="preserve"> | </w:t>
      </w:r>
      <w:r w:rsidR="00D855E4" w:rsidRPr="00D855E4">
        <w:rPr>
          <w:rFonts w:ascii="Arial" w:hAnsi="Arial" w:cs="Arial"/>
          <w:b/>
          <w:bCs/>
          <w:sz w:val="21"/>
          <w:szCs w:val="21"/>
        </w:rPr>
        <w:t>Sampling-year provenance of natural-reference sediment measurements</w:t>
      </w:r>
      <w:r w:rsidR="00FB4538" w:rsidRPr="00A76540">
        <w:rPr>
          <w:rFonts w:ascii="Arial" w:hAnsi="Arial" w:cs="Arial"/>
          <w:b/>
          <w:bCs/>
          <w:sz w:val="21"/>
          <w:szCs w:val="21"/>
        </w:rPr>
        <w:t>.</w:t>
      </w:r>
      <w:r w:rsidR="00FB4538" w:rsidRPr="00FB4538">
        <w:rPr>
          <w:rFonts w:ascii="Arial" w:hAnsi="Arial" w:cs="Arial" w:hint="eastAsia"/>
          <w:sz w:val="21"/>
          <w:szCs w:val="21"/>
        </w:rPr>
        <w:t xml:space="preserve"> </w:t>
      </w:r>
      <w:r w:rsidR="00D855E4" w:rsidRPr="00D855E4">
        <w:rPr>
          <w:rFonts w:ascii="Arial" w:hAnsi="Arial" w:cs="Arial"/>
          <w:sz w:val="21"/>
          <w:szCs w:val="21"/>
        </w:rPr>
        <w:t xml:space="preserve">Year-stratified visualization of the natural-reference observations used to construct the pooled habitat baseline. Sediment organic-carbon density profiles are shown for a, the spatially distributed 2021 survey (n = 6 cores), and b, the targeted 2024 survey (n = 2 cores). Thin step lines show individual core measurements at their original depth intervals; thick lines and shaded envelopes denote the survey mean and ±1 standard deviation, respectively, evaluated at 5-cm depth midpoints. The horizontal dashed line marks the 20-cm depth boundary. Core-level sediment organic-carbon stocks are shown for the c, 0–20-cm, d, 20–50-cm and e, 0–50-cm intervals. </w:t>
      </w:r>
      <w:proofErr w:type="spellStart"/>
      <w:r w:rsidR="00D855E4" w:rsidRPr="00D855E4">
        <w:rPr>
          <w:rFonts w:ascii="Arial" w:hAnsi="Arial" w:cs="Arial"/>
          <w:sz w:val="21"/>
          <w:szCs w:val="21"/>
        </w:rPr>
        <w:t>Coloured</w:t>
      </w:r>
      <w:proofErr w:type="spellEnd"/>
      <w:r w:rsidR="00D855E4" w:rsidRPr="00D855E4">
        <w:rPr>
          <w:rFonts w:ascii="Arial" w:hAnsi="Arial" w:cs="Arial"/>
          <w:sz w:val="21"/>
          <w:szCs w:val="21"/>
        </w:rPr>
        <w:t xml:space="preserve"> symbols represent individual cores and black points and error bars show the mean ±1 standard deviation. This figure documents sampling provenance and within-survey distributions; it is descriptive and does not treat year as an inferential factor in the primary habitat comparison. </w:t>
      </w:r>
    </w:p>
    <w:p w14:paraId="035CFFAF" w14:textId="77777777" w:rsidR="00D26775" w:rsidRDefault="00D26775" w:rsidP="00D26775">
      <w:pPr>
        <w:adjustRightInd w:val="0"/>
        <w:snapToGrid w:val="0"/>
        <w:spacing w:beforeLines="50" w:before="156" w:afterLines="50" w:after="156" w:line="276" w:lineRule="auto"/>
        <w:ind w:firstLineChars="0" w:firstLine="0"/>
        <w:jc w:val="both"/>
        <w:rPr>
          <w:rFonts w:ascii="Arial" w:hAnsi="Arial" w:cs="Arial"/>
          <w:sz w:val="21"/>
          <w:szCs w:val="21"/>
        </w:rPr>
      </w:pPr>
    </w:p>
    <w:p w14:paraId="21C99E23" w14:textId="77777777" w:rsidR="00D26775" w:rsidRDefault="00D26775" w:rsidP="00D26775">
      <w:pPr>
        <w:adjustRightInd w:val="0"/>
        <w:snapToGrid w:val="0"/>
        <w:spacing w:beforeLines="50" w:before="156" w:line="276" w:lineRule="auto"/>
        <w:ind w:firstLineChars="0" w:firstLine="0"/>
        <w:jc w:val="both"/>
        <w:rPr>
          <w:rFonts w:ascii="Arial" w:hAnsi="Arial" w:cs="Arial"/>
          <w:sz w:val="21"/>
          <w:szCs w:val="21"/>
        </w:rPr>
      </w:pPr>
      <w:r>
        <w:rPr>
          <w:rFonts w:ascii="Arial" w:hAnsi="Arial" w:cs="Arial"/>
          <w:noProof/>
          <w:sz w:val="21"/>
          <w:szCs w:val="21"/>
        </w:rPr>
        <w:lastRenderedPageBreak/>
        <w:drawing>
          <wp:inline distT="0" distB="0" distL="0" distR="0" wp14:anchorId="62D90386" wp14:editId="3A6919FA">
            <wp:extent cx="5274310" cy="3228340"/>
            <wp:effectExtent l="0" t="0" r="2540" b="0"/>
            <wp:docPr id="13128167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16740" name="图片 13128167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228340"/>
                    </a:xfrm>
                    <a:prstGeom prst="rect">
                      <a:avLst/>
                    </a:prstGeom>
                  </pic:spPr>
                </pic:pic>
              </a:graphicData>
            </a:graphic>
          </wp:inline>
        </w:drawing>
      </w:r>
    </w:p>
    <w:p w14:paraId="24BB2D5D" w14:textId="7B1AC42C" w:rsidR="000B7D71" w:rsidRDefault="002E0E0C" w:rsidP="00D26775">
      <w:pPr>
        <w:adjustRightInd w:val="0"/>
        <w:snapToGrid w:val="0"/>
        <w:spacing w:afterLines="50" w:after="156" w:line="276" w:lineRule="auto"/>
        <w:ind w:firstLineChars="0" w:firstLine="0"/>
        <w:jc w:val="both"/>
        <w:rPr>
          <w:rFonts w:ascii="Arial" w:hAnsi="Arial" w:cs="Arial"/>
          <w:sz w:val="21"/>
          <w:szCs w:val="21"/>
        </w:rPr>
      </w:pPr>
      <w:r w:rsidRPr="002E0E0C">
        <w:rPr>
          <w:rFonts w:ascii="Arial" w:hAnsi="Arial" w:cs="Arial"/>
          <w:b/>
          <w:bCs/>
          <w:sz w:val="21"/>
          <w:szCs w:val="21"/>
        </w:rPr>
        <w:t>Supplementary Figure</w:t>
      </w:r>
      <w:r w:rsidR="00D26775" w:rsidRPr="00E865C9">
        <w:rPr>
          <w:rFonts w:ascii="Arial" w:hAnsi="Arial" w:cs="Arial"/>
          <w:b/>
          <w:bCs/>
          <w:sz w:val="21"/>
          <w:szCs w:val="21"/>
        </w:rPr>
        <w:t xml:space="preserve"> S</w:t>
      </w:r>
      <w:r w:rsidR="00D26775">
        <w:rPr>
          <w:rFonts w:ascii="Arial" w:hAnsi="Arial" w:cs="Arial" w:hint="eastAsia"/>
          <w:b/>
          <w:bCs/>
          <w:sz w:val="21"/>
          <w:szCs w:val="21"/>
        </w:rPr>
        <w:t>4</w:t>
      </w:r>
      <w:r w:rsidR="00D26775" w:rsidRPr="00E865C9">
        <w:rPr>
          <w:rFonts w:ascii="Arial" w:hAnsi="Arial" w:cs="Arial"/>
          <w:b/>
          <w:bCs/>
          <w:sz w:val="21"/>
          <w:szCs w:val="21"/>
        </w:rPr>
        <w:t xml:space="preserve"> | Sensitivity of standardized 0–100 cm sediment organic-carbon stocks to deep-profile extrapolation.</w:t>
      </w:r>
      <w:r w:rsidR="00D26775" w:rsidRPr="008B318E">
        <w:rPr>
          <w:rFonts w:ascii="Arial" w:hAnsi="Arial" w:cs="Arial"/>
          <w:sz w:val="21"/>
          <w:szCs w:val="21"/>
        </w:rPr>
        <w:t xml:space="preserve"> Large symbols and error bars show habitat means ± SE, and small symbols show independent sediment cores for bare flats (n = 3), the restored meadow (n = 7) and the pooled natural reference (n = 8). The shaded column identifies the author-defined primary treatment, in which the thickness-weighted mean organic-carbon concentration measured below 50 cm was extended to 100 cm. Alternative treatments carried forward the terminal measured concentration, applied the thickness-weighted mean below 40 cm, or used the minimum and maximum concentrations observed at or below 40 cm as deterministic bounds. Profiles measured to 100 cm were unchanged across treatments. Source data are provided as a Source Data file.</w:t>
      </w:r>
    </w:p>
    <w:p w14:paraId="6E9A7A3E" w14:textId="77777777" w:rsidR="000B7D71" w:rsidRDefault="000B7D71">
      <w:pPr>
        <w:widowControl/>
        <w:spacing w:after="160" w:line="278" w:lineRule="auto"/>
        <w:ind w:firstLineChars="0" w:firstLine="0"/>
        <w:rPr>
          <w:rFonts w:ascii="Arial" w:hAnsi="Arial" w:cs="Arial"/>
          <w:sz w:val="21"/>
          <w:szCs w:val="21"/>
        </w:rPr>
      </w:pPr>
      <w:r>
        <w:rPr>
          <w:rFonts w:ascii="Arial" w:hAnsi="Arial" w:cs="Arial"/>
          <w:sz w:val="21"/>
          <w:szCs w:val="21"/>
        </w:rPr>
        <w:br w:type="page"/>
      </w:r>
    </w:p>
    <w:p w14:paraId="3BC8015B" w14:textId="10507EE0" w:rsidR="00D26775" w:rsidRDefault="00812C35" w:rsidP="000B7D71">
      <w:pPr>
        <w:adjustRightInd w:val="0"/>
        <w:snapToGrid w:val="0"/>
        <w:spacing w:afterLines="50" w:after="156" w:line="240" w:lineRule="auto"/>
        <w:ind w:firstLineChars="0" w:firstLine="0"/>
        <w:jc w:val="both"/>
      </w:pPr>
      <w:r w:rsidRPr="00812C35">
        <w:rPr>
          <w:noProof/>
        </w:rPr>
        <w:lastRenderedPageBreak/>
        <w:drawing>
          <wp:inline distT="0" distB="0" distL="0" distR="0" wp14:anchorId="7B1FFE56" wp14:editId="64C0C3A6">
            <wp:extent cx="5274310" cy="3465830"/>
            <wp:effectExtent l="0" t="0" r="2540" b="1270"/>
            <wp:docPr id="5674445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44502" name=""/>
                    <pic:cNvPicPr/>
                  </pic:nvPicPr>
                  <pic:blipFill>
                    <a:blip r:embed="rId11"/>
                    <a:stretch>
                      <a:fillRect/>
                    </a:stretch>
                  </pic:blipFill>
                  <pic:spPr>
                    <a:xfrm>
                      <a:off x="0" y="0"/>
                      <a:ext cx="5274310" cy="3465830"/>
                    </a:xfrm>
                    <a:prstGeom prst="rect">
                      <a:avLst/>
                    </a:prstGeom>
                  </pic:spPr>
                </pic:pic>
              </a:graphicData>
            </a:graphic>
          </wp:inline>
        </w:drawing>
      </w:r>
    </w:p>
    <w:p w14:paraId="02E8DF39" w14:textId="7C1635CC" w:rsidR="00D26775" w:rsidRPr="009A11E6" w:rsidRDefault="002E0E0C" w:rsidP="00D26775">
      <w:pPr>
        <w:adjustRightInd w:val="0"/>
        <w:snapToGrid w:val="0"/>
        <w:spacing w:afterLines="50" w:after="156" w:line="276" w:lineRule="auto"/>
        <w:ind w:firstLineChars="0" w:firstLine="0"/>
        <w:jc w:val="both"/>
        <w:rPr>
          <w:rFonts w:ascii="Arial" w:hAnsi="Arial" w:cs="Arial"/>
          <w:sz w:val="21"/>
          <w:szCs w:val="21"/>
        </w:rPr>
      </w:pPr>
      <w:r w:rsidRPr="002E0E0C">
        <w:rPr>
          <w:rFonts w:ascii="Arial" w:hAnsi="Arial" w:cs="Arial"/>
          <w:b/>
          <w:bCs/>
          <w:sz w:val="21"/>
          <w:szCs w:val="21"/>
        </w:rPr>
        <w:t>Supplementary Figure</w:t>
      </w:r>
      <w:r w:rsidR="00D26775" w:rsidRPr="00E5402A">
        <w:rPr>
          <w:rFonts w:ascii="Arial" w:hAnsi="Arial" w:cs="Arial"/>
          <w:b/>
          <w:bCs/>
          <w:sz w:val="21"/>
          <w:szCs w:val="21"/>
        </w:rPr>
        <w:t xml:space="preserve"> S</w:t>
      </w:r>
      <w:r w:rsidR="00D26775">
        <w:rPr>
          <w:rFonts w:ascii="Arial" w:hAnsi="Arial" w:cs="Arial" w:hint="eastAsia"/>
          <w:b/>
          <w:bCs/>
          <w:sz w:val="21"/>
          <w:szCs w:val="21"/>
        </w:rPr>
        <w:t>5</w:t>
      </w:r>
      <w:r w:rsidR="00D26775" w:rsidRPr="00E5402A">
        <w:rPr>
          <w:rFonts w:ascii="Arial" w:hAnsi="Arial" w:cs="Arial"/>
          <w:b/>
          <w:bCs/>
          <w:sz w:val="21"/>
          <w:szCs w:val="21"/>
        </w:rPr>
        <w:t xml:space="preserve"> | Station-level vegetation structure and living-vegetation carbon stocks in the restored meadow and natural reference.</w:t>
      </w:r>
      <w:r w:rsidR="00D26775">
        <w:rPr>
          <w:rFonts w:ascii="Arial" w:hAnsi="Arial" w:cs="Arial" w:hint="eastAsia"/>
          <w:sz w:val="21"/>
          <w:szCs w:val="21"/>
        </w:rPr>
        <w:t xml:space="preserve"> </w:t>
      </w:r>
      <w:r w:rsidR="00D26775" w:rsidRPr="00F11C58">
        <w:rPr>
          <w:rFonts w:ascii="Arial" w:hAnsi="Arial" w:cs="Arial"/>
          <w:sz w:val="21"/>
          <w:szCs w:val="21"/>
        </w:rPr>
        <w:t>a–c, Year-resolved distributions of shoot density, canopy cover and total living-vegetation carbon stock, respectively, for the spatially distributed natural-reference survey conducted in 2021 (n=6</w:t>
      </w:r>
      <w:r w:rsidR="00D26775">
        <w:rPr>
          <w:rFonts w:ascii="Arial" w:hAnsi="Arial" w:cs="Arial" w:hint="eastAsia"/>
          <w:sz w:val="21"/>
          <w:szCs w:val="21"/>
        </w:rPr>
        <w:t>)</w:t>
      </w:r>
      <w:r w:rsidR="00D26775" w:rsidRPr="00F11C58">
        <w:rPr>
          <w:rFonts w:ascii="Arial" w:hAnsi="Arial" w:cs="Arial"/>
          <w:sz w:val="21"/>
          <w:szCs w:val="21"/>
        </w:rPr>
        <w:t>, the restored meadow sampled in 2024 (n=7), and the targeted dense natural-reference patches sampled in 2024 (n=2). d–f, Corresponding comparisons between the restored meadow and the pooled natural reference, in which observations from the two natural-meadow surveys were combined (n=8) according to the primary analytical design. Small symbols denote independent sampling stations; diamonds and error bars show means ± SE. Total living-vegetation carbon represents the sum of above- and belowground biomass carbon stocks. The year-resolved panels are presented to characterize the spatial vegetation context of the natural reference and are not interpreted as tests of temporal change.</w:t>
      </w:r>
    </w:p>
    <w:p w14:paraId="18D45485" w14:textId="77777777" w:rsidR="00D26775" w:rsidRPr="00D26775" w:rsidRDefault="00D26775" w:rsidP="00D855E4">
      <w:pPr>
        <w:adjustRightInd w:val="0"/>
        <w:snapToGrid w:val="0"/>
        <w:spacing w:beforeLines="50" w:before="156" w:line="276" w:lineRule="auto"/>
        <w:ind w:firstLineChars="0" w:firstLine="0"/>
        <w:jc w:val="both"/>
      </w:pPr>
    </w:p>
    <w:p w14:paraId="70B6CFDD" w14:textId="771F6DE6" w:rsidR="00EF667E" w:rsidRDefault="00C71F96" w:rsidP="0016545A">
      <w:pPr>
        <w:adjustRightInd w:val="0"/>
        <w:snapToGrid w:val="0"/>
        <w:spacing w:line="240" w:lineRule="auto"/>
        <w:ind w:firstLineChars="0" w:firstLine="0"/>
      </w:pPr>
      <w:r w:rsidRPr="00C71F96">
        <w:rPr>
          <w:noProof/>
        </w:rPr>
        <w:lastRenderedPageBreak/>
        <w:drawing>
          <wp:inline distT="0" distB="0" distL="0" distR="0" wp14:anchorId="0BC815C8" wp14:editId="112C2BB6">
            <wp:extent cx="5274310" cy="3168015"/>
            <wp:effectExtent l="0" t="0" r="2540" b="0"/>
            <wp:docPr id="15650455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45503" name=""/>
                    <pic:cNvPicPr/>
                  </pic:nvPicPr>
                  <pic:blipFill>
                    <a:blip r:embed="rId12"/>
                    <a:stretch>
                      <a:fillRect/>
                    </a:stretch>
                  </pic:blipFill>
                  <pic:spPr>
                    <a:xfrm>
                      <a:off x="0" y="0"/>
                      <a:ext cx="5274310" cy="3168015"/>
                    </a:xfrm>
                    <a:prstGeom prst="rect">
                      <a:avLst/>
                    </a:prstGeom>
                  </pic:spPr>
                </pic:pic>
              </a:graphicData>
            </a:graphic>
          </wp:inline>
        </w:drawing>
      </w:r>
    </w:p>
    <w:p w14:paraId="0AA54143" w14:textId="4151D99D" w:rsidR="00CA1747" w:rsidRDefault="002E0E0C" w:rsidP="00E865C9">
      <w:pPr>
        <w:adjustRightInd w:val="0"/>
        <w:snapToGrid w:val="0"/>
        <w:spacing w:beforeLines="50" w:before="156" w:afterLines="50" w:after="156" w:line="276" w:lineRule="auto"/>
        <w:ind w:firstLineChars="0" w:firstLine="0"/>
        <w:jc w:val="both"/>
        <w:rPr>
          <w:rFonts w:ascii="Arial" w:hAnsi="Arial" w:cs="Arial"/>
          <w:sz w:val="21"/>
          <w:szCs w:val="21"/>
        </w:rPr>
      </w:pPr>
      <w:r w:rsidRPr="002E0E0C">
        <w:rPr>
          <w:rFonts w:ascii="Arial" w:hAnsi="Arial" w:cs="Arial"/>
          <w:b/>
          <w:bCs/>
          <w:sz w:val="21"/>
          <w:szCs w:val="21"/>
        </w:rPr>
        <w:t>Supplementary Figure</w:t>
      </w:r>
      <w:r w:rsidR="00C71F96" w:rsidRPr="00C71F96">
        <w:rPr>
          <w:rFonts w:ascii="Arial" w:hAnsi="Arial" w:cs="Arial"/>
          <w:b/>
          <w:bCs/>
          <w:sz w:val="21"/>
          <w:szCs w:val="21"/>
        </w:rPr>
        <w:t xml:space="preserve"> S6 | Sensitivity of the 30-year valuation of sedimentary carbon accumulation to the social discount rate. </w:t>
      </w:r>
      <w:r w:rsidR="00C71F96" w:rsidRPr="00C71F96">
        <w:rPr>
          <w:rFonts w:ascii="Arial" w:hAnsi="Arial" w:cs="Arial"/>
          <w:sz w:val="21"/>
          <w:szCs w:val="21"/>
        </w:rPr>
        <w:t>Cumulative present values of potential carbon-credit revenue under constant-price, moderate-appreciation and premium-pricing scenarios (a), and the societal climate benefit valued using the social cost of carbon (b), were calculated using annual discount rates of 2.0%, 4.5% and 8.0%. The 4.5% rate represents the baseline model. Bars show central estimates and error bars indicate ±1 propagated SE arising from the CFCS regression slope and the station-level mean sediment organic-carbon density.</w:t>
      </w:r>
    </w:p>
    <w:p w14:paraId="263DFEF5" w14:textId="77777777" w:rsidR="00CA1747" w:rsidRDefault="00CA1747">
      <w:pPr>
        <w:widowControl/>
        <w:spacing w:after="160" w:line="278" w:lineRule="auto"/>
        <w:ind w:firstLineChars="0" w:firstLine="0"/>
        <w:rPr>
          <w:rFonts w:ascii="Arial" w:hAnsi="Arial" w:cs="Arial"/>
          <w:sz w:val="21"/>
          <w:szCs w:val="21"/>
        </w:rPr>
      </w:pPr>
      <w:r>
        <w:rPr>
          <w:rFonts w:ascii="Arial" w:hAnsi="Arial" w:cs="Arial"/>
          <w:sz w:val="21"/>
          <w:szCs w:val="21"/>
        </w:rPr>
        <w:br w:type="page"/>
      </w:r>
    </w:p>
    <w:tbl>
      <w:tblPr>
        <w:tblStyle w:val="11"/>
        <w:tblW w:w="11057" w:type="dxa"/>
        <w:jc w:val="center"/>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gridCol w:w="2552"/>
        <w:gridCol w:w="1843"/>
        <w:gridCol w:w="2126"/>
      </w:tblGrid>
      <w:tr w:rsidR="006127B3" w:rsidRPr="006A21CF" w14:paraId="6D899DD9" w14:textId="77777777" w:rsidTr="00577D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57" w:type="dxa"/>
            <w:gridSpan w:val="5"/>
            <w:tcBorders>
              <w:top w:val="nil"/>
              <w:bottom w:val="single" w:sz="8" w:space="0" w:color="D9D9D9" w:themeColor="background1" w:themeShade="D9"/>
            </w:tcBorders>
          </w:tcPr>
          <w:p w14:paraId="717696F1" w14:textId="16930328" w:rsidR="006127B3" w:rsidRPr="006841E7" w:rsidRDefault="002E0E0C" w:rsidP="006127B3">
            <w:pPr>
              <w:adjustRightInd w:val="0"/>
              <w:snapToGrid w:val="0"/>
              <w:spacing w:line="276" w:lineRule="auto"/>
              <w:ind w:firstLineChars="0" w:firstLine="0"/>
              <w:jc w:val="both"/>
              <w:rPr>
                <w:rFonts w:ascii="Arial" w:hAnsi="Arial" w:cs="Arial"/>
                <w:sz w:val="21"/>
                <w:szCs w:val="21"/>
              </w:rPr>
            </w:pPr>
            <w:bookmarkStart w:id="2" w:name="OLE_LINK46"/>
            <w:r w:rsidRPr="006841E7">
              <w:rPr>
                <w:rFonts w:ascii="Arial" w:hAnsi="Arial" w:cs="Arial"/>
                <w:sz w:val="21"/>
                <w:szCs w:val="21"/>
              </w:rPr>
              <w:lastRenderedPageBreak/>
              <w:t>Supplementary</w:t>
            </w:r>
            <w:bookmarkEnd w:id="2"/>
            <w:r w:rsidRPr="006841E7">
              <w:rPr>
                <w:rFonts w:ascii="Arial" w:hAnsi="Arial" w:cs="Arial" w:hint="eastAsia"/>
                <w:sz w:val="21"/>
                <w:szCs w:val="21"/>
              </w:rPr>
              <w:t xml:space="preserve"> </w:t>
            </w:r>
            <w:r w:rsidR="006127B3" w:rsidRPr="006841E7">
              <w:rPr>
                <w:rFonts w:ascii="Arial" w:hAnsi="Arial" w:cs="Arial"/>
                <w:sz w:val="21"/>
                <w:szCs w:val="21"/>
              </w:rPr>
              <w:t>Table S</w:t>
            </w:r>
            <w:r w:rsidR="00BC45B4" w:rsidRPr="006841E7">
              <w:rPr>
                <w:rFonts w:ascii="Arial" w:hAnsi="Arial" w:cs="Arial" w:hint="eastAsia"/>
                <w:sz w:val="21"/>
                <w:szCs w:val="21"/>
              </w:rPr>
              <w:t>1</w:t>
            </w:r>
            <w:r w:rsidR="006127B3" w:rsidRPr="006841E7">
              <w:rPr>
                <w:rFonts w:ascii="Arial" w:hAnsi="Arial" w:cs="Arial"/>
                <w:sz w:val="21"/>
                <w:szCs w:val="21"/>
              </w:rPr>
              <w:t xml:space="preserve"> | Scenario assumptions and 30-year present values of sedimentary carbon burial in restored seagrass meadows.</w:t>
            </w:r>
          </w:p>
        </w:tc>
      </w:tr>
      <w:tr w:rsidR="006127B3" w:rsidRPr="006A21CF" w14:paraId="05EE007B" w14:textId="77777777" w:rsidTr="007E7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8" w:space="0" w:color="D9D9D9" w:themeColor="background1" w:themeShade="D9"/>
            </w:tcBorders>
            <w:vAlign w:val="center"/>
          </w:tcPr>
          <w:p w14:paraId="5379893D" w14:textId="77777777" w:rsidR="006127B3" w:rsidRPr="00C7196D" w:rsidRDefault="006127B3" w:rsidP="0099597C">
            <w:pPr>
              <w:adjustRightInd w:val="0"/>
              <w:snapToGrid w:val="0"/>
              <w:spacing w:line="276" w:lineRule="auto"/>
              <w:ind w:firstLineChars="0" w:firstLine="0"/>
              <w:jc w:val="both"/>
              <w:rPr>
                <w:rFonts w:ascii="Arial" w:hAnsi="Arial" w:cs="Arial"/>
                <w:sz w:val="18"/>
                <w:szCs w:val="18"/>
              </w:rPr>
            </w:pPr>
            <w:r w:rsidRPr="00C7196D">
              <w:rPr>
                <w:rFonts w:ascii="Arial" w:hAnsi="Arial" w:cs="Arial"/>
                <w:sz w:val="18"/>
                <w:szCs w:val="18"/>
              </w:rPr>
              <w:t>Valuation scenario</w:t>
            </w:r>
          </w:p>
        </w:tc>
        <w:tc>
          <w:tcPr>
            <w:tcW w:w="1984" w:type="dxa"/>
            <w:tcBorders>
              <w:top w:val="single" w:sz="8" w:space="0" w:color="D9D9D9" w:themeColor="background1" w:themeShade="D9"/>
            </w:tcBorders>
            <w:vAlign w:val="center"/>
          </w:tcPr>
          <w:p w14:paraId="7892C94A" w14:textId="77777777" w:rsidR="006127B3" w:rsidRPr="00C7196D" w:rsidRDefault="006127B3" w:rsidP="0099597C">
            <w:pPr>
              <w:adjustRightInd w:val="0"/>
              <w:snapToGrid w:val="0"/>
              <w:spacing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C7196D">
              <w:rPr>
                <w:rFonts w:ascii="Arial" w:hAnsi="Arial" w:cs="Arial"/>
                <w:b/>
                <w:bCs/>
                <w:sz w:val="18"/>
                <w:szCs w:val="18"/>
              </w:rPr>
              <w:t>Valuation basis</w:t>
            </w:r>
          </w:p>
        </w:tc>
        <w:tc>
          <w:tcPr>
            <w:tcW w:w="2552" w:type="dxa"/>
            <w:tcBorders>
              <w:top w:val="single" w:sz="8" w:space="0" w:color="D9D9D9" w:themeColor="background1" w:themeShade="D9"/>
            </w:tcBorders>
            <w:vAlign w:val="center"/>
          </w:tcPr>
          <w:p w14:paraId="32411DCF" w14:textId="77777777" w:rsidR="006127B3" w:rsidRPr="00C7196D" w:rsidRDefault="006127B3" w:rsidP="0099597C">
            <w:pPr>
              <w:adjustRightInd w:val="0"/>
              <w:snapToGrid w:val="0"/>
              <w:spacing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C7196D">
              <w:rPr>
                <w:rFonts w:ascii="Arial" w:hAnsi="Arial" w:cs="Arial"/>
                <w:b/>
                <w:bCs/>
                <w:sz w:val="18"/>
                <w:szCs w:val="18"/>
              </w:rPr>
              <w:t>Price assumptions</w:t>
            </w:r>
          </w:p>
        </w:tc>
        <w:tc>
          <w:tcPr>
            <w:tcW w:w="1843" w:type="dxa"/>
            <w:tcBorders>
              <w:top w:val="single" w:sz="8" w:space="0" w:color="D9D9D9" w:themeColor="background1" w:themeShade="D9"/>
            </w:tcBorders>
            <w:vAlign w:val="center"/>
          </w:tcPr>
          <w:p w14:paraId="072166D8" w14:textId="5B47D0CA" w:rsidR="006127B3" w:rsidRPr="00C7196D" w:rsidRDefault="006127B3" w:rsidP="0099597C">
            <w:pPr>
              <w:adjustRightInd w:val="0"/>
              <w:snapToGrid w:val="0"/>
              <w:spacing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C7196D">
              <w:rPr>
                <w:rFonts w:ascii="Arial" w:hAnsi="Arial" w:cs="Arial"/>
                <w:b/>
                <w:bCs/>
                <w:sz w:val="18"/>
                <w:szCs w:val="18"/>
              </w:rPr>
              <w:t>30-year present value (</w:t>
            </w:r>
            <w:r w:rsidR="00B75EF9" w:rsidRPr="00C7196D">
              <w:rPr>
                <w:rFonts w:ascii="Arial" w:hAnsi="Arial" w:cs="Arial" w:hint="eastAsia"/>
                <w:b/>
                <w:bCs/>
                <w:sz w:val="18"/>
                <w:szCs w:val="18"/>
              </w:rPr>
              <w:t xml:space="preserve">2020 </w:t>
            </w:r>
            <w:r w:rsidRPr="00C7196D">
              <w:rPr>
                <w:rFonts w:ascii="Arial" w:hAnsi="Arial" w:cs="Arial"/>
                <w:b/>
                <w:bCs/>
                <w:sz w:val="18"/>
                <w:szCs w:val="18"/>
              </w:rPr>
              <w:t>USD ha</w:t>
            </w:r>
            <w:r w:rsidRPr="00C7196D">
              <w:rPr>
                <w:rFonts w:ascii="Cambria Math" w:hAnsi="Cambria Math" w:cs="Cambria Math"/>
                <w:b/>
                <w:bCs/>
                <w:sz w:val="18"/>
                <w:szCs w:val="18"/>
              </w:rPr>
              <w:t>⁻</w:t>
            </w:r>
            <w:r w:rsidRPr="00C7196D">
              <w:rPr>
                <w:rFonts w:ascii="Arial" w:hAnsi="Arial" w:cs="Arial"/>
                <w:b/>
                <w:bCs/>
                <w:sz w:val="18"/>
                <w:szCs w:val="18"/>
              </w:rPr>
              <w:t>¹)</w:t>
            </w:r>
          </w:p>
        </w:tc>
        <w:tc>
          <w:tcPr>
            <w:tcW w:w="2126" w:type="dxa"/>
            <w:tcBorders>
              <w:top w:val="single" w:sz="8" w:space="0" w:color="D9D9D9" w:themeColor="background1" w:themeShade="D9"/>
            </w:tcBorders>
            <w:vAlign w:val="center"/>
          </w:tcPr>
          <w:p w14:paraId="27731B60" w14:textId="77777777" w:rsidR="006127B3" w:rsidRPr="00C7196D" w:rsidRDefault="006127B3" w:rsidP="0099597C">
            <w:pPr>
              <w:adjustRightInd w:val="0"/>
              <w:snapToGrid w:val="0"/>
              <w:spacing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C7196D">
              <w:rPr>
                <w:rFonts w:ascii="Arial" w:hAnsi="Arial" w:cs="Arial"/>
                <w:b/>
                <w:bCs/>
                <w:sz w:val="18"/>
                <w:szCs w:val="18"/>
              </w:rPr>
              <w:t>Interpretation</w:t>
            </w:r>
          </w:p>
        </w:tc>
      </w:tr>
      <w:tr w:rsidR="006127B3" w:rsidRPr="006A21CF" w14:paraId="520E19BB" w14:textId="77777777" w:rsidTr="00E32057">
        <w:trPr>
          <w:jc w:val="center"/>
        </w:trPr>
        <w:tc>
          <w:tcPr>
            <w:cnfStyle w:val="001000000000" w:firstRow="0" w:lastRow="0" w:firstColumn="1" w:lastColumn="0" w:oddVBand="0" w:evenVBand="0" w:oddHBand="0" w:evenHBand="0" w:firstRowFirstColumn="0" w:firstRowLastColumn="0" w:lastRowFirstColumn="0" w:lastRowLastColumn="0"/>
            <w:tcW w:w="2552" w:type="dxa"/>
          </w:tcPr>
          <w:p w14:paraId="1695108E" w14:textId="4FB117BC" w:rsidR="006127B3" w:rsidRPr="00C7196D" w:rsidRDefault="006127B3" w:rsidP="0099597C">
            <w:pPr>
              <w:adjustRightInd w:val="0"/>
              <w:snapToGrid w:val="0"/>
              <w:spacing w:line="276" w:lineRule="auto"/>
              <w:ind w:firstLineChars="0" w:firstLine="0"/>
              <w:rPr>
                <w:rFonts w:ascii="Arial" w:hAnsi="Arial" w:cs="Arial"/>
                <w:b w:val="0"/>
                <w:bCs w:val="0"/>
                <w:sz w:val="18"/>
                <w:szCs w:val="18"/>
              </w:rPr>
            </w:pPr>
            <w:r w:rsidRPr="00C7196D">
              <w:rPr>
                <w:rFonts w:ascii="Arial" w:hAnsi="Arial" w:cs="Arial"/>
                <w:b w:val="0"/>
                <w:bCs w:val="0"/>
                <w:sz w:val="18"/>
                <w:szCs w:val="18"/>
              </w:rPr>
              <w:t>A:</w:t>
            </w:r>
            <w:r w:rsidR="00383060" w:rsidRPr="00C7196D">
              <w:rPr>
                <w:rFonts w:ascii="Segoe UI" w:hAnsi="Segoe UI" w:cs="Segoe UI"/>
                <w:color w:val="24292F"/>
                <w:sz w:val="18"/>
                <w:szCs w:val="18"/>
                <w:bdr w:val="none" w:sz="0" w:space="0" w:color="auto" w:frame="1"/>
                <w:shd w:val="clear" w:color="auto" w:fill="FFFFFF"/>
              </w:rPr>
              <w:t xml:space="preserve"> </w:t>
            </w:r>
            <w:r w:rsidR="00383060" w:rsidRPr="00C7196D">
              <w:rPr>
                <w:rFonts w:ascii="Arial" w:hAnsi="Arial" w:cs="Arial"/>
                <w:b w:val="0"/>
                <w:bCs w:val="0"/>
                <w:sz w:val="18"/>
                <w:szCs w:val="18"/>
              </w:rPr>
              <w:t>Constant market price</w:t>
            </w:r>
          </w:p>
        </w:tc>
        <w:tc>
          <w:tcPr>
            <w:tcW w:w="1984" w:type="dxa"/>
          </w:tcPr>
          <w:p w14:paraId="6FA8CEF5" w14:textId="77777777" w:rsidR="006127B3" w:rsidRPr="00C7196D" w:rsidRDefault="006127B3" w:rsidP="0099597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Potential carbon-credit revenue</w:t>
            </w:r>
          </w:p>
        </w:tc>
        <w:tc>
          <w:tcPr>
            <w:tcW w:w="2552" w:type="dxa"/>
          </w:tcPr>
          <w:p w14:paraId="3A186FC3" w14:textId="71AF4263" w:rsidR="006127B3" w:rsidRPr="00C7196D" w:rsidRDefault="00383060" w:rsidP="0078271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USD 9.91 tCO</w:t>
            </w:r>
            <w:r w:rsidRPr="00C7196D">
              <w:rPr>
                <w:rFonts w:ascii="Cambria Math" w:hAnsi="Cambria Math" w:cs="Cambria Math"/>
                <w:sz w:val="18"/>
                <w:szCs w:val="18"/>
              </w:rPr>
              <w:t>₂</w:t>
            </w:r>
            <w:r w:rsidRPr="00C7196D">
              <w:rPr>
                <w:rFonts w:ascii="Arial" w:hAnsi="Arial" w:cs="Arial"/>
                <w:sz w:val="18"/>
                <w:szCs w:val="18"/>
              </w:rPr>
              <w:t>e</w:t>
            </w:r>
            <w:r w:rsidRPr="00C7196D">
              <w:rPr>
                <w:rFonts w:ascii="Cambria Math" w:hAnsi="Cambria Math" w:cs="Cambria Math"/>
                <w:sz w:val="18"/>
                <w:szCs w:val="18"/>
              </w:rPr>
              <w:t>⁻</w:t>
            </w:r>
            <w:r w:rsidRPr="00C7196D">
              <w:rPr>
                <w:rFonts w:ascii="Arial" w:hAnsi="Arial" w:cs="Arial"/>
                <w:sz w:val="18"/>
                <w:szCs w:val="18"/>
              </w:rPr>
              <w:t>¹, zero real price growth over 30 years.</w:t>
            </w:r>
          </w:p>
        </w:tc>
        <w:tc>
          <w:tcPr>
            <w:tcW w:w="1843" w:type="dxa"/>
          </w:tcPr>
          <w:p w14:paraId="56844EE6" w14:textId="5A7BBA3E" w:rsidR="006127B3" w:rsidRPr="00C7196D" w:rsidRDefault="00383060" w:rsidP="0099597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165.4 ± 19.5</w:t>
            </w:r>
          </w:p>
        </w:tc>
        <w:tc>
          <w:tcPr>
            <w:tcW w:w="2126" w:type="dxa"/>
          </w:tcPr>
          <w:p w14:paraId="2CD3BD33" w14:textId="49A151A9" w:rsidR="006127B3" w:rsidRPr="00C7196D" w:rsidRDefault="00383060" w:rsidP="0078271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Baseline evaluation using static voluntary market prices.</w:t>
            </w:r>
          </w:p>
        </w:tc>
      </w:tr>
      <w:tr w:rsidR="006127B3" w:rsidRPr="006A21CF" w14:paraId="3AEEDF02" w14:textId="77777777" w:rsidTr="00E320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Pr>
          <w:p w14:paraId="01FDEA5D" w14:textId="75D83F23" w:rsidR="006127B3" w:rsidRPr="00C7196D" w:rsidRDefault="006127B3" w:rsidP="0099597C">
            <w:pPr>
              <w:adjustRightInd w:val="0"/>
              <w:snapToGrid w:val="0"/>
              <w:spacing w:line="276" w:lineRule="auto"/>
              <w:ind w:firstLineChars="0" w:firstLine="0"/>
              <w:rPr>
                <w:rFonts w:ascii="Arial" w:hAnsi="Arial" w:cs="Arial"/>
                <w:b w:val="0"/>
                <w:bCs w:val="0"/>
                <w:sz w:val="18"/>
                <w:szCs w:val="18"/>
              </w:rPr>
            </w:pPr>
            <w:r w:rsidRPr="00C7196D">
              <w:rPr>
                <w:rFonts w:ascii="Arial" w:hAnsi="Arial" w:cs="Arial"/>
                <w:b w:val="0"/>
                <w:bCs w:val="0"/>
                <w:sz w:val="18"/>
                <w:szCs w:val="18"/>
              </w:rPr>
              <w:t xml:space="preserve">B: </w:t>
            </w:r>
            <w:r w:rsidR="00383060" w:rsidRPr="00C7196D">
              <w:rPr>
                <w:rFonts w:ascii="Arial" w:hAnsi="Arial" w:cs="Arial"/>
                <w:b w:val="0"/>
                <w:bCs w:val="0"/>
                <w:sz w:val="18"/>
                <w:szCs w:val="18"/>
              </w:rPr>
              <w:t>Moderate price appreciation</w:t>
            </w:r>
          </w:p>
        </w:tc>
        <w:tc>
          <w:tcPr>
            <w:tcW w:w="1984" w:type="dxa"/>
          </w:tcPr>
          <w:p w14:paraId="05149395" w14:textId="77777777" w:rsidR="006127B3" w:rsidRPr="00C7196D" w:rsidRDefault="006127B3" w:rsidP="0099597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Potential carbon-credit revenue</w:t>
            </w:r>
          </w:p>
        </w:tc>
        <w:tc>
          <w:tcPr>
            <w:tcW w:w="2552" w:type="dxa"/>
          </w:tcPr>
          <w:p w14:paraId="016E6B8A" w14:textId="0693C1EF" w:rsidR="006127B3" w:rsidRPr="00C7196D" w:rsidRDefault="00383060" w:rsidP="0078271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Initial price of USD 9.91 tCO</w:t>
            </w:r>
            <w:r w:rsidRPr="00C7196D">
              <w:rPr>
                <w:rFonts w:ascii="Cambria Math" w:hAnsi="Cambria Math" w:cs="Cambria Math"/>
                <w:sz w:val="18"/>
                <w:szCs w:val="18"/>
              </w:rPr>
              <w:t>₂</w:t>
            </w:r>
            <w:r w:rsidRPr="00C7196D">
              <w:rPr>
                <w:rFonts w:ascii="Arial" w:hAnsi="Arial" w:cs="Arial"/>
                <w:sz w:val="18"/>
                <w:szCs w:val="18"/>
              </w:rPr>
              <w:t>e</w:t>
            </w:r>
            <w:r w:rsidRPr="00C7196D">
              <w:rPr>
                <w:rFonts w:ascii="Cambria Math" w:hAnsi="Cambria Math" w:cs="Cambria Math"/>
                <w:sz w:val="18"/>
                <w:szCs w:val="18"/>
              </w:rPr>
              <w:t>⁻</w:t>
            </w:r>
            <w:r w:rsidRPr="00C7196D">
              <w:rPr>
                <w:rFonts w:ascii="Arial" w:hAnsi="Arial" w:cs="Arial"/>
                <w:sz w:val="18"/>
                <w:szCs w:val="18"/>
              </w:rPr>
              <w:t>¹, applying a systemic 1.5% yr</w:t>
            </w:r>
            <w:r w:rsidRPr="00C7196D">
              <w:rPr>
                <w:rFonts w:ascii="Cambria Math" w:hAnsi="Cambria Math" w:cs="Cambria Math"/>
                <w:sz w:val="18"/>
                <w:szCs w:val="18"/>
              </w:rPr>
              <w:t>⁻</w:t>
            </w:r>
            <w:r w:rsidRPr="00C7196D">
              <w:rPr>
                <w:rFonts w:ascii="Arial" w:hAnsi="Arial" w:cs="Arial"/>
                <w:sz w:val="18"/>
                <w:szCs w:val="18"/>
              </w:rPr>
              <w:t>¹ real appreciation from year 2.</w:t>
            </w:r>
          </w:p>
        </w:tc>
        <w:tc>
          <w:tcPr>
            <w:tcW w:w="1843" w:type="dxa"/>
          </w:tcPr>
          <w:p w14:paraId="04203E48" w14:textId="64DFB181" w:rsidR="006127B3" w:rsidRPr="00C7196D" w:rsidRDefault="00383060" w:rsidP="0099597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197.3 ± 23.3</w:t>
            </w:r>
          </w:p>
        </w:tc>
        <w:tc>
          <w:tcPr>
            <w:tcW w:w="2126" w:type="dxa"/>
          </w:tcPr>
          <w:p w14:paraId="6401FA5E" w14:textId="13152DE1" w:rsidR="006127B3" w:rsidRPr="00C7196D" w:rsidRDefault="00383060" w:rsidP="0078271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Valuation tracking macro-market tightening using the BCCT default.</w:t>
            </w:r>
          </w:p>
        </w:tc>
      </w:tr>
      <w:tr w:rsidR="006127B3" w:rsidRPr="006A21CF" w14:paraId="54CD6DCC" w14:textId="77777777" w:rsidTr="00E32057">
        <w:trPr>
          <w:jc w:val="center"/>
        </w:trPr>
        <w:tc>
          <w:tcPr>
            <w:cnfStyle w:val="001000000000" w:firstRow="0" w:lastRow="0" w:firstColumn="1" w:lastColumn="0" w:oddVBand="0" w:evenVBand="0" w:oddHBand="0" w:evenHBand="0" w:firstRowFirstColumn="0" w:firstRowLastColumn="0" w:lastRowFirstColumn="0" w:lastRowLastColumn="0"/>
            <w:tcW w:w="2552" w:type="dxa"/>
          </w:tcPr>
          <w:p w14:paraId="78EE2C7C" w14:textId="1FF29E01" w:rsidR="006127B3" w:rsidRPr="00C7196D" w:rsidRDefault="006127B3" w:rsidP="0099597C">
            <w:pPr>
              <w:adjustRightInd w:val="0"/>
              <w:snapToGrid w:val="0"/>
              <w:spacing w:line="276" w:lineRule="auto"/>
              <w:ind w:firstLineChars="0" w:firstLine="0"/>
              <w:rPr>
                <w:rFonts w:ascii="Arial" w:hAnsi="Arial" w:cs="Arial"/>
                <w:b w:val="0"/>
                <w:bCs w:val="0"/>
                <w:sz w:val="18"/>
                <w:szCs w:val="18"/>
              </w:rPr>
            </w:pPr>
            <w:r w:rsidRPr="00C7196D">
              <w:rPr>
                <w:rFonts w:ascii="Arial" w:hAnsi="Arial" w:cs="Arial"/>
                <w:b w:val="0"/>
                <w:bCs w:val="0"/>
                <w:sz w:val="18"/>
                <w:szCs w:val="18"/>
              </w:rPr>
              <w:t xml:space="preserve">C: </w:t>
            </w:r>
            <w:r w:rsidR="00383060" w:rsidRPr="00C7196D">
              <w:rPr>
                <w:rFonts w:ascii="Arial" w:hAnsi="Arial" w:cs="Arial"/>
                <w:b w:val="0"/>
                <w:bCs w:val="0"/>
                <w:sz w:val="18"/>
                <w:szCs w:val="18"/>
              </w:rPr>
              <w:t>Premium blue-carbon price</w:t>
            </w:r>
          </w:p>
        </w:tc>
        <w:tc>
          <w:tcPr>
            <w:tcW w:w="1984" w:type="dxa"/>
          </w:tcPr>
          <w:p w14:paraId="642D8C4D" w14:textId="77777777" w:rsidR="006127B3" w:rsidRPr="00C7196D" w:rsidRDefault="006127B3" w:rsidP="0099597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Potential carbon-credit revenue</w:t>
            </w:r>
          </w:p>
        </w:tc>
        <w:tc>
          <w:tcPr>
            <w:tcW w:w="2552" w:type="dxa"/>
          </w:tcPr>
          <w:p w14:paraId="426C5E88" w14:textId="597910AB" w:rsidR="006127B3" w:rsidRPr="00C7196D" w:rsidRDefault="00383060" w:rsidP="0078271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Initial premium price of USD 26.03 tCO</w:t>
            </w:r>
            <w:r w:rsidRPr="00C7196D">
              <w:rPr>
                <w:rFonts w:ascii="Cambria Math" w:hAnsi="Cambria Math" w:cs="Cambria Math"/>
                <w:sz w:val="18"/>
                <w:szCs w:val="18"/>
              </w:rPr>
              <w:t>₂</w:t>
            </w:r>
            <w:r w:rsidRPr="00C7196D">
              <w:rPr>
                <w:rFonts w:ascii="Arial" w:hAnsi="Arial" w:cs="Arial"/>
                <w:sz w:val="18"/>
                <w:szCs w:val="18"/>
              </w:rPr>
              <w:t>e</w:t>
            </w:r>
            <w:r w:rsidRPr="00C7196D">
              <w:rPr>
                <w:rFonts w:ascii="Cambria Math" w:hAnsi="Cambria Math" w:cs="Cambria Math"/>
                <w:sz w:val="18"/>
                <w:szCs w:val="18"/>
              </w:rPr>
              <w:t>⁻</w:t>
            </w:r>
            <w:r w:rsidRPr="00C7196D">
              <w:rPr>
                <w:rFonts w:ascii="Arial" w:hAnsi="Arial" w:cs="Arial"/>
                <w:sz w:val="18"/>
                <w:szCs w:val="18"/>
              </w:rPr>
              <w:t>¹, applying the same systemic 1.5% yr</w:t>
            </w:r>
            <w:r w:rsidRPr="00C7196D">
              <w:rPr>
                <w:rFonts w:ascii="Cambria Math" w:hAnsi="Cambria Math" w:cs="Cambria Math"/>
                <w:sz w:val="18"/>
                <w:szCs w:val="18"/>
              </w:rPr>
              <w:t>⁻</w:t>
            </w:r>
            <w:r w:rsidRPr="00C7196D">
              <w:rPr>
                <w:rFonts w:ascii="Arial" w:hAnsi="Arial" w:cs="Arial"/>
                <w:sz w:val="18"/>
                <w:szCs w:val="18"/>
              </w:rPr>
              <w:t>¹ real appreciation.</w:t>
            </w:r>
          </w:p>
        </w:tc>
        <w:tc>
          <w:tcPr>
            <w:tcW w:w="1843" w:type="dxa"/>
          </w:tcPr>
          <w:p w14:paraId="52736B36" w14:textId="49C04F52" w:rsidR="006127B3" w:rsidRPr="00C7196D" w:rsidRDefault="00383060" w:rsidP="0099597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518.1 ± 61.2</w:t>
            </w:r>
          </w:p>
        </w:tc>
        <w:tc>
          <w:tcPr>
            <w:tcW w:w="2126" w:type="dxa"/>
          </w:tcPr>
          <w:p w14:paraId="30E4CE5C" w14:textId="572C94A8" w:rsidR="006127B3" w:rsidRPr="00C7196D" w:rsidRDefault="00383060" w:rsidP="0078271C">
            <w:pPr>
              <w:adjustRightInd w:val="0"/>
              <w:snapToGrid w:val="0"/>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7196D">
              <w:rPr>
                <w:rFonts w:ascii="Arial" w:hAnsi="Arial" w:cs="Arial"/>
                <w:sz w:val="18"/>
                <w:szCs w:val="18"/>
              </w:rPr>
              <w:t>Realistic projection of high-quality blue carbon asset value.</w:t>
            </w:r>
          </w:p>
        </w:tc>
      </w:tr>
      <w:tr w:rsidR="006127B3" w:rsidRPr="006A21CF" w14:paraId="2918E20D" w14:textId="77777777" w:rsidTr="007E71A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single" w:sz="8" w:space="0" w:color="D9D9D9" w:themeColor="background1" w:themeShade="D9"/>
            </w:tcBorders>
          </w:tcPr>
          <w:p w14:paraId="67FA04CC" w14:textId="00F11EA9" w:rsidR="006127B3" w:rsidRPr="00C7196D" w:rsidRDefault="00383060" w:rsidP="0099597C">
            <w:pPr>
              <w:adjustRightInd w:val="0"/>
              <w:snapToGrid w:val="0"/>
              <w:spacing w:line="276" w:lineRule="auto"/>
              <w:ind w:firstLineChars="0" w:firstLine="0"/>
              <w:rPr>
                <w:rFonts w:ascii="Arial" w:hAnsi="Arial" w:cs="Arial"/>
                <w:b w:val="0"/>
                <w:bCs w:val="0"/>
                <w:sz w:val="18"/>
                <w:szCs w:val="18"/>
              </w:rPr>
            </w:pPr>
            <w:r w:rsidRPr="00C7196D">
              <w:rPr>
                <w:rFonts w:ascii="Arial" w:hAnsi="Arial" w:cs="Arial"/>
                <w:b w:val="0"/>
                <w:bCs w:val="0"/>
                <w:sz w:val="18"/>
                <w:szCs w:val="18"/>
              </w:rPr>
              <w:t>SCC-based valuation</w:t>
            </w:r>
          </w:p>
        </w:tc>
        <w:tc>
          <w:tcPr>
            <w:tcW w:w="1984" w:type="dxa"/>
            <w:tcBorders>
              <w:bottom w:val="single" w:sz="8" w:space="0" w:color="D9D9D9" w:themeColor="background1" w:themeShade="D9"/>
            </w:tcBorders>
          </w:tcPr>
          <w:p w14:paraId="7D96F034" w14:textId="77777777" w:rsidR="006127B3" w:rsidRPr="00C7196D" w:rsidRDefault="006127B3" w:rsidP="0099597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Avoided global climate damages</w:t>
            </w:r>
          </w:p>
        </w:tc>
        <w:tc>
          <w:tcPr>
            <w:tcW w:w="2552" w:type="dxa"/>
            <w:tcBorders>
              <w:bottom w:val="single" w:sz="8" w:space="0" w:color="D9D9D9" w:themeColor="background1" w:themeShade="D9"/>
            </w:tcBorders>
          </w:tcPr>
          <w:p w14:paraId="228A02E3" w14:textId="787647C2" w:rsidR="006127B3" w:rsidRPr="00C7196D" w:rsidRDefault="00383060" w:rsidP="0078271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USD 185 tCO</w:t>
            </w:r>
            <w:r w:rsidRPr="00C7196D">
              <w:rPr>
                <w:rFonts w:ascii="Cambria Math" w:hAnsi="Cambria Math" w:cs="Cambria Math"/>
                <w:sz w:val="18"/>
                <w:szCs w:val="18"/>
              </w:rPr>
              <w:t>₂</w:t>
            </w:r>
            <w:r w:rsidRPr="00C7196D">
              <w:rPr>
                <w:rFonts w:ascii="Arial" w:hAnsi="Arial" w:cs="Arial"/>
                <w:sz w:val="18"/>
                <w:szCs w:val="18"/>
              </w:rPr>
              <w:t>e</w:t>
            </w:r>
            <w:r w:rsidRPr="00C7196D">
              <w:rPr>
                <w:rFonts w:ascii="Cambria Math" w:hAnsi="Cambria Math" w:cs="Cambria Math"/>
                <w:sz w:val="18"/>
                <w:szCs w:val="18"/>
              </w:rPr>
              <w:t>⁻</w:t>
            </w:r>
            <w:r w:rsidRPr="00C7196D">
              <w:rPr>
                <w:rFonts w:ascii="Arial" w:hAnsi="Arial" w:cs="Arial"/>
                <w:sz w:val="18"/>
                <w:szCs w:val="18"/>
              </w:rPr>
              <w:t>¹, baseline held constant over 30 years.</w:t>
            </w:r>
          </w:p>
        </w:tc>
        <w:tc>
          <w:tcPr>
            <w:tcW w:w="1843" w:type="dxa"/>
            <w:tcBorders>
              <w:bottom w:val="single" w:sz="8" w:space="0" w:color="D9D9D9" w:themeColor="background1" w:themeShade="D9"/>
            </w:tcBorders>
          </w:tcPr>
          <w:p w14:paraId="239D8C05" w14:textId="1C069E17" w:rsidR="006127B3" w:rsidRPr="00C7196D" w:rsidRDefault="00383060" w:rsidP="0099597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3,088.5 ± 364.7</w:t>
            </w:r>
          </w:p>
        </w:tc>
        <w:tc>
          <w:tcPr>
            <w:tcW w:w="2126" w:type="dxa"/>
            <w:tcBorders>
              <w:bottom w:val="single" w:sz="8" w:space="0" w:color="D9D9D9" w:themeColor="background1" w:themeShade="D9"/>
            </w:tcBorders>
          </w:tcPr>
          <w:p w14:paraId="6E114F37" w14:textId="46490CE0" w:rsidR="006127B3" w:rsidRPr="00C7196D" w:rsidRDefault="00383060" w:rsidP="0078271C">
            <w:pPr>
              <w:adjustRightInd w:val="0"/>
              <w:snapToGrid w:val="0"/>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7196D">
              <w:rPr>
                <w:rFonts w:ascii="Arial" w:hAnsi="Arial" w:cs="Arial"/>
                <w:sz w:val="18"/>
                <w:szCs w:val="18"/>
              </w:rPr>
              <w:t>Monetization of avoided global climate damages.</w:t>
            </w:r>
          </w:p>
        </w:tc>
      </w:tr>
      <w:tr w:rsidR="006127B3" w:rsidRPr="006A21CF" w14:paraId="5DFDEFBB" w14:textId="77777777" w:rsidTr="007E71AE">
        <w:trPr>
          <w:jc w:val="center"/>
        </w:trPr>
        <w:tc>
          <w:tcPr>
            <w:cnfStyle w:val="001000000000" w:firstRow="0" w:lastRow="0" w:firstColumn="1" w:lastColumn="0" w:oddVBand="0" w:evenVBand="0" w:oddHBand="0" w:evenHBand="0" w:firstRowFirstColumn="0" w:firstRowLastColumn="0" w:lastRowFirstColumn="0" w:lastRowLastColumn="0"/>
            <w:tcW w:w="11057" w:type="dxa"/>
            <w:gridSpan w:val="5"/>
            <w:tcBorders>
              <w:top w:val="single" w:sz="8" w:space="0" w:color="D9D9D9" w:themeColor="background1" w:themeShade="D9"/>
            </w:tcBorders>
          </w:tcPr>
          <w:p w14:paraId="3AA4C3F2" w14:textId="212DE664" w:rsidR="008B318E" w:rsidRPr="00C7196D" w:rsidRDefault="006127B3" w:rsidP="00E32057">
            <w:pPr>
              <w:adjustRightInd w:val="0"/>
              <w:snapToGrid w:val="0"/>
              <w:spacing w:beforeLines="50" w:before="156" w:afterLines="50" w:after="156" w:line="276" w:lineRule="auto"/>
              <w:ind w:firstLineChars="0" w:firstLine="0"/>
              <w:jc w:val="both"/>
              <w:rPr>
                <w:rFonts w:ascii="Arial" w:hAnsi="Arial" w:cs="Arial"/>
                <w:sz w:val="18"/>
                <w:szCs w:val="18"/>
              </w:rPr>
            </w:pPr>
            <w:r w:rsidRPr="00C7196D">
              <w:rPr>
                <w:rFonts w:ascii="Arial" w:hAnsi="Arial" w:cs="Arial"/>
                <w:sz w:val="18"/>
                <w:szCs w:val="18"/>
              </w:rPr>
              <w:t>Notes:</w:t>
            </w:r>
            <w:r w:rsidR="009A3059" w:rsidRPr="00C7196D">
              <w:rPr>
                <w:b w:val="0"/>
                <w:bCs w:val="0"/>
                <w:sz w:val="18"/>
                <w:szCs w:val="18"/>
              </w:rPr>
              <w:t xml:space="preserve"> </w:t>
            </w:r>
            <w:r w:rsidR="009A3059" w:rsidRPr="00C7196D">
              <w:rPr>
                <w:rFonts w:ascii="Arial" w:hAnsi="Arial" w:cs="Arial"/>
                <w:b w:val="0"/>
                <w:bCs w:val="0"/>
                <w:sz w:val="18"/>
                <w:szCs w:val="18"/>
              </w:rPr>
              <w:t xml:space="preserve">All monetary inputs were expressed in constant 2020 USD. The analysis assumed an annual sedimentary carbon removal of </w:t>
            </w:r>
            <w:r w:rsidR="00C12670" w:rsidRPr="00C7196D">
              <w:rPr>
                <w:rFonts w:ascii="Arial" w:hAnsi="Arial" w:cs="Arial"/>
                <w:b w:val="0"/>
                <w:bCs w:val="0"/>
                <w:sz w:val="18"/>
                <w:szCs w:val="18"/>
              </w:rPr>
              <w:t>1.025 ± 0.121</w:t>
            </w:r>
            <w:r w:rsidR="009A3059" w:rsidRPr="00C7196D">
              <w:rPr>
                <w:rFonts w:ascii="Arial" w:hAnsi="Arial" w:cs="Arial"/>
                <w:b w:val="0"/>
                <w:bCs w:val="0"/>
                <w:sz w:val="18"/>
                <w:szCs w:val="18"/>
              </w:rPr>
              <w:t xml:space="preserve"> </w:t>
            </w:r>
            <w:proofErr w:type="spellStart"/>
            <w:r w:rsidR="009A3059" w:rsidRPr="00C7196D">
              <w:rPr>
                <w:rFonts w:ascii="Arial" w:hAnsi="Arial" w:cs="Arial"/>
                <w:b w:val="0"/>
                <w:bCs w:val="0"/>
                <w:sz w:val="18"/>
                <w:szCs w:val="18"/>
              </w:rPr>
              <w:t>CO</w:t>
            </w:r>
            <w:r w:rsidR="009A3059" w:rsidRPr="00C7196D">
              <w:rPr>
                <w:rFonts w:ascii="Cambria Math" w:hAnsi="Cambria Math" w:cs="Cambria Math"/>
                <w:b w:val="0"/>
                <w:bCs w:val="0"/>
                <w:sz w:val="18"/>
                <w:szCs w:val="18"/>
              </w:rPr>
              <w:t>₂</w:t>
            </w:r>
            <w:r w:rsidR="009A3059" w:rsidRPr="00C7196D">
              <w:rPr>
                <w:rFonts w:ascii="Arial" w:hAnsi="Arial" w:cs="Arial"/>
                <w:b w:val="0"/>
                <w:bCs w:val="0"/>
                <w:sz w:val="18"/>
                <w:szCs w:val="18"/>
              </w:rPr>
              <w:t>e</w:t>
            </w:r>
            <w:proofErr w:type="spellEnd"/>
            <w:r w:rsidR="009A3059" w:rsidRPr="00C7196D">
              <w:rPr>
                <w:rFonts w:ascii="Arial" w:hAnsi="Arial" w:cs="Arial"/>
                <w:b w:val="0"/>
                <w:bCs w:val="0"/>
                <w:sz w:val="18"/>
                <w:szCs w:val="18"/>
              </w:rPr>
              <w:t xml:space="preserve"> ha</w:t>
            </w:r>
            <w:r w:rsidR="009A3059" w:rsidRPr="00C7196D">
              <w:rPr>
                <w:rFonts w:ascii="Cambria Math" w:hAnsi="Cambria Math" w:cs="Cambria Math"/>
                <w:b w:val="0"/>
                <w:bCs w:val="0"/>
                <w:sz w:val="18"/>
                <w:szCs w:val="18"/>
              </w:rPr>
              <w:t>⁻</w:t>
            </w:r>
            <w:r w:rsidR="009A3059" w:rsidRPr="00C7196D">
              <w:rPr>
                <w:rFonts w:ascii="Arial" w:hAnsi="Arial" w:cs="Arial"/>
                <w:b w:val="0"/>
                <w:bCs w:val="0"/>
                <w:sz w:val="18"/>
                <w:szCs w:val="18"/>
              </w:rPr>
              <w:t>¹ yr</w:t>
            </w:r>
            <w:r w:rsidR="009A3059" w:rsidRPr="00C7196D">
              <w:rPr>
                <w:rFonts w:ascii="Cambria Math" w:hAnsi="Cambria Math" w:cs="Cambria Math"/>
                <w:b w:val="0"/>
                <w:bCs w:val="0"/>
                <w:sz w:val="18"/>
                <w:szCs w:val="18"/>
              </w:rPr>
              <w:t>⁻</w:t>
            </w:r>
            <w:r w:rsidR="009A3059" w:rsidRPr="00C7196D">
              <w:rPr>
                <w:rFonts w:ascii="Arial" w:hAnsi="Arial" w:cs="Arial"/>
                <w:b w:val="0"/>
                <w:bCs w:val="0"/>
                <w:sz w:val="18"/>
                <w:szCs w:val="18"/>
              </w:rPr>
              <w:t>¹ over 30 years. Present values were calculated using a baseline annual discount rate of 4.5%, with 2.0% and 8.0% evaluated in the sensitivity analysis.</w:t>
            </w:r>
            <w:bookmarkStart w:id="3" w:name="OLE_LINK41"/>
            <w:r w:rsidR="009A3059" w:rsidRPr="00C7196D">
              <w:rPr>
                <w:rFonts w:ascii="Arial" w:hAnsi="Arial" w:cs="Arial"/>
                <w:b w:val="0"/>
                <w:bCs w:val="0"/>
                <w:sz w:val="18"/>
                <w:szCs w:val="18"/>
              </w:rPr>
              <w:t xml:space="preserve"> The 1.5% annual price-appreciation rate represents the expert-informed default used by the Blue Carbon Cost Tool</w:t>
            </w:r>
            <w:r w:rsidR="00F20AAE" w:rsidRPr="00C7196D">
              <w:rPr>
                <w:rFonts w:ascii="Arial" w:hAnsi="Arial" w:cs="Arial" w:hint="eastAsia"/>
                <w:b w:val="0"/>
                <w:bCs w:val="0"/>
                <w:sz w:val="18"/>
                <w:szCs w:val="18"/>
              </w:rPr>
              <w:t xml:space="preserve"> (B</w:t>
            </w:r>
            <w:r w:rsidR="006B5892" w:rsidRPr="00C7196D">
              <w:rPr>
                <w:rFonts w:ascii="Arial" w:hAnsi="Arial" w:cs="Arial" w:hint="eastAsia"/>
                <w:b w:val="0"/>
                <w:bCs w:val="0"/>
                <w:sz w:val="18"/>
                <w:szCs w:val="18"/>
              </w:rPr>
              <w:t>C</w:t>
            </w:r>
            <w:r w:rsidR="00F20AAE" w:rsidRPr="00C7196D">
              <w:rPr>
                <w:rFonts w:ascii="Arial" w:hAnsi="Arial" w:cs="Arial" w:hint="eastAsia"/>
                <w:b w:val="0"/>
                <w:bCs w:val="0"/>
                <w:sz w:val="18"/>
                <w:szCs w:val="18"/>
              </w:rPr>
              <w:t>CT)</w:t>
            </w:r>
            <w:r w:rsidR="009A3059" w:rsidRPr="00C7196D">
              <w:rPr>
                <w:rFonts w:ascii="Arial" w:hAnsi="Arial" w:cs="Arial"/>
                <w:b w:val="0"/>
                <w:bCs w:val="0"/>
                <w:sz w:val="18"/>
                <w:szCs w:val="18"/>
              </w:rPr>
              <w:t xml:space="preserve">. </w:t>
            </w:r>
            <w:bookmarkEnd w:id="3"/>
            <w:r w:rsidR="009A3059" w:rsidRPr="00C7196D">
              <w:rPr>
                <w:rFonts w:ascii="Arial" w:hAnsi="Arial" w:cs="Arial"/>
                <w:b w:val="0"/>
                <w:bCs w:val="0"/>
                <w:sz w:val="18"/>
                <w:szCs w:val="18"/>
              </w:rPr>
              <w:t>Price trajectories, the SCC and discount rates were treated as deterministic scenario parameters. Reported uncertainties represent propagated SE associated with the estimated carbon-burial rate.</w:t>
            </w:r>
          </w:p>
        </w:tc>
      </w:tr>
    </w:tbl>
    <w:p w14:paraId="429F39BB" w14:textId="644E5A34" w:rsidR="00634FA8" w:rsidRDefault="00634FA8" w:rsidP="00C43F43">
      <w:pPr>
        <w:adjustRightInd w:val="0"/>
        <w:snapToGrid w:val="0"/>
        <w:spacing w:beforeLines="50" w:before="156" w:line="276" w:lineRule="auto"/>
        <w:ind w:firstLineChars="0" w:firstLine="0"/>
        <w:jc w:val="both"/>
        <w:rPr>
          <w:rFonts w:ascii="Arial" w:hAnsi="Arial" w:cs="Arial"/>
          <w:sz w:val="21"/>
          <w:szCs w:val="21"/>
        </w:rPr>
      </w:pPr>
    </w:p>
    <w:p w14:paraId="2CE75AA1" w14:textId="77777777" w:rsidR="00634FA8" w:rsidRDefault="00634FA8">
      <w:pPr>
        <w:widowControl/>
        <w:spacing w:after="160" w:line="278" w:lineRule="auto"/>
        <w:ind w:firstLineChars="0" w:firstLine="0"/>
        <w:rPr>
          <w:rFonts w:ascii="Arial" w:hAnsi="Arial" w:cs="Arial"/>
          <w:sz w:val="21"/>
          <w:szCs w:val="21"/>
        </w:rPr>
      </w:pPr>
      <w:r>
        <w:rPr>
          <w:rFonts w:ascii="Arial" w:hAnsi="Arial" w:cs="Arial"/>
          <w:sz w:val="21"/>
          <w:szCs w:val="21"/>
        </w:rPr>
        <w:br w:type="page"/>
      </w:r>
    </w:p>
    <w:tbl>
      <w:tblPr>
        <w:tblStyle w:val="11"/>
        <w:tblW w:w="10207" w:type="dxa"/>
        <w:tblInd w:w="-998" w:type="dxa"/>
        <w:tblBorders>
          <w:top w:val="single" w:sz="8" w:space="0" w:color="D9D9D9" w:themeColor="background1" w:themeShade="D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1594"/>
        <w:gridCol w:w="1133"/>
        <w:gridCol w:w="1880"/>
        <w:gridCol w:w="1842"/>
        <w:gridCol w:w="1276"/>
      </w:tblGrid>
      <w:tr w:rsidR="00634FA8" w14:paraId="25523704" w14:textId="77777777" w:rsidTr="00577D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gridSpan w:val="6"/>
            <w:tcBorders>
              <w:top w:val="nil"/>
              <w:bottom w:val="single" w:sz="8" w:space="0" w:color="D9D9D9" w:themeColor="background1" w:themeShade="D9"/>
            </w:tcBorders>
          </w:tcPr>
          <w:p w14:paraId="428C8EE1" w14:textId="77777777" w:rsidR="00634FA8" w:rsidRPr="006841E7" w:rsidRDefault="00634FA8" w:rsidP="00290DFC">
            <w:pPr>
              <w:adjustRightInd w:val="0"/>
              <w:snapToGrid w:val="0"/>
              <w:spacing w:line="276" w:lineRule="auto"/>
              <w:ind w:firstLineChars="0" w:firstLine="0"/>
              <w:jc w:val="both"/>
              <w:rPr>
                <w:rFonts w:ascii="Arial" w:hAnsi="Arial" w:cs="Arial"/>
                <w:sz w:val="21"/>
                <w:szCs w:val="21"/>
              </w:rPr>
            </w:pPr>
            <w:r w:rsidRPr="006841E7">
              <w:rPr>
                <w:rFonts w:ascii="Arial" w:hAnsi="Arial" w:cs="Arial"/>
                <w:sz w:val="21"/>
                <w:szCs w:val="21"/>
              </w:rPr>
              <w:lastRenderedPageBreak/>
              <w:t xml:space="preserve">Supplementary </w:t>
            </w:r>
            <w:r>
              <w:rPr>
                <w:rFonts w:ascii="Arial" w:hAnsi="Arial" w:cs="Arial" w:hint="eastAsia"/>
                <w:sz w:val="21"/>
                <w:szCs w:val="21"/>
              </w:rPr>
              <w:t xml:space="preserve">Table </w:t>
            </w:r>
            <w:r w:rsidRPr="006841E7">
              <w:rPr>
                <w:rFonts w:ascii="Arial" w:hAnsi="Arial" w:cs="Arial"/>
                <w:sz w:val="21"/>
                <w:szCs w:val="21"/>
              </w:rPr>
              <w:t>S2 | Sensitivity of standardized 0–100 cm sediment organic-carbon stocks to deep-profile extrapolation</w:t>
            </w:r>
          </w:p>
        </w:tc>
      </w:tr>
      <w:tr w:rsidR="00634FA8" w14:paraId="1D604927" w14:textId="77777777" w:rsidTr="00AF6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tcBorders>
              <w:top w:val="single" w:sz="8" w:space="0" w:color="D9D9D9" w:themeColor="background1" w:themeShade="D9"/>
            </w:tcBorders>
            <w:vAlign w:val="center"/>
          </w:tcPr>
          <w:p w14:paraId="5E154FCB" w14:textId="77777777" w:rsidR="00634FA8" w:rsidRPr="009306AF" w:rsidRDefault="00634FA8" w:rsidP="00634FA8">
            <w:pPr>
              <w:adjustRightInd w:val="0"/>
              <w:snapToGrid w:val="0"/>
              <w:spacing w:line="240" w:lineRule="auto"/>
              <w:ind w:firstLineChars="0" w:firstLine="0"/>
              <w:jc w:val="both"/>
              <w:rPr>
                <w:rFonts w:ascii="Arial" w:hAnsi="Arial" w:cs="Arial"/>
                <w:sz w:val="18"/>
                <w:szCs w:val="18"/>
              </w:rPr>
            </w:pPr>
            <w:r w:rsidRPr="009306AF">
              <w:rPr>
                <w:rFonts w:ascii="Arial" w:hAnsi="Arial" w:cs="Arial"/>
                <w:sz w:val="18"/>
                <w:szCs w:val="18"/>
              </w:rPr>
              <w:t>Deep-layer treatment</w:t>
            </w:r>
          </w:p>
        </w:tc>
        <w:tc>
          <w:tcPr>
            <w:tcW w:w="1594" w:type="dxa"/>
            <w:tcBorders>
              <w:top w:val="single" w:sz="8" w:space="0" w:color="D9D9D9" w:themeColor="background1" w:themeShade="D9"/>
            </w:tcBorders>
            <w:vAlign w:val="center"/>
          </w:tcPr>
          <w:p w14:paraId="7A1D92AF" w14:textId="77777777"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 xml:space="preserve">Bare flat, </w:t>
            </w:r>
          </w:p>
          <w:p w14:paraId="72A3198D" w14:textId="7A0A59A2"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n = 3</w:t>
            </w:r>
          </w:p>
        </w:tc>
        <w:tc>
          <w:tcPr>
            <w:tcW w:w="1133" w:type="dxa"/>
            <w:tcBorders>
              <w:top w:val="single" w:sz="8" w:space="0" w:color="D9D9D9" w:themeColor="background1" w:themeShade="D9"/>
            </w:tcBorders>
            <w:vAlign w:val="center"/>
          </w:tcPr>
          <w:p w14:paraId="76182B42" w14:textId="77777777"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Restored meadow, n = 7</w:t>
            </w:r>
          </w:p>
        </w:tc>
        <w:tc>
          <w:tcPr>
            <w:tcW w:w="1880" w:type="dxa"/>
            <w:tcBorders>
              <w:top w:val="single" w:sz="8" w:space="0" w:color="D9D9D9" w:themeColor="background1" w:themeShade="D9"/>
            </w:tcBorders>
            <w:vAlign w:val="center"/>
          </w:tcPr>
          <w:p w14:paraId="6F607559" w14:textId="77777777"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 xml:space="preserve">Natural reference, </w:t>
            </w:r>
          </w:p>
          <w:p w14:paraId="184078B1" w14:textId="5B914712"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n = 8</w:t>
            </w:r>
          </w:p>
        </w:tc>
        <w:tc>
          <w:tcPr>
            <w:tcW w:w="1842" w:type="dxa"/>
            <w:tcBorders>
              <w:top w:val="single" w:sz="8" w:space="0" w:color="D9D9D9" w:themeColor="background1" w:themeShade="D9"/>
            </w:tcBorders>
            <w:vAlign w:val="center"/>
          </w:tcPr>
          <w:p w14:paraId="2E2673C8" w14:textId="77777777"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 xml:space="preserve">Welch F </w:t>
            </w:r>
          </w:p>
          <w:p w14:paraId="7C62DF8F" w14:textId="5B282529"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w:t>
            </w:r>
            <w:proofErr w:type="spellStart"/>
            <w:r w:rsidRPr="009306AF">
              <w:rPr>
                <w:rFonts w:ascii="Arial" w:hAnsi="Arial" w:cs="Arial"/>
                <w:b/>
                <w:bCs/>
                <w:sz w:val="18"/>
                <w:szCs w:val="18"/>
              </w:rPr>
              <w:t>df</w:t>
            </w:r>
            <w:proofErr w:type="spellEnd"/>
            <w:r w:rsidRPr="009306AF">
              <w:rPr>
                <w:rFonts w:ascii="Cambria Math" w:hAnsi="Cambria Math" w:cs="Cambria Math"/>
                <w:b/>
                <w:bCs/>
                <w:sz w:val="18"/>
                <w:szCs w:val="18"/>
              </w:rPr>
              <w:t>₁</w:t>
            </w:r>
            <w:r w:rsidRPr="009306AF">
              <w:rPr>
                <w:rFonts w:ascii="Arial" w:hAnsi="Arial" w:cs="Arial"/>
                <w:b/>
                <w:bCs/>
                <w:sz w:val="18"/>
                <w:szCs w:val="18"/>
              </w:rPr>
              <w:t xml:space="preserve">, </w:t>
            </w:r>
            <w:proofErr w:type="spellStart"/>
            <w:r w:rsidRPr="009306AF">
              <w:rPr>
                <w:rFonts w:ascii="Arial" w:hAnsi="Arial" w:cs="Arial"/>
                <w:b/>
                <w:bCs/>
                <w:sz w:val="18"/>
                <w:szCs w:val="18"/>
              </w:rPr>
              <w:t>df</w:t>
            </w:r>
            <w:proofErr w:type="spellEnd"/>
            <w:r w:rsidRPr="009306AF">
              <w:rPr>
                <w:rFonts w:ascii="Cambria Math" w:hAnsi="Cambria Math" w:cs="Cambria Math"/>
                <w:b/>
                <w:bCs/>
                <w:sz w:val="18"/>
                <w:szCs w:val="18"/>
              </w:rPr>
              <w:t>₂</w:t>
            </w:r>
            <w:r w:rsidRPr="009306AF">
              <w:rPr>
                <w:rFonts w:ascii="Arial" w:hAnsi="Arial" w:cs="Arial"/>
                <w:b/>
                <w:bCs/>
                <w:sz w:val="18"/>
                <w:szCs w:val="18"/>
              </w:rPr>
              <w:t>)</w:t>
            </w:r>
          </w:p>
        </w:tc>
        <w:tc>
          <w:tcPr>
            <w:tcW w:w="1276" w:type="dxa"/>
            <w:tcBorders>
              <w:top w:val="single" w:sz="8" w:space="0" w:color="D9D9D9" w:themeColor="background1" w:themeShade="D9"/>
            </w:tcBorders>
            <w:vAlign w:val="center"/>
          </w:tcPr>
          <w:p w14:paraId="7827792A" w14:textId="77777777" w:rsidR="00634FA8" w:rsidRPr="009306AF" w:rsidRDefault="00634FA8" w:rsidP="00634FA8">
            <w:pPr>
              <w:adjustRightInd w:val="0"/>
              <w:snapToGrid w:val="0"/>
              <w:spacing w:line="240"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9306AF">
              <w:rPr>
                <w:rFonts w:ascii="Arial" w:hAnsi="Arial" w:cs="Arial"/>
                <w:b/>
                <w:bCs/>
                <w:sz w:val="18"/>
                <w:szCs w:val="18"/>
              </w:rPr>
              <w:t>P</w:t>
            </w:r>
          </w:p>
        </w:tc>
      </w:tr>
      <w:tr w:rsidR="00634FA8" w14:paraId="15E8FC53" w14:textId="77777777" w:rsidTr="00AF6E12">
        <w:tc>
          <w:tcPr>
            <w:cnfStyle w:val="001000000000" w:firstRow="0" w:lastRow="0" w:firstColumn="1" w:lastColumn="0" w:oddVBand="0" w:evenVBand="0" w:oddHBand="0" w:evenHBand="0" w:firstRowFirstColumn="0" w:firstRowLastColumn="0" w:lastRowFirstColumn="0" w:lastRowLastColumn="0"/>
            <w:tcW w:w="2482" w:type="dxa"/>
          </w:tcPr>
          <w:p w14:paraId="11E3319E" w14:textId="77777777" w:rsidR="00634FA8" w:rsidRPr="009306AF" w:rsidRDefault="00634FA8" w:rsidP="00290DFC">
            <w:pPr>
              <w:adjustRightInd w:val="0"/>
              <w:snapToGrid w:val="0"/>
              <w:spacing w:beforeLines="50" w:before="156" w:afterLines="50" w:after="156" w:line="276" w:lineRule="auto"/>
              <w:ind w:firstLineChars="0" w:firstLine="0"/>
              <w:jc w:val="both"/>
              <w:rPr>
                <w:rFonts w:ascii="Arial" w:hAnsi="Arial" w:cs="Arial"/>
                <w:b w:val="0"/>
                <w:bCs w:val="0"/>
                <w:sz w:val="18"/>
                <w:szCs w:val="18"/>
              </w:rPr>
            </w:pPr>
            <w:r w:rsidRPr="009306AF">
              <w:rPr>
                <w:rFonts w:ascii="Arial" w:hAnsi="Arial" w:cs="Arial"/>
                <w:b w:val="0"/>
                <w:bCs w:val="0"/>
                <w:sz w:val="18"/>
                <w:szCs w:val="18"/>
              </w:rPr>
              <w:t>Lower observed-deep bound</w:t>
            </w:r>
          </w:p>
        </w:tc>
        <w:tc>
          <w:tcPr>
            <w:tcW w:w="1594" w:type="dxa"/>
          </w:tcPr>
          <w:p w14:paraId="53F322B5"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14.53 ± 2.58</w:t>
            </w:r>
          </w:p>
        </w:tc>
        <w:tc>
          <w:tcPr>
            <w:tcW w:w="1133" w:type="dxa"/>
          </w:tcPr>
          <w:p w14:paraId="31876F51"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19.71 ± 1.27</w:t>
            </w:r>
          </w:p>
        </w:tc>
        <w:tc>
          <w:tcPr>
            <w:tcW w:w="1880" w:type="dxa"/>
          </w:tcPr>
          <w:p w14:paraId="33C6500B"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24.70 ± 3.53</w:t>
            </w:r>
          </w:p>
        </w:tc>
        <w:tc>
          <w:tcPr>
            <w:tcW w:w="1842" w:type="dxa"/>
          </w:tcPr>
          <w:p w14:paraId="59F972C3"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2.62 (2, 5.70)</w:t>
            </w:r>
          </w:p>
        </w:tc>
        <w:tc>
          <w:tcPr>
            <w:tcW w:w="1276" w:type="dxa"/>
          </w:tcPr>
          <w:p w14:paraId="51B48897"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0.156</w:t>
            </w:r>
          </w:p>
        </w:tc>
      </w:tr>
      <w:tr w:rsidR="00634FA8" w14:paraId="1EC4853B" w14:textId="77777777" w:rsidTr="00AF6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tcPr>
          <w:p w14:paraId="2624AC1C" w14:textId="77777777" w:rsidR="00634FA8" w:rsidRPr="009306AF" w:rsidRDefault="00634FA8" w:rsidP="00290DFC">
            <w:pPr>
              <w:adjustRightInd w:val="0"/>
              <w:snapToGrid w:val="0"/>
              <w:spacing w:line="240" w:lineRule="auto"/>
              <w:ind w:firstLineChars="0" w:firstLine="0"/>
              <w:jc w:val="both"/>
              <w:rPr>
                <w:rFonts w:ascii="Arial" w:hAnsi="Arial" w:cs="Arial"/>
                <w:sz w:val="18"/>
                <w:szCs w:val="18"/>
              </w:rPr>
            </w:pPr>
            <w:r w:rsidRPr="009306AF">
              <w:rPr>
                <w:rFonts w:ascii="Arial" w:hAnsi="Arial" w:cs="Arial" w:hint="eastAsia"/>
                <w:b w:val="0"/>
                <w:bCs w:val="0"/>
                <w:sz w:val="18"/>
                <w:szCs w:val="18"/>
              </w:rPr>
              <w:t>deep mean</w:t>
            </w:r>
          </w:p>
          <w:p w14:paraId="67EB6B3C" w14:textId="77777777" w:rsidR="00634FA8" w:rsidRPr="009306AF" w:rsidRDefault="00634FA8" w:rsidP="00290DFC">
            <w:pPr>
              <w:adjustRightInd w:val="0"/>
              <w:snapToGrid w:val="0"/>
              <w:spacing w:line="240" w:lineRule="auto"/>
              <w:ind w:firstLineChars="0" w:firstLine="0"/>
              <w:jc w:val="both"/>
              <w:rPr>
                <w:rFonts w:ascii="Arial" w:hAnsi="Arial" w:cs="Arial"/>
                <w:b w:val="0"/>
                <w:bCs w:val="0"/>
                <w:sz w:val="18"/>
                <w:szCs w:val="18"/>
              </w:rPr>
            </w:pPr>
            <w:r w:rsidRPr="009306AF">
              <w:rPr>
                <w:rFonts w:ascii="Arial" w:hAnsi="Arial" w:cs="Arial" w:hint="eastAsia"/>
                <w:b w:val="0"/>
                <w:bCs w:val="0"/>
                <w:sz w:val="18"/>
                <w:szCs w:val="18"/>
              </w:rPr>
              <w:t>(This study)</w:t>
            </w:r>
          </w:p>
        </w:tc>
        <w:tc>
          <w:tcPr>
            <w:tcW w:w="1594" w:type="dxa"/>
          </w:tcPr>
          <w:p w14:paraId="4D7DDE6C"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14.59 ± 2.54</w:t>
            </w:r>
          </w:p>
        </w:tc>
        <w:tc>
          <w:tcPr>
            <w:tcW w:w="1133" w:type="dxa"/>
          </w:tcPr>
          <w:p w14:paraId="70CAB836"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20.66 ± 1.64</w:t>
            </w:r>
          </w:p>
        </w:tc>
        <w:tc>
          <w:tcPr>
            <w:tcW w:w="1880" w:type="dxa"/>
          </w:tcPr>
          <w:p w14:paraId="2C09EDCC"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24.70 ± 3.53</w:t>
            </w:r>
          </w:p>
        </w:tc>
        <w:tc>
          <w:tcPr>
            <w:tcW w:w="1842" w:type="dxa"/>
          </w:tcPr>
          <w:p w14:paraId="13F48075"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2.90 (2, 6.51)</w:t>
            </w:r>
          </w:p>
        </w:tc>
        <w:tc>
          <w:tcPr>
            <w:tcW w:w="1276" w:type="dxa"/>
          </w:tcPr>
          <w:p w14:paraId="25F0B7B6"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0.126</w:t>
            </w:r>
          </w:p>
        </w:tc>
      </w:tr>
      <w:tr w:rsidR="00634FA8" w14:paraId="43FAAE52" w14:textId="77777777" w:rsidTr="00AF6E12">
        <w:tc>
          <w:tcPr>
            <w:cnfStyle w:val="001000000000" w:firstRow="0" w:lastRow="0" w:firstColumn="1" w:lastColumn="0" w:oddVBand="0" w:evenVBand="0" w:oddHBand="0" w:evenHBand="0" w:firstRowFirstColumn="0" w:firstRowLastColumn="0" w:lastRowFirstColumn="0" w:lastRowLastColumn="0"/>
            <w:tcW w:w="2482" w:type="dxa"/>
          </w:tcPr>
          <w:p w14:paraId="7437E02D" w14:textId="77777777" w:rsidR="00634FA8" w:rsidRPr="009306AF" w:rsidRDefault="00634FA8" w:rsidP="00290DFC">
            <w:pPr>
              <w:adjustRightInd w:val="0"/>
              <w:snapToGrid w:val="0"/>
              <w:spacing w:beforeLines="50" w:before="156" w:afterLines="50" w:after="156" w:line="276" w:lineRule="auto"/>
              <w:ind w:firstLineChars="0" w:firstLine="0"/>
              <w:jc w:val="both"/>
              <w:rPr>
                <w:rFonts w:ascii="Arial" w:hAnsi="Arial" w:cs="Arial"/>
                <w:b w:val="0"/>
                <w:bCs w:val="0"/>
                <w:sz w:val="18"/>
                <w:szCs w:val="18"/>
              </w:rPr>
            </w:pPr>
            <w:r w:rsidRPr="009306AF">
              <w:rPr>
                <w:rFonts w:ascii="Arial" w:hAnsi="Arial" w:cs="Arial"/>
                <w:b w:val="0"/>
                <w:bCs w:val="0"/>
                <w:sz w:val="18"/>
                <w:szCs w:val="18"/>
              </w:rPr>
              <w:t>Terminal layer</w:t>
            </w:r>
          </w:p>
        </w:tc>
        <w:tc>
          <w:tcPr>
            <w:tcW w:w="1594" w:type="dxa"/>
          </w:tcPr>
          <w:p w14:paraId="1EA023F2"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14.70 ± 2.46</w:t>
            </w:r>
          </w:p>
        </w:tc>
        <w:tc>
          <w:tcPr>
            <w:tcW w:w="1133" w:type="dxa"/>
          </w:tcPr>
          <w:p w14:paraId="008FCFAA"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20.03 ± 1.13</w:t>
            </w:r>
          </w:p>
        </w:tc>
        <w:tc>
          <w:tcPr>
            <w:tcW w:w="1880" w:type="dxa"/>
          </w:tcPr>
          <w:p w14:paraId="281E4A95"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24.70 ± 3.53</w:t>
            </w:r>
          </w:p>
        </w:tc>
        <w:tc>
          <w:tcPr>
            <w:tcW w:w="1842" w:type="dxa"/>
          </w:tcPr>
          <w:p w14:paraId="2D1FF4D9"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2.76 (2, 5.52)</w:t>
            </w:r>
          </w:p>
        </w:tc>
        <w:tc>
          <w:tcPr>
            <w:tcW w:w="1276" w:type="dxa"/>
          </w:tcPr>
          <w:p w14:paraId="3E00E915"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0.148</w:t>
            </w:r>
          </w:p>
        </w:tc>
      </w:tr>
      <w:tr w:rsidR="00634FA8" w14:paraId="3E28E52B" w14:textId="77777777" w:rsidTr="00AF6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tcPr>
          <w:p w14:paraId="02FE604D" w14:textId="77777777" w:rsidR="00634FA8" w:rsidRPr="009306AF" w:rsidRDefault="00634FA8" w:rsidP="00290DFC">
            <w:pPr>
              <w:adjustRightInd w:val="0"/>
              <w:snapToGrid w:val="0"/>
              <w:spacing w:beforeLines="50" w:before="156" w:afterLines="50" w:after="156" w:line="276" w:lineRule="auto"/>
              <w:ind w:firstLineChars="0" w:firstLine="0"/>
              <w:jc w:val="both"/>
              <w:rPr>
                <w:rFonts w:ascii="Arial" w:hAnsi="Arial" w:cs="Arial"/>
                <w:b w:val="0"/>
                <w:bCs w:val="0"/>
                <w:sz w:val="18"/>
                <w:szCs w:val="18"/>
              </w:rPr>
            </w:pPr>
            <w:r w:rsidRPr="009306AF">
              <w:rPr>
                <w:rFonts w:ascii="Arial" w:hAnsi="Arial" w:cs="Arial"/>
                <w:b w:val="0"/>
                <w:bCs w:val="0"/>
                <w:sz w:val="18"/>
                <w:szCs w:val="18"/>
              </w:rPr>
              <w:t>40+ cm weighted mean</w:t>
            </w:r>
          </w:p>
        </w:tc>
        <w:tc>
          <w:tcPr>
            <w:tcW w:w="1594" w:type="dxa"/>
          </w:tcPr>
          <w:p w14:paraId="73C11BA6"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15.14 ± 2.59</w:t>
            </w:r>
          </w:p>
        </w:tc>
        <w:tc>
          <w:tcPr>
            <w:tcW w:w="1133" w:type="dxa"/>
          </w:tcPr>
          <w:p w14:paraId="524E998E"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21.43 ± 1.71</w:t>
            </w:r>
          </w:p>
        </w:tc>
        <w:tc>
          <w:tcPr>
            <w:tcW w:w="1880" w:type="dxa"/>
          </w:tcPr>
          <w:p w14:paraId="2C65BCDF"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25.01 ± 3.49</w:t>
            </w:r>
          </w:p>
        </w:tc>
        <w:tc>
          <w:tcPr>
            <w:tcW w:w="1842" w:type="dxa"/>
          </w:tcPr>
          <w:p w14:paraId="560B7A25"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2.82 (2, 6.56)</w:t>
            </w:r>
          </w:p>
        </w:tc>
        <w:tc>
          <w:tcPr>
            <w:tcW w:w="1276" w:type="dxa"/>
          </w:tcPr>
          <w:p w14:paraId="1159D40E"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306AF">
              <w:rPr>
                <w:rFonts w:ascii="Arial" w:hAnsi="Arial" w:cs="Arial"/>
                <w:sz w:val="18"/>
                <w:szCs w:val="18"/>
              </w:rPr>
              <w:t>0.130</w:t>
            </w:r>
          </w:p>
        </w:tc>
      </w:tr>
      <w:tr w:rsidR="00634FA8" w14:paraId="057C7B13" w14:textId="77777777" w:rsidTr="00AF6E12">
        <w:tc>
          <w:tcPr>
            <w:cnfStyle w:val="001000000000" w:firstRow="0" w:lastRow="0" w:firstColumn="1" w:lastColumn="0" w:oddVBand="0" w:evenVBand="0" w:oddHBand="0" w:evenHBand="0" w:firstRowFirstColumn="0" w:firstRowLastColumn="0" w:lastRowFirstColumn="0" w:lastRowLastColumn="0"/>
            <w:tcW w:w="2482" w:type="dxa"/>
            <w:tcBorders>
              <w:bottom w:val="single" w:sz="8" w:space="0" w:color="D9D9D9" w:themeColor="background1" w:themeShade="D9"/>
            </w:tcBorders>
          </w:tcPr>
          <w:p w14:paraId="41EC726C" w14:textId="77777777" w:rsidR="00634FA8" w:rsidRPr="009306AF" w:rsidRDefault="00634FA8" w:rsidP="00290DFC">
            <w:pPr>
              <w:adjustRightInd w:val="0"/>
              <w:snapToGrid w:val="0"/>
              <w:spacing w:beforeLines="50" w:before="156" w:afterLines="50" w:after="156" w:line="276" w:lineRule="auto"/>
              <w:ind w:firstLineChars="0" w:firstLine="0"/>
              <w:jc w:val="both"/>
              <w:rPr>
                <w:rFonts w:ascii="Arial" w:hAnsi="Arial" w:cs="Arial"/>
                <w:b w:val="0"/>
                <w:bCs w:val="0"/>
                <w:sz w:val="18"/>
                <w:szCs w:val="18"/>
              </w:rPr>
            </w:pPr>
            <w:r w:rsidRPr="009306AF">
              <w:rPr>
                <w:rFonts w:ascii="Arial" w:hAnsi="Arial" w:cs="Arial"/>
                <w:b w:val="0"/>
                <w:bCs w:val="0"/>
                <w:sz w:val="18"/>
                <w:szCs w:val="18"/>
              </w:rPr>
              <w:t>Upper observed-deep bound</w:t>
            </w:r>
          </w:p>
        </w:tc>
        <w:tc>
          <w:tcPr>
            <w:tcW w:w="1594" w:type="dxa"/>
            <w:tcBorders>
              <w:bottom w:val="single" w:sz="8" w:space="0" w:color="D9D9D9" w:themeColor="background1" w:themeShade="D9"/>
            </w:tcBorders>
          </w:tcPr>
          <w:p w14:paraId="26EE5DDF"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15.76 ± 2.52</w:t>
            </w:r>
          </w:p>
        </w:tc>
        <w:tc>
          <w:tcPr>
            <w:tcW w:w="1133" w:type="dxa"/>
            <w:tcBorders>
              <w:bottom w:val="single" w:sz="8" w:space="0" w:color="D9D9D9" w:themeColor="background1" w:themeShade="D9"/>
            </w:tcBorders>
          </w:tcPr>
          <w:p w14:paraId="2193F62D"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22.33 ± 1.71</w:t>
            </w:r>
          </w:p>
        </w:tc>
        <w:tc>
          <w:tcPr>
            <w:tcW w:w="1880" w:type="dxa"/>
            <w:tcBorders>
              <w:bottom w:val="single" w:sz="8" w:space="0" w:color="D9D9D9" w:themeColor="background1" w:themeShade="D9"/>
            </w:tcBorders>
          </w:tcPr>
          <w:p w14:paraId="4457DEBC"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25.10 ± 3.48</w:t>
            </w:r>
          </w:p>
        </w:tc>
        <w:tc>
          <w:tcPr>
            <w:tcW w:w="1842" w:type="dxa"/>
            <w:tcBorders>
              <w:bottom w:val="single" w:sz="8" w:space="0" w:color="D9D9D9" w:themeColor="background1" w:themeShade="D9"/>
            </w:tcBorders>
          </w:tcPr>
          <w:p w14:paraId="7A08A996"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2.88 (2, 6.69)</w:t>
            </w:r>
          </w:p>
        </w:tc>
        <w:tc>
          <w:tcPr>
            <w:tcW w:w="1276" w:type="dxa"/>
            <w:tcBorders>
              <w:bottom w:val="single" w:sz="8" w:space="0" w:color="D9D9D9" w:themeColor="background1" w:themeShade="D9"/>
            </w:tcBorders>
          </w:tcPr>
          <w:p w14:paraId="395ED0C9" w14:textId="77777777" w:rsidR="00634FA8" w:rsidRPr="009306AF" w:rsidRDefault="00634FA8" w:rsidP="00290DFC">
            <w:pPr>
              <w:adjustRightInd w:val="0"/>
              <w:snapToGrid w:val="0"/>
              <w:spacing w:beforeLines="50" w:before="156" w:afterLines="50" w:after="156" w:line="276" w:lineRule="auto"/>
              <w:ind w:firstLineChars="0" w:firstLine="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06AF">
              <w:rPr>
                <w:rFonts w:ascii="Arial" w:hAnsi="Arial" w:cs="Arial"/>
                <w:sz w:val="18"/>
                <w:szCs w:val="18"/>
              </w:rPr>
              <w:t>0.125</w:t>
            </w:r>
          </w:p>
        </w:tc>
      </w:tr>
      <w:tr w:rsidR="00634FA8" w14:paraId="158229EC" w14:textId="77777777" w:rsidTr="00AF6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gridSpan w:val="6"/>
            <w:tcBorders>
              <w:top w:val="single" w:sz="8" w:space="0" w:color="D9D9D9" w:themeColor="background1" w:themeShade="D9"/>
            </w:tcBorders>
            <w:shd w:val="clear" w:color="auto" w:fill="FFFFFF" w:themeFill="background1"/>
          </w:tcPr>
          <w:p w14:paraId="6C4E5E3D" w14:textId="7397AED2" w:rsidR="00634FA8" w:rsidRPr="009306AF" w:rsidRDefault="00634FA8" w:rsidP="00290DFC">
            <w:pPr>
              <w:adjustRightInd w:val="0"/>
              <w:snapToGrid w:val="0"/>
              <w:spacing w:beforeLines="50" w:before="156" w:afterLines="50" w:after="156" w:line="276" w:lineRule="auto"/>
              <w:ind w:firstLineChars="0" w:firstLine="0"/>
              <w:jc w:val="both"/>
              <w:rPr>
                <w:rFonts w:ascii="Arial" w:hAnsi="Arial" w:cs="Arial"/>
                <w:sz w:val="18"/>
                <w:szCs w:val="18"/>
              </w:rPr>
            </w:pPr>
            <w:r w:rsidRPr="009306AF">
              <w:rPr>
                <w:rFonts w:ascii="Arial" w:hAnsi="Arial" w:cs="Arial" w:hint="eastAsia"/>
                <w:sz w:val="18"/>
                <w:szCs w:val="18"/>
              </w:rPr>
              <w:t xml:space="preserve">Notes: </w:t>
            </w:r>
            <w:r w:rsidRPr="009306AF">
              <w:rPr>
                <w:rFonts w:ascii="Arial" w:hAnsi="Arial" w:cs="Arial" w:hint="eastAsia"/>
                <w:b w:val="0"/>
                <w:bCs w:val="0"/>
                <w:sz w:val="18"/>
                <w:szCs w:val="18"/>
              </w:rPr>
              <w:t>D</w:t>
            </w:r>
            <w:r w:rsidRPr="009306AF">
              <w:rPr>
                <w:rFonts w:ascii="Arial" w:hAnsi="Arial" w:cs="Arial"/>
                <w:b w:val="0"/>
                <w:bCs w:val="0"/>
                <w:sz w:val="18"/>
                <w:szCs w:val="18"/>
              </w:rPr>
              <w:t>eep mean: the submitted thickness-weighted mean concentration observed below 50 cm was applied across 50–100 cm. This is the primary author-defined extrapolation</w:t>
            </w:r>
            <w:r w:rsidRPr="009306AF">
              <w:rPr>
                <w:rFonts w:ascii="Arial" w:hAnsi="Arial" w:cs="Arial" w:hint="eastAsia"/>
                <w:b w:val="0"/>
                <w:bCs w:val="0"/>
                <w:sz w:val="18"/>
                <w:szCs w:val="18"/>
              </w:rPr>
              <w:t xml:space="preserve">; </w:t>
            </w:r>
            <w:r w:rsidRPr="009306AF">
              <w:rPr>
                <w:rFonts w:ascii="Arial" w:hAnsi="Arial" w:cs="Arial"/>
                <w:b w:val="0"/>
                <w:bCs w:val="0"/>
                <w:sz w:val="18"/>
                <w:szCs w:val="18"/>
              </w:rPr>
              <w:t>Terminal layer: the concentration of the deepest recovered interval was carried forward to 100 cm</w:t>
            </w:r>
            <w:r w:rsidRPr="009306AF">
              <w:rPr>
                <w:rFonts w:ascii="Arial" w:hAnsi="Arial" w:cs="Arial" w:hint="eastAsia"/>
                <w:b w:val="0"/>
                <w:bCs w:val="0"/>
                <w:sz w:val="18"/>
                <w:szCs w:val="18"/>
              </w:rPr>
              <w:t xml:space="preserve">; </w:t>
            </w:r>
            <w:r w:rsidRPr="009306AF">
              <w:rPr>
                <w:rFonts w:ascii="Arial" w:hAnsi="Arial" w:cs="Arial"/>
                <w:b w:val="0"/>
                <w:bCs w:val="0"/>
                <w:sz w:val="18"/>
                <w:szCs w:val="18"/>
              </w:rPr>
              <w:t>Lower observed-deep bound: the minimum concentration observed at or below 40 cm was applied across 50–100 cm</w:t>
            </w:r>
            <w:r w:rsidRPr="009306AF">
              <w:rPr>
                <w:rFonts w:ascii="Arial" w:hAnsi="Arial" w:cs="Arial" w:hint="eastAsia"/>
                <w:b w:val="0"/>
                <w:bCs w:val="0"/>
                <w:sz w:val="18"/>
                <w:szCs w:val="18"/>
              </w:rPr>
              <w:t xml:space="preserve">; </w:t>
            </w:r>
            <w:r w:rsidRPr="009306AF">
              <w:rPr>
                <w:rFonts w:ascii="Arial" w:hAnsi="Arial" w:cs="Arial"/>
                <w:b w:val="0"/>
                <w:bCs w:val="0"/>
                <w:sz w:val="18"/>
                <w:szCs w:val="18"/>
              </w:rPr>
              <w:t>Upper observed-deep bound: the corresponding maximum was applied across 50–100 cm.</w:t>
            </w:r>
            <w:r w:rsidRPr="009306AF">
              <w:rPr>
                <w:rFonts w:ascii="Arial" w:hAnsi="Arial" w:cs="Arial" w:hint="eastAsia"/>
                <w:b w:val="0"/>
                <w:bCs w:val="0"/>
                <w:sz w:val="18"/>
                <w:szCs w:val="18"/>
              </w:rPr>
              <w:t xml:space="preserve"> </w:t>
            </w:r>
            <w:r w:rsidRPr="009306AF">
              <w:rPr>
                <w:rFonts w:ascii="Arial" w:hAnsi="Arial" w:cs="Arial"/>
                <w:b w:val="0"/>
                <w:bCs w:val="0"/>
                <w:sz w:val="18"/>
                <w:szCs w:val="18"/>
              </w:rPr>
              <w:t>The lower and upper are deterministic sensitivity bounds, not confidence intervals. The assumed concentration in each scheme was combined with the corresponding core-specific 50–100 cm dry bulk density.</w:t>
            </w:r>
            <w:r w:rsidRPr="009306AF">
              <w:rPr>
                <w:rFonts w:ascii="Arial" w:hAnsi="Arial" w:cs="Arial" w:hint="eastAsia"/>
                <w:b w:val="0"/>
                <w:bCs w:val="0"/>
                <w:sz w:val="18"/>
                <w:szCs w:val="18"/>
              </w:rPr>
              <w:t xml:space="preserve"> </w:t>
            </w:r>
            <w:r w:rsidRPr="009306AF">
              <w:rPr>
                <w:rFonts w:ascii="Arial" w:hAnsi="Arial" w:cs="Arial"/>
                <w:b w:val="0"/>
                <w:bCs w:val="0"/>
                <w:sz w:val="18"/>
                <w:szCs w:val="18"/>
              </w:rPr>
              <w:t>Values are mean ± SE in t C ha</w:t>
            </w:r>
            <w:r w:rsidRPr="009306AF">
              <w:rPr>
                <w:rFonts w:ascii="Cambria Math" w:hAnsi="Cambria Math" w:cs="Cambria Math"/>
                <w:b w:val="0"/>
                <w:bCs w:val="0"/>
                <w:sz w:val="18"/>
                <w:szCs w:val="18"/>
              </w:rPr>
              <w:t>⁻</w:t>
            </w:r>
            <w:r w:rsidRPr="009306AF">
              <w:rPr>
                <w:rFonts w:ascii="Arial" w:hAnsi="Arial" w:cs="Arial"/>
                <w:b w:val="0"/>
                <w:bCs w:val="0"/>
                <w:sz w:val="18"/>
                <w:szCs w:val="18"/>
              </w:rPr>
              <w:t>¹. Sediment cores are the independent units. Welch’s one-way ANOVA compares the three habitats within each scenario.</w:t>
            </w:r>
          </w:p>
        </w:tc>
      </w:tr>
    </w:tbl>
    <w:p w14:paraId="7749C66E" w14:textId="77777777" w:rsidR="006127B3" w:rsidRPr="006A21CF" w:rsidRDefault="006127B3" w:rsidP="00C43F43">
      <w:pPr>
        <w:adjustRightInd w:val="0"/>
        <w:snapToGrid w:val="0"/>
        <w:spacing w:beforeLines="50" w:before="156" w:line="276" w:lineRule="auto"/>
        <w:ind w:firstLineChars="0" w:firstLine="0"/>
        <w:jc w:val="both"/>
        <w:rPr>
          <w:rFonts w:ascii="Arial" w:hAnsi="Arial" w:cs="Arial"/>
          <w:sz w:val="21"/>
          <w:szCs w:val="21"/>
        </w:rPr>
      </w:pPr>
    </w:p>
    <w:sectPr w:rsidR="006127B3" w:rsidRPr="006A21CF" w:rsidSect="007E71AE">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616CB" w14:textId="77777777" w:rsidR="00105DD1" w:rsidRDefault="00105DD1" w:rsidP="00EF667E">
      <w:pPr>
        <w:spacing w:line="240" w:lineRule="auto"/>
        <w:ind w:firstLine="480"/>
      </w:pPr>
      <w:r>
        <w:separator/>
      </w:r>
    </w:p>
  </w:endnote>
  <w:endnote w:type="continuationSeparator" w:id="0">
    <w:p w14:paraId="4DC5B2AF" w14:textId="77777777" w:rsidR="00105DD1" w:rsidRDefault="00105DD1" w:rsidP="00EF667E">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IDFont+F1">
    <w:altName w:val="微软雅黑"/>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B9EE" w14:textId="77777777" w:rsidR="00EF667E" w:rsidRDefault="00EF667E">
    <w:pPr>
      <w:pStyle w:val="af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4E60" w14:textId="77777777" w:rsidR="00EF667E" w:rsidRDefault="00EF667E">
    <w:pPr>
      <w:pStyle w:val="af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9FC7" w14:textId="77777777" w:rsidR="00EF667E" w:rsidRDefault="00EF667E">
    <w:pPr>
      <w:pStyle w:val="af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B228" w14:textId="77777777" w:rsidR="00105DD1" w:rsidRDefault="00105DD1" w:rsidP="00EF667E">
      <w:pPr>
        <w:spacing w:line="240" w:lineRule="auto"/>
        <w:ind w:firstLine="480"/>
      </w:pPr>
      <w:r>
        <w:separator/>
      </w:r>
    </w:p>
  </w:footnote>
  <w:footnote w:type="continuationSeparator" w:id="0">
    <w:p w14:paraId="2C421051" w14:textId="77777777" w:rsidR="00105DD1" w:rsidRDefault="00105DD1" w:rsidP="00EF667E">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1101" w14:textId="77777777" w:rsidR="00EF667E" w:rsidRDefault="00EF667E">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A4D0" w14:textId="77777777" w:rsidR="00EF667E" w:rsidRDefault="00EF667E">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E7B4" w14:textId="77777777" w:rsidR="00EF667E" w:rsidRDefault="00EF667E">
    <w:pPr>
      <w:pStyle w:val="ae"/>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CC"/>
    <w:rsid w:val="000001AB"/>
    <w:rsid w:val="00056F5F"/>
    <w:rsid w:val="000B7D71"/>
    <w:rsid w:val="000C058E"/>
    <w:rsid w:val="000E3345"/>
    <w:rsid w:val="00102339"/>
    <w:rsid w:val="00105DD1"/>
    <w:rsid w:val="00142DA9"/>
    <w:rsid w:val="001510FA"/>
    <w:rsid w:val="0016545A"/>
    <w:rsid w:val="00183AA0"/>
    <w:rsid w:val="00201A25"/>
    <w:rsid w:val="00236AC7"/>
    <w:rsid w:val="00241D5E"/>
    <w:rsid w:val="00270411"/>
    <w:rsid w:val="00273534"/>
    <w:rsid w:val="002D4CD0"/>
    <w:rsid w:val="002E0E0C"/>
    <w:rsid w:val="002E37BB"/>
    <w:rsid w:val="0030698B"/>
    <w:rsid w:val="003177A8"/>
    <w:rsid w:val="00380FCA"/>
    <w:rsid w:val="00383060"/>
    <w:rsid w:val="003D506F"/>
    <w:rsid w:val="003F493B"/>
    <w:rsid w:val="00485B74"/>
    <w:rsid w:val="00487D95"/>
    <w:rsid w:val="004A02C1"/>
    <w:rsid w:val="004C0501"/>
    <w:rsid w:val="004E54D4"/>
    <w:rsid w:val="004F1352"/>
    <w:rsid w:val="00537BCB"/>
    <w:rsid w:val="005449A5"/>
    <w:rsid w:val="0057792A"/>
    <w:rsid w:val="00577D13"/>
    <w:rsid w:val="0058142F"/>
    <w:rsid w:val="005D3206"/>
    <w:rsid w:val="005F0CF5"/>
    <w:rsid w:val="006127B3"/>
    <w:rsid w:val="00623F7A"/>
    <w:rsid w:val="00634FA8"/>
    <w:rsid w:val="006841E7"/>
    <w:rsid w:val="00691F64"/>
    <w:rsid w:val="006A21CF"/>
    <w:rsid w:val="006B5892"/>
    <w:rsid w:val="006C6380"/>
    <w:rsid w:val="006D0A69"/>
    <w:rsid w:val="006D528F"/>
    <w:rsid w:val="007169ED"/>
    <w:rsid w:val="00760E7A"/>
    <w:rsid w:val="0078271C"/>
    <w:rsid w:val="007E71AE"/>
    <w:rsid w:val="00804F06"/>
    <w:rsid w:val="00812C35"/>
    <w:rsid w:val="0083745C"/>
    <w:rsid w:val="00876B85"/>
    <w:rsid w:val="008B318E"/>
    <w:rsid w:val="00912B33"/>
    <w:rsid w:val="0091455C"/>
    <w:rsid w:val="00921095"/>
    <w:rsid w:val="009306AF"/>
    <w:rsid w:val="00967018"/>
    <w:rsid w:val="009723B3"/>
    <w:rsid w:val="009A11E6"/>
    <w:rsid w:val="009A3059"/>
    <w:rsid w:val="009C69E2"/>
    <w:rsid w:val="009F78D8"/>
    <w:rsid w:val="00A03200"/>
    <w:rsid w:val="00A07240"/>
    <w:rsid w:val="00A64C05"/>
    <w:rsid w:val="00A76540"/>
    <w:rsid w:val="00AE6993"/>
    <w:rsid w:val="00AF6E12"/>
    <w:rsid w:val="00B01709"/>
    <w:rsid w:val="00B44E55"/>
    <w:rsid w:val="00B75EF9"/>
    <w:rsid w:val="00BA4DFE"/>
    <w:rsid w:val="00BC45B4"/>
    <w:rsid w:val="00BD7219"/>
    <w:rsid w:val="00C07C9B"/>
    <w:rsid w:val="00C12670"/>
    <w:rsid w:val="00C43F43"/>
    <w:rsid w:val="00C7196D"/>
    <w:rsid w:val="00C71BA2"/>
    <w:rsid w:val="00C71F96"/>
    <w:rsid w:val="00CA1747"/>
    <w:rsid w:val="00CC2F0D"/>
    <w:rsid w:val="00CE42CC"/>
    <w:rsid w:val="00CF32F8"/>
    <w:rsid w:val="00CF3AE2"/>
    <w:rsid w:val="00CF4495"/>
    <w:rsid w:val="00D246CB"/>
    <w:rsid w:val="00D26775"/>
    <w:rsid w:val="00D37EDF"/>
    <w:rsid w:val="00D42D19"/>
    <w:rsid w:val="00D855E4"/>
    <w:rsid w:val="00DC5A4B"/>
    <w:rsid w:val="00DD55FD"/>
    <w:rsid w:val="00DF10EB"/>
    <w:rsid w:val="00DF65BF"/>
    <w:rsid w:val="00E0051C"/>
    <w:rsid w:val="00E130E3"/>
    <w:rsid w:val="00E32057"/>
    <w:rsid w:val="00E37EA7"/>
    <w:rsid w:val="00E5402A"/>
    <w:rsid w:val="00E865C9"/>
    <w:rsid w:val="00ED5E6C"/>
    <w:rsid w:val="00EF667E"/>
    <w:rsid w:val="00F11C58"/>
    <w:rsid w:val="00F1206B"/>
    <w:rsid w:val="00F20AAE"/>
    <w:rsid w:val="00F26B1D"/>
    <w:rsid w:val="00F5740C"/>
    <w:rsid w:val="00F62CD4"/>
    <w:rsid w:val="00FB4538"/>
    <w:rsid w:val="00FD2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35102"/>
  <w15:chartTrackingRefBased/>
  <w15:docId w15:val="{8773C2B8-3326-4327-A6E7-55DB0A62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7A8"/>
    <w:pPr>
      <w:widowControl w:val="0"/>
      <w:spacing w:after="0" w:line="360" w:lineRule="auto"/>
      <w:ind w:firstLineChars="200" w:firstLine="200"/>
    </w:pPr>
    <w:rPr>
      <w:rFonts w:ascii="Times New Roman" w:eastAsia="宋体" w:hAnsi="Times New Roman"/>
      <w:sz w:val="24"/>
    </w:rPr>
  </w:style>
  <w:style w:type="paragraph" w:styleId="1">
    <w:name w:val="heading 1"/>
    <w:basedOn w:val="a"/>
    <w:next w:val="a"/>
    <w:link w:val="10"/>
    <w:uiPriority w:val="9"/>
    <w:qFormat/>
    <w:rsid w:val="00CE42C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42C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42C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E42CC"/>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CE42CC"/>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CE42CC"/>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CE42C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CE42C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CE42C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E42C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E42C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E42C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E42CC"/>
    <w:rPr>
      <w:rFonts w:cstheme="majorBidi"/>
      <w:color w:val="0F4761" w:themeColor="accent1" w:themeShade="BF"/>
      <w:sz w:val="28"/>
      <w:szCs w:val="28"/>
    </w:rPr>
  </w:style>
  <w:style w:type="character" w:customStyle="1" w:styleId="50">
    <w:name w:val="标题 5 字符"/>
    <w:basedOn w:val="a0"/>
    <w:link w:val="5"/>
    <w:uiPriority w:val="9"/>
    <w:semiHidden/>
    <w:rsid w:val="00CE42CC"/>
    <w:rPr>
      <w:rFonts w:cstheme="majorBidi"/>
      <w:color w:val="0F4761" w:themeColor="accent1" w:themeShade="BF"/>
      <w:sz w:val="24"/>
    </w:rPr>
  </w:style>
  <w:style w:type="character" w:customStyle="1" w:styleId="60">
    <w:name w:val="标题 6 字符"/>
    <w:basedOn w:val="a0"/>
    <w:link w:val="6"/>
    <w:uiPriority w:val="9"/>
    <w:semiHidden/>
    <w:rsid w:val="00CE42CC"/>
    <w:rPr>
      <w:rFonts w:cstheme="majorBidi"/>
      <w:b/>
      <w:bCs/>
      <w:color w:val="0F4761" w:themeColor="accent1" w:themeShade="BF"/>
      <w:sz w:val="24"/>
    </w:rPr>
  </w:style>
  <w:style w:type="character" w:customStyle="1" w:styleId="70">
    <w:name w:val="标题 7 字符"/>
    <w:basedOn w:val="a0"/>
    <w:link w:val="7"/>
    <w:uiPriority w:val="9"/>
    <w:semiHidden/>
    <w:rsid w:val="00CE42CC"/>
    <w:rPr>
      <w:rFonts w:cstheme="majorBidi"/>
      <w:b/>
      <w:bCs/>
      <w:color w:val="595959" w:themeColor="text1" w:themeTint="A6"/>
      <w:sz w:val="24"/>
    </w:rPr>
  </w:style>
  <w:style w:type="character" w:customStyle="1" w:styleId="80">
    <w:name w:val="标题 8 字符"/>
    <w:basedOn w:val="a0"/>
    <w:link w:val="8"/>
    <w:uiPriority w:val="9"/>
    <w:semiHidden/>
    <w:rsid w:val="00CE42CC"/>
    <w:rPr>
      <w:rFonts w:cstheme="majorBidi"/>
      <w:color w:val="595959" w:themeColor="text1" w:themeTint="A6"/>
      <w:sz w:val="24"/>
    </w:rPr>
  </w:style>
  <w:style w:type="character" w:customStyle="1" w:styleId="90">
    <w:name w:val="标题 9 字符"/>
    <w:basedOn w:val="a0"/>
    <w:link w:val="9"/>
    <w:uiPriority w:val="9"/>
    <w:semiHidden/>
    <w:rsid w:val="00CE42CC"/>
    <w:rPr>
      <w:rFonts w:eastAsiaTheme="majorEastAsia" w:cstheme="majorBidi"/>
      <w:color w:val="595959" w:themeColor="text1" w:themeTint="A6"/>
      <w:sz w:val="24"/>
    </w:rPr>
  </w:style>
  <w:style w:type="paragraph" w:styleId="a3">
    <w:name w:val="Title"/>
    <w:basedOn w:val="a"/>
    <w:next w:val="a"/>
    <w:link w:val="a4"/>
    <w:uiPriority w:val="10"/>
    <w:qFormat/>
    <w:rsid w:val="00CE42C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E42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42CC"/>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E42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42CC"/>
    <w:pPr>
      <w:spacing w:before="160" w:after="160"/>
      <w:jc w:val="center"/>
    </w:pPr>
    <w:rPr>
      <w:i/>
      <w:iCs/>
      <w:color w:val="404040" w:themeColor="text1" w:themeTint="BF"/>
    </w:rPr>
  </w:style>
  <w:style w:type="character" w:customStyle="1" w:styleId="a8">
    <w:name w:val="引用 字符"/>
    <w:basedOn w:val="a0"/>
    <w:link w:val="a7"/>
    <w:uiPriority w:val="29"/>
    <w:rsid w:val="00CE42CC"/>
    <w:rPr>
      <w:rFonts w:ascii="Times New Roman" w:eastAsia="宋体" w:hAnsi="Times New Roman"/>
      <w:i/>
      <w:iCs/>
      <w:color w:val="404040" w:themeColor="text1" w:themeTint="BF"/>
      <w:sz w:val="24"/>
    </w:rPr>
  </w:style>
  <w:style w:type="paragraph" w:styleId="a9">
    <w:name w:val="List Paragraph"/>
    <w:basedOn w:val="a"/>
    <w:uiPriority w:val="34"/>
    <w:qFormat/>
    <w:rsid w:val="00CE42CC"/>
    <w:pPr>
      <w:ind w:left="720"/>
      <w:contextualSpacing/>
    </w:pPr>
  </w:style>
  <w:style w:type="character" w:styleId="aa">
    <w:name w:val="Intense Emphasis"/>
    <w:basedOn w:val="a0"/>
    <w:uiPriority w:val="21"/>
    <w:qFormat/>
    <w:rsid w:val="00CE42CC"/>
    <w:rPr>
      <w:i/>
      <w:iCs/>
      <w:color w:val="0F4761" w:themeColor="accent1" w:themeShade="BF"/>
    </w:rPr>
  </w:style>
  <w:style w:type="paragraph" w:styleId="ab">
    <w:name w:val="Intense Quote"/>
    <w:basedOn w:val="a"/>
    <w:next w:val="a"/>
    <w:link w:val="ac"/>
    <w:uiPriority w:val="30"/>
    <w:qFormat/>
    <w:rsid w:val="00CE4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E42CC"/>
    <w:rPr>
      <w:rFonts w:ascii="Times New Roman" w:eastAsia="宋体" w:hAnsi="Times New Roman"/>
      <w:i/>
      <w:iCs/>
      <w:color w:val="0F4761" w:themeColor="accent1" w:themeShade="BF"/>
      <w:sz w:val="24"/>
    </w:rPr>
  </w:style>
  <w:style w:type="character" w:styleId="ad">
    <w:name w:val="Intense Reference"/>
    <w:basedOn w:val="a0"/>
    <w:uiPriority w:val="32"/>
    <w:qFormat/>
    <w:rsid w:val="00CE42CC"/>
    <w:rPr>
      <w:b/>
      <w:bCs/>
      <w:smallCaps/>
      <w:color w:val="0F4761" w:themeColor="accent1" w:themeShade="BF"/>
      <w:spacing w:val="5"/>
    </w:rPr>
  </w:style>
  <w:style w:type="paragraph" w:styleId="ae">
    <w:name w:val="header"/>
    <w:basedOn w:val="a"/>
    <w:link w:val="af"/>
    <w:uiPriority w:val="99"/>
    <w:unhideWhenUsed/>
    <w:rsid w:val="00EF667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EF667E"/>
    <w:rPr>
      <w:rFonts w:ascii="Times New Roman" w:eastAsia="宋体" w:hAnsi="Times New Roman"/>
      <w:sz w:val="18"/>
      <w:szCs w:val="18"/>
    </w:rPr>
  </w:style>
  <w:style w:type="paragraph" w:styleId="af0">
    <w:name w:val="footer"/>
    <w:basedOn w:val="a"/>
    <w:link w:val="af1"/>
    <w:uiPriority w:val="99"/>
    <w:unhideWhenUsed/>
    <w:rsid w:val="00EF667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EF667E"/>
    <w:rPr>
      <w:rFonts w:ascii="Times New Roman" w:eastAsia="宋体" w:hAnsi="Times New Roman"/>
      <w:sz w:val="18"/>
      <w:szCs w:val="18"/>
    </w:rPr>
  </w:style>
  <w:style w:type="table" w:styleId="af2">
    <w:name w:val="Table Grid"/>
    <w:basedOn w:val="a1"/>
    <w:uiPriority w:val="39"/>
    <w:rsid w:val="005F0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5D320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3">
    <w:name w:val="Hyperlink"/>
    <w:basedOn w:val="a0"/>
    <w:uiPriority w:val="99"/>
    <w:unhideWhenUsed/>
    <w:rsid w:val="0010233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zhangzhiwei@fio.org.cn"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478</TotalTime>
  <Pages>9</Pages>
  <Words>1531</Words>
  <Characters>8730</Characters>
  <Application>Microsoft Office Word</Application>
  <DocSecurity>0</DocSecurity>
  <Lines>72</Lines>
  <Paragraphs>20</Paragraphs>
  <ScaleCrop>false</ScaleCrop>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a14298</dc:creator>
  <cp:keywords/>
  <dc:description/>
  <cp:lastModifiedBy>a14298</cp:lastModifiedBy>
  <cp:revision>361</cp:revision>
  <dcterms:created xsi:type="dcterms:W3CDTF">2026-09-11T15:08:00Z</dcterms:created>
  <dcterms:modified xsi:type="dcterms:W3CDTF">2026-09-24T20:08:00Z</dcterms:modified>
</cp:coreProperties>
</file>