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0C3A8" w14:textId="77777777" w:rsidR="00786B5E" w:rsidRDefault="00786B5E" w:rsidP="00786B5E">
      <w:pPr>
        <w:pStyle w:val="Heading1"/>
        <w:spacing w:line="360" w:lineRule="auto"/>
        <w:rPr>
          <w:rFonts w:ascii="Tahoma" w:hAnsi="Tahoma" w:cs="Tahoma"/>
          <w:szCs w:val="24"/>
        </w:rPr>
      </w:pPr>
      <w:r>
        <w:rPr>
          <w:rFonts w:ascii="Tahoma" w:eastAsia="Times New Roman" w:hAnsi="Tahoma" w:cs="Tahoma"/>
          <w:szCs w:val="24"/>
        </w:rPr>
        <w:t>Appendix: supplementary descriptive tables</w:t>
      </w:r>
    </w:p>
    <w:p w14:paraId="656EF818" w14:textId="77777777" w:rsidR="00786B5E" w:rsidRDefault="00786B5E" w:rsidP="00786B5E">
      <w:pPr>
        <w:spacing w:line="360" w:lineRule="auto"/>
        <w:rPr>
          <w:rFonts w:ascii="Tahoma" w:hAnsi="Tahoma" w:cs="Tahoma"/>
          <w:szCs w:val="24"/>
        </w:rPr>
      </w:pPr>
      <w:r>
        <w:rPr>
          <w:rFonts w:ascii="Tahoma" w:hAnsi="Tahoma" w:cs="Tahoma"/>
          <w:color w:val="000000"/>
          <w:szCs w:val="24"/>
        </w:rPr>
        <w:t>The following tables provide item-level descriptive results. They are supplementary to the three main manuscript tables and are not the primary inferential focus of the study.</w:t>
      </w:r>
    </w:p>
    <w:p w14:paraId="6D30987E" w14:textId="77777777" w:rsidR="00786B5E" w:rsidRDefault="00786B5E" w:rsidP="00786B5E">
      <w:pPr>
        <w:spacing w:line="360" w:lineRule="auto"/>
        <w:rPr>
          <w:rFonts w:ascii="Tahoma" w:hAnsi="Tahoma" w:cs="Tahoma"/>
          <w:szCs w:val="24"/>
        </w:rPr>
      </w:pPr>
      <w:r>
        <w:rPr>
          <w:rFonts w:ascii="Tahoma" w:hAnsi="Tahoma" w:cs="Tahoma"/>
          <w:b/>
          <w:color w:val="000000"/>
          <w:szCs w:val="24"/>
        </w:rPr>
        <w:t>Appendix Table S1. Perceived benefits by participant group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55"/>
        <w:gridCol w:w="3088"/>
        <w:gridCol w:w="3218"/>
        <w:gridCol w:w="909"/>
      </w:tblGrid>
      <w:tr w:rsidR="00786B5E" w14:paraId="1DD245E2" w14:textId="77777777" w:rsidTr="00B81307">
        <w:trPr>
          <w:cantSplit/>
          <w:tblHeader/>
          <w:jc w:val="center"/>
        </w:trPr>
        <w:tc>
          <w:tcPr>
            <w:tcW w:w="30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570990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Cs w:val="24"/>
              </w:rPr>
              <w:t>Benefit item</w:t>
            </w:r>
          </w:p>
        </w:tc>
        <w:tc>
          <w:tcPr>
            <w:tcW w:w="324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16D9D1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Cs w:val="24"/>
              </w:rPr>
              <w:t>PLHIV: mean (SD); agree/strongly agree</w:t>
            </w:r>
          </w:p>
        </w:tc>
        <w:tc>
          <w:tcPr>
            <w:tcW w:w="33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AEEE2F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Cs w:val="24"/>
              </w:rPr>
              <w:t>PrEP-service participants: mean (SD); agree/strongly agree</w:t>
            </w:r>
          </w:p>
        </w:tc>
        <w:tc>
          <w:tcPr>
            <w:tcW w:w="9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F450F3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Cs w:val="24"/>
              </w:rPr>
              <w:t>P value</w:t>
            </w:r>
          </w:p>
        </w:tc>
      </w:tr>
      <w:tr w:rsidR="00786B5E" w14:paraId="7D58348D" w14:textId="77777777" w:rsidTr="00B81307">
        <w:trPr>
          <w:cantSplit/>
          <w:jc w:val="center"/>
        </w:trPr>
        <w:tc>
          <w:tcPr>
            <w:tcW w:w="30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CFAD25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Reduced pill burden</w:t>
            </w:r>
          </w:p>
        </w:tc>
        <w:tc>
          <w:tcPr>
            <w:tcW w:w="324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322735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4.68 (0.61); 109/116 (94.0%)</w:t>
            </w:r>
          </w:p>
        </w:tc>
        <w:tc>
          <w:tcPr>
            <w:tcW w:w="33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16C9AA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4.32 (0.73); 102/116 (87.9%)</w:t>
            </w:r>
          </w:p>
        </w:tc>
        <w:tc>
          <w:tcPr>
            <w:tcW w:w="9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433516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0.109</w:t>
            </w:r>
          </w:p>
        </w:tc>
      </w:tr>
      <w:tr w:rsidR="00786B5E" w14:paraId="0CC08641" w14:textId="77777777" w:rsidTr="00B81307">
        <w:trPr>
          <w:cantSplit/>
          <w:jc w:val="center"/>
        </w:trPr>
        <w:tc>
          <w:tcPr>
            <w:tcW w:w="30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E501D4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Improved privacy or reduced stigma</w:t>
            </w:r>
          </w:p>
        </w:tc>
        <w:tc>
          <w:tcPr>
            <w:tcW w:w="324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83FE8D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4.71 (0.58); 109/116 (94.0%)</w:t>
            </w:r>
          </w:p>
        </w:tc>
        <w:tc>
          <w:tcPr>
            <w:tcW w:w="33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C94D92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4.34 (0.68); 106/116 (91.4%)</w:t>
            </w:r>
          </w:p>
        </w:tc>
        <w:tc>
          <w:tcPr>
            <w:tcW w:w="9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B1DEE3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0.450</w:t>
            </w:r>
          </w:p>
        </w:tc>
      </w:tr>
      <w:tr w:rsidR="00786B5E" w14:paraId="222684C9" w14:textId="77777777" w:rsidTr="00B81307">
        <w:trPr>
          <w:cantSplit/>
          <w:jc w:val="center"/>
        </w:trPr>
        <w:tc>
          <w:tcPr>
            <w:tcW w:w="30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EB32A5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Better adherence</w:t>
            </w:r>
          </w:p>
        </w:tc>
        <w:tc>
          <w:tcPr>
            <w:tcW w:w="324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02C545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4.26 (0.61); 106/116 (91.4%)</w:t>
            </w:r>
          </w:p>
        </w:tc>
        <w:tc>
          <w:tcPr>
            <w:tcW w:w="33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56E666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4.22 (0.66); 106/116 (91.4%)</w:t>
            </w:r>
          </w:p>
        </w:tc>
        <w:tc>
          <w:tcPr>
            <w:tcW w:w="9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D193F9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1.000</w:t>
            </w:r>
          </w:p>
        </w:tc>
      </w:tr>
      <w:tr w:rsidR="00786B5E" w14:paraId="20B6A2FE" w14:textId="77777777" w:rsidTr="00B81307">
        <w:trPr>
          <w:cantSplit/>
          <w:jc w:val="center"/>
        </w:trPr>
        <w:tc>
          <w:tcPr>
            <w:tcW w:w="30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C0D7E1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Convenience during travel</w:t>
            </w:r>
          </w:p>
        </w:tc>
        <w:tc>
          <w:tcPr>
            <w:tcW w:w="324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26A9CF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4.72 (0.52); 112/116 (96.6%)</w:t>
            </w:r>
          </w:p>
        </w:tc>
        <w:tc>
          <w:tcPr>
            <w:tcW w:w="33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4D2039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4.31 (0.70); 104/116 (89.7%)</w:t>
            </w:r>
          </w:p>
        </w:tc>
        <w:tc>
          <w:tcPr>
            <w:tcW w:w="9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DA0320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0.038</w:t>
            </w:r>
          </w:p>
        </w:tc>
      </w:tr>
      <w:tr w:rsidR="00786B5E" w14:paraId="0100F6FD" w14:textId="77777777" w:rsidTr="00B81307">
        <w:trPr>
          <w:cantSplit/>
          <w:jc w:val="center"/>
        </w:trPr>
        <w:tc>
          <w:tcPr>
            <w:tcW w:w="30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979EE0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Feeling normal</w:t>
            </w:r>
          </w:p>
        </w:tc>
        <w:tc>
          <w:tcPr>
            <w:tcW w:w="324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B6BE7B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4.16 (0.88); 79/116 (68.1%)</w:t>
            </w:r>
          </w:p>
        </w:tc>
        <w:tc>
          <w:tcPr>
            <w:tcW w:w="33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B65CFC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3.97 (0.81); 81/116 (69.8%)</w:t>
            </w:r>
          </w:p>
        </w:tc>
        <w:tc>
          <w:tcPr>
            <w:tcW w:w="9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1A0365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0.777</w:t>
            </w:r>
          </w:p>
        </w:tc>
      </w:tr>
      <w:tr w:rsidR="00786B5E" w14:paraId="7CE3460C" w14:textId="77777777" w:rsidTr="00B81307">
        <w:trPr>
          <w:cantSplit/>
          <w:jc w:val="center"/>
        </w:trPr>
        <w:tc>
          <w:tcPr>
            <w:tcW w:w="30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0FEB5B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Overall benefit relative to oral medication</w:t>
            </w:r>
          </w:p>
        </w:tc>
        <w:tc>
          <w:tcPr>
            <w:tcW w:w="324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C4C0B1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4.11 (0.90); 80/116 (69.0%)</w:t>
            </w:r>
          </w:p>
        </w:tc>
        <w:tc>
          <w:tcPr>
            <w:tcW w:w="33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20E8B1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3.99 (0.80); 84/116 (72.4%)</w:t>
            </w:r>
          </w:p>
        </w:tc>
        <w:tc>
          <w:tcPr>
            <w:tcW w:w="9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8BB674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0.564</w:t>
            </w:r>
          </w:p>
        </w:tc>
      </w:tr>
    </w:tbl>
    <w:p w14:paraId="36032642" w14:textId="77777777" w:rsidR="00786B5E" w:rsidRDefault="00786B5E" w:rsidP="00786B5E">
      <w:pPr>
        <w:spacing w:after="0" w:line="360" w:lineRule="auto"/>
        <w:rPr>
          <w:rFonts w:ascii="Tahoma" w:hAnsi="Tahoma" w:cs="Tahoma"/>
          <w:szCs w:val="24"/>
        </w:rPr>
      </w:pPr>
    </w:p>
    <w:p w14:paraId="31DF7B08" w14:textId="77777777" w:rsidR="00786B5E" w:rsidRDefault="00786B5E" w:rsidP="00786B5E">
      <w:pPr>
        <w:spacing w:line="360" w:lineRule="auto"/>
        <w:rPr>
          <w:rFonts w:ascii="Tahoma" w:hAnsi="Tahoma" w:cs="Tahoma"/>
          <w:color w:val="000000"/>
          <w:szCs w:val="24"/>
        </w:rPr>
      </w:pPr>
      <w:r>
        <w:rPr>
          <w:rFonts w:ascii="Tahoma" w:hAnsi="Tahoma" w:cs="Tahoma"/>
          <w:color w:val="000000"/>
          <w:szCs w:val="24"/>
        </w:rPr>
        <w:t>Benefit items were graded as 1 = strongly disagree, 2 = disagree, 3 = neutral, 4 = agree and 5 = strongly agree. Responses of 4 or 5 are shown as agree/strongly agree. P values are descriptive.</w:t>
      </w:r>
    </w:p>
    <w:p w14:paraId="657FBF91" w14:textId="77777777" w:rsidR="00786B5E" w:rsidRDefault="00786B5E" w:rsidP="00786B5E">
      <w:pPr>
        <w:spacing w:line="360" w:lineRule="auto"/>
        <w:rPr>
          <w:rFonts w:ascii="Tahoma" w:hAnsi="Tahoma" w:cs="Tahoma"/>
          <w:szCs w:val="24"/>
        </w:rPr>
      </w:pPr>
    </w:p>
    <w:p w14:paraId="70E4F976" w14:textId="77777777" w:rsidR="00786B5E" w:rsidRDefault="00786B5E" w:rsidP="00786B5E">
      <w:pPr>
        <w:spacing w:line="360" w:lineRule="auto"/>
        <w:rPr>
          <w:rFonts w:ascii="Tahoma" w:hAnsi="Tahoma" w:cs="Tahoma"/>
          <w:szCs w:val="24"/>
        </w:rPr>
      </w:pPr>
      <w:r>
        <w:rPr>
          <w:rFonts w:ascii="Tahoma" w:hAnsi="Tahoma" w:cs="Tahoma"/>
          <w:b/>
          <w:color w:val="000000"/>
          <w:szCs w:val="24"/>
        </w:rPr>
        <w:t>Appendix Table S2. Perceived risks and concerns by participant group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73"/>
        <w:gridCol w:w="3094"/>
        <w:gridCol w:w="3287"/>
        <w:gridCol w:w="916"/>
      </w:tblGrid>
      <w:tr w:rsidR="00786B5E" w14:paraId="213A9598" w14:textId="77777777" w:rsidTr="00B81307">
        <w:trPr>
          <w:cantSplit/>
          <w:tblHeader/>
          <w:jc w:val="center"/>
        </w:trPr>
        <w:tc>
          <w:tcPr>
            <w:tcW w:w="295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431144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Cs w:val="24"/>
              </w:rPr>
              <w:t>Risk item</w:t>
            </w:r>
          </w:p>
        </w:tc>
        <w:tc>
          <w:tcPr>
            <w:tcW w:w="324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FA18AB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Cs w:val="24"/>
              </w:rPr>
              <w:t>PLHIV: mean (SD); concerned/highly concerned</w:t>
            </w:r>
          </w:p>
        </w:tc>
        <w:tc>
          <w:tcPr>
            <w:tcW w:w="34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915673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Cs w:val="24"/>
              </w:rPr>
              <w:t>PrEP-service participants: mean (SD); concerned/highly concerned</w:t>
            </w:r>
          </w:p>
        </w:tc>
        <w:tc>
          <w:tcPr>
            <w:tcW w:w="9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AE5D35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Cs w:val="24"/>
              </w:rPr>
              <w:t>P value</w:t>
            </w:r>
          </w:p>
        </w:tc>
      </w:tr>
      <w:tr w:rsidR="00786B5E" w14:paraId="0DA5E95B" w14:textId="77777777" w:rsidTr="00B81307">
        <w:trPr>
          <w:cantSplit/>
          <w:jc w:val="center"/>
        </w:trPr>
        <w:tc>
          <w:tcPr>
            <w:tcW w:w="295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89ABCD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Pain or discomfort at injection site</w:t>
            </w:r>
          </w:p>
        </w:tc>
        <w:tc>
          <w:tcPr>
            <w:tcW w:w="324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90D188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2.43 (1.24); 52/116 (44.8%)</w:t>
            </w:r>
          </w:p>
        </w:tc>
        <w:tc>
          <w:tcPr>
            <w:tcW w:w="34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C32420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2.28 (1.05); 57/116 (49.1%)</w:t>
            </w:r>
          </w:p>
        </w:tc>
        <w:tc>
          <w:tcPr>
            <w:tcW w:w="9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4DB1AC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0.511</w:t>
            </w:r>
          </w:p>
        </w:tc>
      </w:tr>
      <w:tr w:rsidR="00786B5E" w14:paraId="3E7FC4CE" w14:textId="77777777" w:rsidTr="00B81307">
        <w:trPr>
          <w:cantSplit/>
          <w:jc w:val="center"/>
        </w:trPr>
        <w:tc>
          <w:tcPr>
            <w:tcW w:w="295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F601AE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lastRenderedPageBreak/>
              <w:t>Injection-site reactions</w:t>
            </w:r>
          </w:p>
        </w:tc>
        <w:tc>
          <w:tcPr>
            <w:tcW w:w="324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AB3DD6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2.01 (1.12); 38/116 (32.8%)</w:t>
            </w:r>
          </w:p>
        </w:tc>
        <w:tc>
          <w:tcPr>
            <w:tcW w:w="34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701B7A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2.35 (0.98); 63/116 (54.3%)</w:t>
            </w:r>
          </w:p>
        </w:tc>
        <w:tc>
          <w:tcPr>
            <w:tcW w:w="9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DADDE7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&lt;0.001</w:t>
            </w:r>
          </w:p>
        </w:tc>
      </w:tr>
      <w:tr w:rsidR="00786B5E" w14:paraId="169DFD8F" w14:textId="77777777" w:rsidTr="00B81307">
        <w:trPr>
          <w:cantSplit/>
          <w:jc w:val="center"/>
        </w:trPr>
        <w:tc>
          <w:tcPr>
            <w:tcW w:w="295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ADDD2A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Adverse effects lasting longer than oral therapy</w:t>
            </w:r>
          </w:p>
        </w:tc>
        <w:tc>
          <w:tcPr>
            <w:tcW w:w="324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0A754B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3.04 (1.07); 81/116 (69.8%)</w:t>
            </w:r>
          </w:p>
        </w:tc>
        <w:tc>
          <w:tcPr>
            <w:tcW w:w="34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427A58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3.13 (0.86); 98/116 (84.5%)</w:t>
            </w:r>
          </w:p>
        </w:tc>
        <w:tc>
          <w:tcPr>
            <w:tcW w:w="9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5C2902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0.008</w:t>
            </w:r>
          </w:p>
        </w:tc>
      </w:tr>
      <w:tr w:rsidR="00786B5E" w14:paraId="290646BD" w14:textId="77777777" w:rsidTr="00B81307">
        <w:trPr>
          <w:cantSplit/>
          <w:jc w:val="center"/>
        </w:trPr>
        <w:tc>
          <w:tcPr>
            <w:tcW w:w="295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150388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Strict clinic-attendance requirements</w:t>
            </w:r>
          </w:p>
        </w:tc>
        <w:tc>
          <w:tcPr>
            <w:tcW w:w="324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35552B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2.04 (1.18); 44/116 (37.9%)</w:t>
            </w:r>
          </w:p>
        </w:tc>
        <w:tc>
          <w:tcPr>
            <w:tcW w:w="34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112784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2.42 (1.05); 64/116 (55.2%)</w:t>
            </w:r>
          </w:p>
        </w:tc>
        <w:tc>
          <w:tcPr>
            <w:tcW w:w="9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25C514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0.008</w:t>
            </w:r>
          </w:p>
        </w:tc>
      </w:tr>
      <w:tr w:rsidR="00786B5E" w14:paraId="794D120C" w14:textId="77777777" w:rsidTr="00B81307">
        <w:trPr>
          <w:cantSplit/>
          <w:jc w:val="center"/>
        </w:trPr>
        <w:tc>
          <w:tcPr>
            <w:tcW w:w="295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D49C85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Drug availability or cold-chain concerns</w:t>
            </w:r>
          </w:p>
        </w:tc>
        <w:tc>
          <w:tcPr>
            <w:tcW w:w="324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858EAF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2.95 (1.16); 75/116 (64.7%)</w:t>
            </w:r>
          </w:p>
        </w:tc>
        <w:tc>
          <w:tcPr>
            <w:tcW w:w="34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BF867F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2.66 (1.10); 72/116 (62.1%)</w:t>
            </w:r>
          </w:p>
        </w:tc>
        <w:tc>
          <w:tcPr>
            <w:tcW w:w="9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979572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0.683</w:t>
            </w:r>
          </w:p>
        </w:tc>
      </w:tr>
      <w:tr w:rsidR="00786B5E" w14:paraId="1F00A358" w14:textId="77777777" w:rsidTr="00B81307">
        <w:trPr>
          <w:cantSplit/>
          <w:jc w:val="center"/>
        </w:trPr>
        <w:tc>
          <w:tcPr>
            <w:tcW w:w="295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BA5C2F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Eligibility requirements</w:t>
            </w:r>
          </w:p>
        </w:tc>
        <w:tc>
          <w:tcPr>
            <w:tcW w:w="324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6F3A70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2.81 (1.25); 67/116 (57.8%)</w:t>
            </w:r>
          </w:p>
        </w:tc>
        <w:tc>
          <w:tcPr>
            <w:tcW w:w="34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21997B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2.53 (1.11); 62/116 (53.4%)</w:t>
            </w:r>
          </w:p>
        </w:tc>
        <w:tc>
          <w:tcPr>
            <w:tcW w:w="9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09BF66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0.509</w:t>
            </w:r>
          </w:p>
        </w:tc>
      </w:tr>
      <w:tr w:rsidR="00786B5E" w14:paraId="1B5BA007" w14:textId="77777777" w:rsidTr="00B81307">
        <w:trPr>
          <w:cantSplit/>
          <w:jc w:val="center"/>
        </w:trPr>
        <w:tc>
          <w:tcPr>
            <w:tcW w:w="295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872109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Long-term safety uncertainty</w:t>
            </w:r>
          </w:p>
        </w:tc>
        <w:tc>
          <w:tcPr>
            <w:tcW w:w="324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0B4DB5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2.93 (1.00); 84/116 (72.4%)</w:t>
            </w:r>
          </w:p>
        </w:tc>
        <w:tc>
          <w:tcPr>
            <w:tcW w:w="34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B0E0EA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2.84 (0.97); 86/116 (74.1%)</w:t>
            </w:r>
          </w:p>
        </w:tc>
        <w:tc>
          <w:tcPr>
            <w:tcW w:w="9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B12169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0.767</w:t>
            </w:r>
          </w:p>
        </w:tc>
      </w:tr>
      <w:tr w:rsidR="00786B5E" w14:paraId="7CC2B82C" w14:textId="77777777" w:rsidTr="00B81307">
        <w:trPr>
          <w:cantSplit/>
          <w:jc w:val="center"/>
        </w:trPr>
        <w:tc>
          <w:tcPr>
            <w:tcW w:w="295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16DFB9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Overall risk relative to oral medication</w:t>
            </w:r>
          </w:p>
        </w:tc>
        <w:tc>
          <w:tcPr>
            <w:tcW w:w="324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917201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2.80 (1.30); 65/116 (56.0%)</w:t>
            </w:r>
          </w:p>
        </w:tc>
        <w:tc>
          <w:tcPr>
            <w:tcW w:w="34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CF7A3C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2.58 (1.11); 68/116 (58.6%)</w:t>
            </w:r>
          </w:p>
        </w:tc>
        <w:tc>
          <w:tcPr>
            <w:tcW w:w="9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9142F6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0.690</w:t>
            </w:r>
          </w:p>
        </w:tc>
      </w:tr>
    </w:tbl>
    <w:p w14:paraId="552063E6" w14:textId="77777777" w:rsidR="00786B5E" w:rsidRDefault="00786B5E" w:rsidP="00786B5E">
      <w:pPr>
        <w:spacing w:after="0" w:line="360" w:lineRule="auto"/>
        <w:rPr>
          <w:rFonts w:ascii="Tahoma" w:hAnsi="Tahoma" w:cs="Tahoma"/>
          <w:szCs w:val="24"/>
        </w:rPr>
      </w:pPr>
    </w:p>
    <w:p w14:paraId="56A54865" w14:textId="77777777" w:rsidR="00786B5E" w:rsidRDefault="00786B5E" w:rsidP="00786B5E">
      <w:pPr>
        <w:spacing w:line="360" w:lineRule="auto"/>
        <w:rPr>
          <w:rFonts w:ascii="Tahoma" w:hAnsi="Tahoma" w:cs="Tahoma"/>
          <w:color w:val="000000"/>
          <w:szCs w:val="24"/>
        </w:rPr>
      </w:pPr>
      <w:r>
        <w:rPr>
          <w:rFonts w:ascii="Tahoma" w:hAnsi="Tahoma" w:cs="Tahoma"/>
          <w:color w:val="000000"/>
          <w:szCs w:val="24"/>
        </w:rPr>
        <w:t>Risk items were graded as 1 = not concerned, 2 = neutral, 3 = concerned and 4 = highly concerned. Responses of 3 or 4 are shown as concerned/highly concerned. P values are descriptive.</w:t>
      </w:r>
    </w:p>
    <w:p w14:paraId="1DD71C5E" w14:textId="77777777" w:rsidR="00786B5E" w:rsidRDefault="00786B5E" w:rsidP="00786B5E">
      <w:pPr>
        <w:spacing w:line="360" w:lineRule="auto"/>
        <w:rPr>
          <w:rFonts w:ascii="Tahoma" w:hAnsi="Tahoma" w:cs="Tahoma"/>
          <w:color w:val="000000"/>
          <w:szCs w:val="24"/>
        </w:rPr>
      </w:pPr>
    </w:p>
    <w:p w14:paraId="6067F52C" w14:textId="77777777" w:rsidR="00786B5E" w:rsidRDefault="00786B5E" w:rsidP="00786B5E">
      <w:pPr>
        <w:spacing w:line="360" w:lineRule="auto"/>
        <w:rPr>
          <w:rFonts w:ascii="Tahoma" w:hAnsi="Tahoma" w:cs="Tahoma"/>
          <w:szCs w:val="24"/>
        </w:rPr>
      </w:pPr>
    </w:p>
    <w:p w14:paraId="0F358D93" w14:textId="77777777" w:rsidR="00786B5E" w:rsidRDefault="00786B5E" w:rsidP="00786B5E">
      <w:pPr>
        <w:spacing w:after="0" w:line="360" w:lineRule="auto"/>
        <w:rPr>
          <w:rFonts w:ascii="Tahoma" w:hAnsi="Tahoma" w:cs="Tahoma"/>
          <w:szCs w:val="24"/>
        </w:rPr>
      </w:pPr>
    </w:p>
    <w:p w14:paraId="14850C28" w14:textId="77777777" w:rsidR="00786B5E" w:rsidRDefault="00786B5E" w:rsidP="00786B5E">
      <w:pPr>
        <w:spacing w:after="0" w:line="360" w:lineRule="auto"/>
        <w:rPr>
          <w:rFonts w:ascii="Tahoma" w:hAnsi="Tahoma" w:cs="Tahoma"/>
          <w:szCs w:val="24"/>
        </w:rPr>
      </w:pPr>
    </w:p>
    <w:p w14:paraId="4F302682" w14:textId="77777777" w:rsidR="00786B5E" w:rsidRDefault="00786B5E" w:rsidP="00786B5E">
      <w:pPr>
        <w:spacing w:line="360" w:lineRule="auto"/>
        <w:rPr>
          <w:rFonts w:ascii="Tahoma" w:hAnsi="Tahoma" w:cs="Tahoma"/>
          <w:szCs w:val="24"/>
        </w:rPr>
      </w:pPr>
      <w:r>
        <w:rPr>
          <w:rFonts w:ascii="Tahoma" w:hAnsi="Tahoma" w:cs="Tahoma"/>
          <w:b/>
          <w:color w:val="000000"/>
          <w:szCs w:val="24"/>
        </w:rPr>
        <w:t>Appendix Table S3. Internal consistency of perception scales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01"/>
        <w:gridCol w:w="998"/>
        <w:gridCol w:w="2127"/>
        <w:gridCol w:w="1846"/>
        <w:gridCol w:w="1998"/>
      </w:tblGrid>
      <w:tr w:rsidR="00786B5E" w14:paraId="097178F4" w14:textId="77777777" w:rsidTr="00B81307">
        <w:trPr>
          <w:cantSplit/>
          <w:tblHeader/>
          <w:jc w:val="center"/>
        </w:trPr>
        <w:tc>
          <w:tcPr>
            <w:tcW w:w="316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422A1D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Cs w:val="24"/>
              </w:rPr>
              <w:t>Scale</w:t>
            </w:r>
          </w:p>
        </w:tc>
        <w:tc>
          <w:tcPr>
            <w:tcW w:w="100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5648B1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Cs w:val="24"/>
              </w:rPr>
              <w:t>Items</w:t>
            </w:r>
          </w:p>
        </w:tc>
        <w:tc>
          <w:tcPr>
            <w:tcW w:w="216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2F83F2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Cs w:val="24"/>
              </w:rPr>
              <w:t>Complete responses</w:t>
            </w:r>
          </w:p>
        </w:tc>
        <w:tc>
          <w:tcPr>
            <w:tcW w:w="187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E5A5FF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Cs w:val="24"/>
              </w:rPr>
              <w:t>Cronbach alpha</w:t>
            </w:r>
          </w:p>
        </w:tc>
        <w:tc>
          <w:tcPr>
            <w:tcW w:w="201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1DDB42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Cs w:val="24"/>
              </w:rPr>
              <w:t>Standardised alpha</w:t>
            </w:r>
          </w:p>
        </w:tc>
      </w:tr>
      <w:tr w:rsidR="00786B5E" w14:paraId="4D12EBED" w14:textId="77777777" w:rsidTr="00B81307">
        <w:trPr>
          <w:cantSplit/>
          <w:jc w:val="center"/>
        </w:trPr>
        <w:tc>
          <w:tcPr>
            <w:tcW w:w="316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39D36C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Perceived-benefit scale</w:t>
            </w:r>
          </w:p>
        </w:tc>
        <w:tc>
          <w:tcPr>
            <w:tcW w:w="100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70CB93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6</w:t>
            </w:r>
          </w:p>
        </w:tc>
        <w:tc>
          <w:tcPr>
            <w:tcW w:w="216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3E8B1D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232</w:t>
            </w:r>
          </w:p>
        </w:tc>
        <w:tc>
          <w:tcPr>
            <w:tcW w:w="187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6BA0AB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0.81</w:t>
            </w:r>
          </w:p>
        </w:tc>
        <w:tc>
          <w:tcPr>
            <w:tcW w:w="201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FF9564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0.82</w:t>
            </w:r>
          </w:p>
        </w:tc>
      </w:tr>
      <w:tr w:rsidR="00786B5E" w14:paraId="073E37EF" w14:textId="77777777" w:rsidTr="00B81307">
        <w:trPr>
          <w:cantSplit/>
          <w:jc w:val="center"/>
        </w:trPr>
        <w:tc>
          <w:tcPr>
            <w:tcW w:w="316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F1D1B1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Perceived-risk scale</w:t>
            </w:r>
          </w:p>
        </w:tc>
        <w:tc>
          <w:tcPr>
            <w:tcW w:w="100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065108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8</w:t>
            </w:r>
          </w:p>
        </w:tc>
        <w:tc>
          <w:tcPr>
            <w:tcW w:w="216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5FA906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232</w:t>
            </w:r>
          </w:p>
        </w:tc>
        <w:tc>
          <w:tcPr>
            <w:tcW w:w="187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E4349A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0.88</w:t>
            </w:r>
          </w:p>
        </w:tc>
        <w:tc>
          <w:tcPr>
            <w:tcW w:w="201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C2E7AA" w14:textId="77777777" w:rsidR="00786B5E" w:rsidRDefault="00786B5E" w:rsidP="00B81307">
            <w:pPr>
              <w:spacing w:line="360" w:lineRule="auto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color w:val="000000"/>
                <w:szCs w:val="24"/>
              </w:rPr>
              <w:t>0.88</w:t>
            </w:r>
          </w:p>
        </w:tc>
      </w:tr>
    </w:tbl>
    <w:p w14:paraId="78F470C3" w14:textId="77777777" w:rsidR="00786B5E" w:rsidRDefault="00786B5E" w:rsidP="00786B5E">
      <w:pPr>
        <w:spacing w:after="0" w:line="360" w:lineRule="auto"/>
        <w:rPr>
          <w:rFonts w:ascii="Tahoma" w:hAnsi="Tahoma" w:cs="Tahoma"/>
          <w:szCs w:val="24"/>
        </w:rPr>
      </w:pPr>
    </w:p>
    <w:p w14:paraId="3EB49D8B" w14:textId="77777777" w:rsidR="00DC2479" w:rsidRDefault="00DC2479"/>
    <w:sectPr w:rsidR="00DC2479" w:rsidSect="00786B5E">
      <w:footerReference w:type="default" r:id="rId4"/>
      <w:pgSz w:w="12240" w:h="15840"/>
      <w:pgMar w:top="1080" w:right="1080" w:bottom="1080" w:left="108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6D7BC" w14:textId="77777777" w:rsidR="00786B5E" w:rsidRDefault="00786B5E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>
      <w:t>22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B5E"/>
    <w:rsid w:val="005B6877"/>
    <w:rsid w:val="00786B5E"/>
    <w:rsid w:val="00AA0C39"/>
    <w:rsid w:val="00DC2479"/>
    <w:rsid w:val="00FC0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C4C1C"/>
  <w15:chartTrackingRefBased/>
  <w15:docId w15:val="{6B1B45D6-247C-4651-854F-05AC9034B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B5E"/>
    <w:pPr>
      <w:spacing w:after="120" w:line="276" w:lineRule="auto"/>
    </w:pPr>
    <w:rPr>
      <w:rFonts w:ascii="Times New Roman" w:eastAsia="Times New Roman" w:hAnsi="Times New Roman"/>
      <w:kern w:val="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6B5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6B5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6B5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6B5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6B5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6B5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6B5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6B5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6B5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6B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6B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6B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6B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6B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6B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6B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6B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6B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6B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86B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6B5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86B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6B5E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86B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6B5E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86B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B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B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6B5E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qFormat/>
    <w:rsid w:val="00786B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6B5E"/>
    <w:rPr>
      <w:rFonts w:ascii="Times New Roman" w:eastAsia="Times New Roman" w:hAnsi="Times New Roman"/>
      <w:kern w:val="0"/>
      <w:szCs w:val="22"/>
      <w:lang w:val="en-US"/>
      <w14:ligatures w14:val="none"/>
    </w:rPr>
  </w:style>
  <w:style w:type="table" w:styleId="TableGrid">
    <w:name w:val="Table Grid"/>
    <w:basedOn w:val="TableNormal"/>
    <w:uiPriority w:val="59"/>
    <w:rsid w:val="00786B5E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786B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376</Words>
  <Characters>2147</Characters>
  <Application>Microsoft Office Word</Application>
  <DocSecurity>0</DocSecurity>
  <Lines>17</Lines>
  <Paragraphs>5</Paragraphs>
  <ScaleCrop>false</ScaleCrop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2026-09-25T10:37:00Z</dcterms:created>
  <dcterms:modified xsi:type="dcterms:W3CDTF">2026-09-25T10:38:00Z</dcterms:modified>
</cp:coreProperties>
</file>