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D6E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89"/>
        <w:gridCol w:w="3675"/>
        <w:gridCol w:w="1558"/>
      </w:tblGrid>
      <w:tr w14:paraId="024EF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000" w:type="pct"/>
            <w:gridSpan w:val="3"/>
            <w:tcBorders>
              <w:top w:val="nil"/>
              <w:left w:val="nil"/>
              <w:bottom w:val="nil"/>
              <w:right w:val="nil"/>
            </w:tcBorders>
            <w:noWrap w:val="0"/>
            <w:vAlign w:val="center"/>
          </w:tcPr>
          <w:p w14:paraId="71544AD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Supplementary Table S1. Fully adjusted GEE model for incident depression</w:t>
            </w:r>
          </w:p>
        </w:tc>
      </w:tr>
      <w:tr w14:paraId="1AEB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single" w:color="000000" w:sz="4" w:space="0"/>
              <w:left w:val="nil"/>
              <w:bottom w:val="single" w:color="000000" w:sz="4" w:space="0"/>
              <w:right w:val="nil"/>
            </w:tcBorders>
            <w:noWrap w:val="0"/>
            <w:vAlign w:val="center"/>
          </w:tcPr>
          <w:p w14:paraId="5245976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Variable</w:t>
            </w:r>
          </w:p>
        </w:tc>
        <w:tc>
          <w:tcPr>
            <w:tcW w:w="2156" w:type="pct"/>
            <w:tcBorders>
              <w:top w:val="single" w:color="000000" w:sz="4" w:space="0"/>
              <w:left w:val="nil"/>
              <w:bottom w:val="single" w:color="000000" w:sz="4" w:space="0"/>
              <w:right w:val="nil"/>
            </w:tcBorders>
            <w:noWrap w:val="0"/>
            <w:vAlign w:val="center"/>
          </w:tcPr>
          <w:p w14:paraId="38B834E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RR (95% CI)</w:t>
            </w:r>
          </w:p>
        </w:tc>
        <w:tc>
          <w:tcPr>
            <w:tcW w:w="912" w:type="pct"/>
            <w:tcBorders>
              <w:top w:val="single" w:color="000000" w:sz="4" w:space="0"/>
              <w:left w:val="nil"/>
              <w:bottom w:val="single" w:color="000000" w:sz="4" w:space="0"/>
              <w:right w:val="nil"/>
            </w:tcBorders>
            <w:noWrap w:val="0"/>
            <w:vAlign w:val="center"/>
          </w:tcPr>
          <w:p w14:paraId="470F8BD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 value</w:t>
            </w:r>
          </w:p>
        </w:tc>
      </w:tr>
      <w:tr w14:paraId="7F6A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17D369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Partner depression</w:t>
            </w:r>
          </w:p>
        </w:tc>
        <w:tc>
          <w:tcPr>
            <w:tcW w:w="2156" w:type="pct"/>
            <w:tcBorders>
              <w:top w:val="nil"/>
              <w:left w:val="nil"/>
              <w:bottom w:val="nil"/>
              <w:right w:val="nil"/>
            </w:tcBorders>
            <w:noWrap w:val="0"/>
            <w:vAlign w:val="center"/>
          </w:tcPr>
          <w:p w14:paraId="56C987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1.134 (1.072</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1.200)</w:t>
            </w:r>
          </w:p>
        </w:tc>
        <w:tc>
          <w:tcPr>
            <w:tcW w:w="912" w:type="pct"/>
            <w:tcBorders>
              <w:top w:val="nil"/>
              <w:left w:val="nil"/>
              <w:bottom w:val="nil"/>
              <w:right w:val="nil"/>
            </w:tcBorders>
            <w:noWrap w:val="0"/>
            <w:vAlign w:val="center"/>
          </w:tcPr>
          <w:p w14:paraId="733D8E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409A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0ABDF2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Survey interval</w:t>
            </w:r>
          </w:p>
        </w:tc>
        <w:tc>
          <w:tcPr>
            <w:tcW w:w="2156" w:type="pct"/>
            <w:tcBorders>
              <w:top w:val="nil"/>
              <w:left w:val="nil"/>
              <w:bottom w:val="nil"/>
              <w:right w:val="nil"/>
            </w:tcBorders>
            <w:noWrap w:val="0"/>
            <w:vAlign w:val="center"/>
          </w:tcPr>
          <w:p w14:paraId="5C43D953">
            <w:pPr>
              <w:jc w:val="center"/>
              <w:rPr>
                <w:rFonts w:hint="default" w:ascii="Times New Roman" w:hAnsi="Times New Roman" w:eastAsia="宋体" w:cs="Times New Roman"/>
                <w:i w:val="0"/>
                <w:iCs w:val="0"/>
                <w:color w:val="000000"/>
                <w:sz w:val="20"/>
                <w:szCs w:val="20"/>
                <w:u w:val="none"/>
              </w:rPr>
            </w:pPr>
          </w:p>
        </w:tc>
        <w:tc>
          <w:tcPr>
            <w:tcW w:w="912" w:type="pct"/>
            <w:tcBorders>
              <w:top w:val="nil"/>
              <w:left w:val="nil"/>
              <w:bottom w:val="nil"/>
              <w:right w:val="nil"/>
            </w:tcBorders>
            <w:noWrap w:val="0"/>
            <w:vAlign w:val="center"/>
          </w:tcPr>
          <w:p w14:paraId="7A02FA55">
            <w:pPr>
              <w:jc w:val="center"/>
              <w:rPr>
                <w:rFonts w:hint="default" w:ascii="Times New Roman" w:hAnsi="Times New Roman" w:eastAsia="宋体" w:cs="Times New Roman"/>
                <w:i w:val="0"/>
                <w:iCs w:val="0"/>
                <w:color w:val="000000"/>
                <w:sz w:val="20"/>
                <w:szCs w:val="20"/>
                <w:u w:val="none"/>
              </w:rPr>
            </w:pPr>
          </w:p>
        </w:tc>
      </w:tr>
      <w:tr w14:paraId="56D3A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40FABD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2011→2013</w:t>
            </w:r>
          </w:p>
        </w:tc>
        <w:tc>
          <w:tcPr>
            <w:tcW w:w="2156" w:type="pct"/>
            <w:tcBorders>
              <w:top w:val="nil"/>
              <w:left w:val="nil"/>
              <w:bottom w:val="nil"/>
              <w:right w:val="nil"/>
            </w:tcBorders>
            <w:noWrap w:val="0"/>
            <w:vAlign w:val="center"/>
          </w:tcPr>
          <w:p w14:paraId="2EDF4D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Ref</w:t>
            </w:r>
            <w:r>
              <w:rPr>
                <w:rFonts w:hint="eastAsia" w:ascii="Times New Roman" w:hAnsi="Times New Roman" w:cs="Times New Roman"/>
                <w:i w:val="0"/>
                <w:iCs w:val="0"/>
                <w:color w:val="000000"/>
                <w:kern w:val="0"/>
                <w:sz w:val="20"/>
                <w:szCs w:val="20"/>
                <w:u w:val="none"/>
                <w:lang w:val="en-US" w:eastAsia="zh-CN" w:bidi="ar"/>
              </w:rPr>
              <w:t>erence</w:t>
            </w:r>
          </w:p>
        </w:tc>
        <w:tc>
          <w:tcPr>
            <w:tcW w:w="912" w:type="pct"/>
            <w:tcBorders>
              <w:top w:val="nil"/>
              <w:left w:val="nil"/>
              <w:bottom w:val="nil"/>
              <w:right w:val="nil"/>
            </w:tcBorders>
            <w:noWrap w:val="0"/>
            <w:vAlign w:val="center"/>
          </w:tcPr>
          <w:p w14:paraId="47E94521">
            <w:pPr>
              <w:jc w:val="center"/>
              <w:rPr>
                <w:rFonts w:hint="default" w:ascii="Times New Roman" w:hAnsi="Times New Roman" w:eastAsia="宋体" w:cs="Times New Roman"/>
                <w:i w:val="0"/>
                <w:iCs w:val="0"/>
                <w:color w:val="000000"/>
                <w:sz w:val="20"/>
                <w:szCs w:val="20"/>
                <w:u w:val="none"/>
              </w:rPr>
            </w:pPr>
          </w:p>
        </w:tc>
      </w:tr>
      <w:tr w14:paraId="40D43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59F649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2013→2015</w:t>
            </w:r>
          </w:p>
        </w:tc>
        <w:tc>
          <w:tcPr>
            <w:tcW w:w="2156" w:type="pct"/>
            <w:tcBorders>
              <w:top w:val="nil"/>
              <w:left w:val="nil"/>
              <w:bottom w:val="nil"/>
              <w:right w:val="nil"/>
            </w:tcBorders>
            <w:noWrap w:val="0"/>
            <w:vAlign w:val="center"/>
          </w:tcPr>
          <w:p w14:paraId="12C386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1.073 (0.994</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1.158)</w:t>
            </w:r>
          </w:p>
        </w:tc>
        <w:tc>
          <w:tcPr>
            <w:tcW w:w="912" w:type="pct"/>
            <w:tcBorders>
              <w:top w:val="nil"/>
              <w:left w:val="nil"/>
              <w:bottom w:val="nil"/>
              <w:right w:val="nil"/>
            </w:tcBorders>
            <w:noWrap w:val="0"/>
            <w:vAlign w:val="center"/>
          </w:tcPr>
          <w:p w14:paraId="166594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0.072</w:t>
            </w:r>
          </w:p>
        </w:tc>
      </w:tr>
      <w:tr w14:paraId="6F9D3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68FB7C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2015→2018</w:t>
            </w:r>
          </w:p>
        </w:tc>
        <w:tc>
          <w:tcPr>
            <w:tcW w:w="2156" w:type="pct"/>
            <w:tcBorders>
              <w:top w:val="nil"/>
              <w:left w:val="nil"/>
              <w:bottom w:val="nil"/>
              <w:right w:val="nil"/>
            </w:tcBorders>
            <w:noWrap w:val="0"/>
            <w:vAlign w:val="center"/>
          </w:tcPr>
          <w:p w14:paraId="21781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1.429 (1.331</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1.534)</w:t>
            </w:r>
          </w:p>
        </w:tc>
        <w:tc>
          <w:tcPr>
            <w:tcW w:w="912" w:type="pct"/>
            <w:tcBorders>
              <w:top w:val="nil"/>
              <w:left w:val="nil"/>
              <w:bottom w:val="nil"/>
              <w:right w:val="nil"/>
            </w:tcBorders>
            <w:noWrap w:val="0"/>
            <w:vAlign w:val="center"/>
          </w:tcPr>
          <w:p w14:paraId="0DBD8B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0BA47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561AED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2018→2020</w:t>
            </w:r>
          </w:p>
        </w:tc>
        <w:tc>
          <w:tcPr>
            <w:tcW w:w="2156" w:type="pct"/>
            <w:tcBorders>
              <w:top w:val="nil"/>
              <w:left w:val="nil"/>
              <w:bottom w:val="nil"/>
              <w:right w:val="nil"/>
            </w:tcBorders>
            <w:noWrap w:val="0"/>
            <w:vAlign w:val="center"/>
          </w:tcPr>
          <w:p w14:paraId="63A454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1.246 (1.156</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1.344)</w:t>
            </w:r>
          </w:p>
        </w:tc>
        <w:tc>
          <w:tcPr>
            <w:tcW w:w="912" w:type="pct"/>
            <w:tcBorders>
              <w:top w:val="nil"/>
              <w:left w:val="nil"/>
              <w:bottom w:val="nil"/>
              <w:right w:val="nil"/>
            </w:tcBorders>
            <w:noWrap w:val="0"/>
            <w:vAlign w:val="center"/>
          </w:tcPr>
          <w:p w14:paraId="4FBA52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6DA74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0C0474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Age</w:t>
            </w:r>
          </w:p>
        </w:tc>
        <w:tc>
          <w:tcPr>
            <w:tcW w:w="2156" w:type="pct"/>
            <w:tcBorders>
              <w:top w:val="nil"/>
              <w:left w:val="nil"/>
              <w:bottom w:val="nil"/>
              <w:right w:val="nil"/>
            </w:tcBorders>
            <w:noWrap w:val="0"/>
            <w:vAlign w:val="center"/>
          </w:tcPr>
          <w:p w14:paraId="4981A4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1.001 (0.998</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–1.004)</w:t>
            </w:r>
          </w:p>
        </w:tc>
        <w:tc>
          <w:tcPr>
            <w:tcW w:w="912" w:type="pct"/>
            <w:tcBorders>
              <w:top w:val="nil"/>
              <w:left w:val="nil"/>
              <w:bottom w:val="nil"/>
              <w:right w:val="nil"/>
            </w:tcBorders>
            <w:noWrap w:val="0"/>
            <w:vAlign w:val="center"/>
          </w:tcPr>
          <w:p w14:paraId="3975F0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0.422</w:t>
            </w:r>
          </w:p>
        </w:tc>
      </w:tr>
      <w:tr w14:paraId="7994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6F9E2C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Male</w:t>
            </w:r>
          </w:p>
        </w:tc>
        <w:tc>
          <w:tcPr>
            <w:tcW w:w="2156" w:type="pct"/>
            <w:tcBorders>
              <w:top w:val="nil"/>
              <w:left w:val="nil"/>
              <w:bottom w:val="nil"/>
              <w:right w:val="nil"/>
            </w:tcBorders>
            <w:noWrap w:val="0"/>
            <w:vAlign w:val="center"/>
          </w:tcPr>
          <w:p w14:paraId="57D7BB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0.742 (0.694</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0.793)</w:t>
            </w:r>
          </w:p>
        </w:tc>
        <w:tc>
          <w:tcPr>
            <w:tcW w:w="912" w:type="pct"/>
            <w:tcBorders>
              <w:top w:val="nil"/>
              <w:left w:val="nil"/>
              <w:bottom w:val="nil"/>
              <w:right w:val="nil"/>
            </w:tcBorders>
            <w:noWrap w:val="0"/>
            <w:vAlign w:val="center"/>
          </w:tcPr>
          <w:p w14:paraId="5A9870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3BBEF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45C072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Education</w:t>
            </w:r>
          </w:p>
        </w:tc>
        <w:tc>
          <w:tcPr>
            <w:tcW w:w="2156" w:type="pct"/>
            <w:tcBorders>
              <w:top w:val="nil"/>
              <w:left w:val="nil"/>
              <w:bottom w:val="nil"/>
              <w:right w:val="nil"/>
            </w:tcBorders>
            <w:noWrap w:val="0"/>
            <w:vAlign w:val="center"/>
          </w:tcPr>
          <w:p w14:paraId="0C07AC5A">
            <w:pPr>
              <w:jc w:val="center"/>
              <w:rPr>
                <w:rFonts w:hint="default" w:ascii="Times New Roman" w:hAnsi="Times New Roman" w:eastAsia="宋体" w:cs="Times New Roman"/>
                <w:i w:val="0"/>
                <w:iCs w:val="0"/>
                <w:color w:val="000000"/>
                <w:sz w:val="20"/>
                <w:szCs w:val="20"/>
                <w:u w:val="none"/>
              </w:rPr>
            </w:pPr>
          </w:p>
        </w:tc>
        <w:tc>
          <w:tcPr>
            <w:tcW w:w="912" w:type="pct"/>
            <w:tcBorders>
              <w:top w:val="nil"/>
              <w:left w:val="nil"/>
              <w:bottom w:val="nil"/>
              <w:right w:val="nil"/>
            </w:tcBorders>
            <w:noWrap w:val="0"/>
            <w:vAlign w:val="center"/>
          </w:tcPr>
          <w:p w14:paraId="39C307A7">
            <w:pPr>
              <w:jc w:val="center"/>
              <w:rPr>
                <w:rFonts w:hint="default" w:ascii="Times New Roman" w:hAnsi="Times New Roman" w:eastAsia="宋体" w:cs="Times New Roman"/>
                <w:i w:val="0"/>
                <w:iCs w:val="0"/>
                <w:color w:val="000000"/>
                <w:sz w:val="20"/>
                <w:szCs w:val="20"/>
                <w:u w:val="none"/>
              </w:rPr>
            </w:pPr>
          </w:p>
        </w:tc>
      </w:tr>
      <w:tr w14:paraId="53515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5C15D3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Primary school or below</w:t>
            </w:r>
          </w:p>
        </w:tc>
        <w:tc>
          <w:tcPr>
            <w:tcW w:w="2156" w:type="pct"/>
            <w:tcBorders>
              <w:top w:val="nil"/>
              <w:left w:val="nil"/>
              <w:bottom w:val="nil"/>
              <w:right w:val="nil"/>
            </w:tcBorders>
            <w:noWrap w:val="0"/>
            <w:vAlign w:val="center"/>
          </w:tcPr>
          <w:p w14:paraId="664A14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Ref</w:t>
            </w:r>
            <w:r>
              <w:rPr>
                <w:rFonts w:hint="eastAsia" w:ascii="Times New Roman" w:hAnsi="Times New Roman" w:cs="Times New Roman"/>
                <w:i w:val="0"/>
                <w:iCs w:val="0"/>
                <w:color w:val="000000"/>
                <w:kern w:val="0"/>
                <w:sz w:val="20"/>
                <w:szCs w:val="20"/>
                <w:u w:val="none"/>
                <w:lang w:val="en-US" w:eastAsia="zh-CN" w:bidi="ar"/>
              </w:rPr>
              <w:t>erence</w:t>
            </w:r>
          </w:p>
        </w:tc>
        <w:tc>
          <w:tcPr>
            <w:tcW w:w="912" w:type="pct"/>
            <w:tcBorders>
              <w:top w:val="nil"/>
              <w:left w:val="nil"/>
              <w:bottom w:val="nil"/>
              <w:right w:val="nil"/>
            </w:tcBorders>
            <w:noWrap w:val="0"/>
            <w:vAlign w:val="center"/>
          </w:tcPr>
          <w:p w14:paraId="4F3665CC">
            <w:pPr>
              <w:jc w:val="center"/>
              <w:rPr>
                <w:rFonts w:hint="default" w:ascii="Times New Roman" w:hAnsi="Times New Roman" w:eastAsia="宋体" w:cs="Times New Roman"/>
                <w:i w:val="0"/>
                <w:iCs w:val="0"/>
                <w:color w:val="000000"/>
                <w:sz w:val="20"/>
                <w:szCs w:val="20"/>
                <w:u w:val="none"/>
              </w:rPr>
            </w:pPr>
          </w:p>
        </w:tc>
      </w:tr>
      <w:tr w14:paraId="5B1A5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193EC5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Middle school</w:t>
            </w:r>
          </w:p>
        </w:tc>
        <w:tc>
          <w:tcPr>
            <w:tcW w:w="2156" w:type="pct"/>
            <w:tcBorders>
              <w:top w:val="nil"/>
              <w:left w:val="nil"/>
              <w:bottom w:val="nil"/>
              <w:right w:val="nil"/>
            </w:tcBorders>
            <w:noWrap w:val="0"/>
            <w:vAlign w:val="center"/>
          </w:tcPr>
          <w:p w14:paraId="1C3A71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0.806 (0.756</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0.860)</w:t>
            </w:r>
          </w:p>
        </w:tc>
        <w:tc>
          <w:tcPr>
            <w:tcW w:w="912" w:type="pct"/>
            <w:tcBorders>
              <w:top w:val="nil"/>
              <w:left w:val="nil"/>
              <w:bottom w:val="nil"/>
              <w:right w:val="nil"/>
            </w:tcBorders>
            <w:noWrap w:val="0"/>
            <w:vAlign w:val="center"/>
          </w:tcPr>
          <w:p w14:paraId="47945C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36CE9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7203CF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High school or above</w:t>
            </w:r>
          </w:p>
        </w:tc>
        <w:tc>
          <w:tcPr>
            <w:tcW w:w="2156" w:type="pct"/>
            <w:tcBorders>
              <w:top w:val="nil"/>
              <w:left w:val="nil"/>
              <w:bottom w:val="nil"/>
              <w:right w:val="nil"/>
            </w:tcBorders>
            <w:noWrap w:val="0"/>
            <w:vAlign w:val="center"/>
          </w:tcPr>
          <w:p w14:paraId="3060E9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0.676 (0.615</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0.743)</w:t>
            </w:r>
          </w:p>
        </w:tc>
        <w:tc>
          <w:tcPr>
            <w:tcW w:w="912" w:type="pct"/>
            <w:tcBorders>
              <w:top w:val="nil"/>
              <w:left w:val="nil"/>
              <w:bottom w:val="nil"/>
              <w:right w:val="nil"/>
            </w:tcBorders>
            <w:noWrap w:val="0"/>
            <w:vAlign w:val="center"/>
          </w:tcPr>
          <w:p w14:paraId="2B7406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6932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4683E2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Urban birthplace</w:t>
            </w:r>
          </w:p>
        </w:tc>
        <w:tc>
          <w:tcPr>
            <w:tcW w:w="2156" w:type="pct"/>
            <w:tcBorders>
              <w:top w:val="nil"/>
              <w:left w:val="nil"/>
              <w:bottom w:val="nil"/>
              <w:right w:val="nil"/>
            </w:tcBorders>
            <w:noWrap w:val="0"/>
            <w:vAlign w:val="center"/>
          </w:tcPr>
          <w:p w14:paraId="30A1D9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0.819 (0.735</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0.913)</w:t>
            </w:r>
          </w:p>
        </w:tc>
        <w:tc>
          <w:tcPr>
            <w:tcW w:w="912" w:type="pct"/>
            <w:tcBorders>
              <w:top w:val="nil"/>
              <w:left w:val="nil"/>
              <w:bottom w:val="nil"/>
              <w:right w:val="nil"/>
            </w:tcBorders>
            <w:noWrap w:val="0"/>
            <w:vAlign w:val="center"/>
          </w:tcPr>
          <w:p w14:paraId="67C73C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0DB3F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126C97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Baseline CES-D score</w:t>
            </w:r>
          </w:p>
        </w:tc>
        <w:tc>
          <w:tcPr>
            <w:tcW w:w="2156" w:type="pct"/>
            <w:tcBorders>
              <w:top w:val="nil"/>
              <w:left w:val="nil"/>
              <w:bottom w:val="nil"/>
              <w:right w:val="nil"/>
            </w:tcBorders>
            <w:noWrap w:val="0"/>
            <w:vAlign w:val="center"/>
          </w:tcPr>
          <w:p w14:paraId="2DECB6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1.168 (1.157</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1.179)</w:t>
            </w:r>
          </w:p>
        </w:tc>
        <w:tc>
          <w:tcPr>
            <w:tcW w:w="912" w:type="pct"/>
            <w:tcBorders>
              <w:top w:val="nil"/>
              <w:left w:val="nil"/>
              <w:bottom w:val="nil"/>
              <w:right w:val="nil"/>
            </w:tcBorders>
            <w:noWrap w:val="0"/>
            <w:vAlign w:val="center"/>
          </w:tcPr>
          <w:p w14:paraId="6F0FE5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&lt;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0.001</w:t>
            </w:r>
          </w:p>
        </w:tc>
      </w:tr>
      <w:tr w14:paraId="3621B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6F9EF0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Current smoking</w:t>
            </w:r>
          </w:p>
        </w:tc>
        <w:tc>
          <w:tcPr>
            <w:tcW w:w="2156" w:type="pct"/>
            <w:tcBorders>
              <w:top w:val="nil"/>
              <w:left w:val="nil"/>
              <w:bottom w:val="nil"/>
              <w:right w:val="nil"/>
            </w:tcBorders>
            <w:noWrap w:val="0"/>
            <w:vAlign w:val="center"/>
          </w:tcPr>
          <w:p w14:paraId="6CA9E8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1.086 (1.015</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1.162)</w:t>
            </w:r>
          </w:p>
        </w:tc>
        <w:tc>
          <w:tcPr>
            <w:tcW w:w="912" w:type="pct"/>
            <w:tcBorders>
              <w:top w:val="nil"/>
              <w:left w:val="nil"/>
              <w:bottom w:val="nil"/>
              <w:right w:val="nil"/>
            </w:tcBorders>
            <w:noWrap w:val="0"/>
            <w:vAlign w:val="center"/>
          </w:tcPr>
          <w:p w14:paraId="15D98F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0.017</w:t>
            </w:r>
          </w:p>
        </w:tc>
      </w:tr>
      <w:tr w14:paraId="42AAA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nil"/>
              <w:right w:val="nil"/>
            </w:tcBorders>
            <w:noWrap w:val="0"/>
            <w:vAlign w:val="center"/>
          </w:tcPr>
          <w:p w14:paraId="29D799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Current drinking</w:t>
            </w:r>
          </w:p>
        </w:tc>
        <w:tc>
          <w:tcPr>
            <w:tcW w:w="2156" w:type="pct"/>
            <w:tcBorders>
              <w:top w:val="nil"/>
              <w:left w:val="nil"/>
              <w:bottom w:val="nil"/>
              <w:right w:val="nil"/>
            </w:tcBorders>
            <w:noWrap w:val="0"/>
            <w:vAlign w:val="center"/>
          </w:tcPr>
          <w:p w14:paraId="685879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0.928 (0.874</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0.985)</w:t>
            </w:r>
          </w:p>
        </w:tc>
        <w:tc>
          <w:tcPr>
            <w:tcW w:w="912" w:type="pct"/>
            <w:tcBorders>
              <w:top w:val="nil"/>
              <w:left w:val="nil"/>
              <w:bottom w:val="nil"/>
              <w:right w:val="nil"/>
            </w:tcBorders>
            <w:noWrap w:val="0"/>
            <w:vAlign w:val="center"/>
          </w:tcPr>
          <w:p w14:paraId="444996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0.014</w:t>
            </w:r>
          </w:p>
        </w:tc>
      </w:tr>
      <w:tr w14:paraId="67CC4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930" w:type="pct"/>
            <w:tcBorders>
              <w:top w:val="nil"/>
              <w:left w:val="nil"/>
              <w:bottom w:val="single" w:color="000000" w:sz="4" w:space="0"/>
              <w:right w:val="nil"/>
            </w:tcBorders>
            <w:noWrap w:val="0"/>
            <w:vAlign w:val="center"/>
          </w:tcPr>
          <w:p w14:paraId="4AA1FA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Social participation</w:t>
            </w:r>
          </w:p>
        </w:tc>
        <w:tc>
          <w:tcPr>
            <w:tcW w:w="2156" w:type="pct"/>
            <w:tcBorders>
              <w:top w:val="nil"/>
              <w:left w:val="nil"/>
              <w:bottom w:val="single" w:color="000000" w:sz="4" w:space="0"/>
              <w:right w:val="nil"/>
            </w:tcBorders>
            <w:noWrap w:val="0"/>
            <w:vAlign w:val="center"/>
          </w:tcPr>
          <w:p w14:paraId="58D2B6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0.908 (0.864</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0.955)</w:t>
            </w:r>
          </w:p>
        </w:tc>
        <w:tc>
          <w:tcPr>
            <w:tcW w:w="912" w:type="pct"/>
            <w:tcBorders>
              <w:top w:val="nil"/>
              <w:left w:val="nil"/>
              <w:bottom w:val="single" w:color="000000" w:sz="4" w:space="0"/>
              <w:right w:val="nil"/>
            </w:tcBorders>
            <w:noWrap w:val="0"/>
            <w:vAlign w:val="center"/>
          </w:tcPr>
          <w:p w14:paraId="2737D3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5B9BB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0" w:hRule="atLeast"/>
        </w:trPr>
        <w:tc>
          <w:tcPr>
            <w:tcW w:w="5000" w:type="pct"/>
            <w:gridSpan w:val="3"/>
            <w:tcBorders>
              <w:top w:val="nil"/>
              <w:left w:val="nil"/>
              <w:bottom w:val="nil"/>
              <w:right w:val="nil"/>
            </w:tcBorders>
            <w:noWrap w:val="0"/>
            <w:vAlign w:val="top"/>
          </w:tcPr>
          <w:p w14:paraId="09B6717B">
            <w:pPr>
              <w:keepNext w:val="0"/>
              <w:keepLines w:val="0"/>
              <w:widowControl/>
              <w:suppressLineNumbers w:val="0"/>
              <w:jc w:val="left"/>
              <w:textAlignment w:val="top"/>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Note:</w:t>
            </w:r>
            <w:r>
              <w:rPr>
                <w:rFonts w:hint="default" w:ascii="Times New Roman" w:hAnsi="Times New Roman" w:eastAsia="宋体" w:cs="Times New Roman"/>
                <w:i w:val="0"/>
                <w:iCs w:val="0"/>
                <w:color w:val="000000"/>
                <w:kern w:val="0"/>
                <w:sz w:val="20"/>
                <w:szCs w:val="20"/>
                <w:u w:val="none"/>
                <w:lang w:val="en-US" w:eastAsia="zh-CN" w:bidi="ar"/>
              </w:rPr>
              <w:t xml:space="preserve"> RR, risk ratio; CI, confidence interval; CES-D, Center for Epidemiologic Studies Depression Scale; GEE, generalized estimating equation. Estimates were obtained from the fully adjusted GEE model with a log link and an independent working correlation structure, with clustering at the household level. The model simultaneously adjusted for survey interval, age, sex, educational attainment, birthplace, interval-specific baseline CES-D score, current smoking, current drinking, and social participation. Baseline CES-D refers to the recipient's CES-D score measured at the beginning of each survey interval. The reference categories were 2011–2013 for survey interval, female for sex, primary school or below for educational attainment, rural for birthplace, no for current smoking, no for current drinking, and no for social participation.</w:t>
            </w:r>
          </w:p>
        </w:tc>
      </w:tr>
    </w:tbl>
    <w:p w14:paraId="4B8EB09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48"/>
        <w:gridCol w:w="912"/>
        <w:gridCol w:w="2645"/>
        <w:gridCol w:w="917"/>
      </w:tblGrid>
      <w:tr w14:paraId="39C3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4"/>
            <w:tcBorders>
              <w:top w:val="nil"/>
              <w:left w:val="nil"/>
              <w:bottom w:val="nil"/>
              <w:right w:val="nil"/>
            </w:tcBorders>
            <w:noWrap w:val="0"/>
            <w:vAlign w:val="center"/>
          </w:tcPr>
          <w:p w14:paraId="4FECDF3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Supplementary Table S2. Sensitivity analyses</w:t>
            </w:r>
          </w:p>
        </w:tc>
      </w:tr>
      <w:tr w14:paraId="7C87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single" w:color="000000" w:sz="4" w:space="0"/>
              <w:left w:val="nil"/>
              <w:bottom w:val="single" w:color="000000" w:sz="4" w:space="0"/>
              <w:right w:val="nil"/>
            </w:tcBorders>
            <w:noWrap w:val="0"/>
            <w:vAlign w:val="center"/>
          </w:tcPr>
          <w:p w14:paraId="41D1DC8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Analysis</w:t>
            </w:r>
          </w:p>
        </w:tc>
        <w:tc>
          <w:tcPr>
            <w:tcW w:w="535" w:type="pct"/>
            <w:tcBorders>
              <w:top w:val="single" w:color="000000" w:sz="4" w:space="0"/>
              <w:left w:val="nil"/>
              <w:bottom w:val="single" w:color="000000" w:sz="4" w:space="0"/>
              <w:right w:val="nil"/>
            </w:tcBorders>
            <w:noWrap w:val="0"/>
            <w:vAlign w:val="center"/>
          </w:tcPr>
          <w:p w14:paraId="19A0FD6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w:t>
            </w:r>
          </w:p>
        </w:tc>
        <w:tc>
          <w:tcPr>
            <w:tcW w:w="1552" w:type="pct"/>
            <w:tcBorders>
              <w:top w:val="single" w:color="000000" w:sz="4" w:space="0"/>
              <w:left w:val="nil"/>
              <w:bottom w:val="single" w:color="000000" w:sz="4" w:space="0"/>
              <w:right w:val="nil"/>
            </w:tcBorders>
            <w:noWrap w:val="0"/>
            <w:vAlign w:val="center"/>
          </w:tcPr>
          <w:p w14:paraId="0BA3962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RR (95% CI)</w:t>
            </w:r>
          </w:p>
        </w:tc>
        <w:tc>
          <w:tcPr>
            <w:tcW w:w="536" w:type="pct"/>
            <w:tcBorders>
              <w:top w:val="single" w:color="000000" w:sz="4" w:space="0"/>
              <w:left w:val="nil"/>
              <w:bottom w:val="single" w:color="000000" w:sz="4" w:space="0"/>
              <w:right w:val="nil"/>
            </w:tcBorders>
            <w:noWrap w:val="0"/>
            <w:vAlign w:val="center"/>
          </w:tcPr>
          <w:p w14:paraId="479D3E4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r>
              <w:rPr>
                <w:rFonts w:hint="default" w:ascii="Times New Roman" w:hAnsi="Times New Roman" w:eastAsia="宋体" w:cs="Times New Roman"/>
                <w:b/>
                <w:bCs/>
                <w:i w:val="0"/>
                <w:iCs w:val="0"/>
                <w:color w:val="000000"/>
                <w:kern w:val="0"/>
                <w:sz w:val="20"/>
                <w:szCs w:val="20"/>
                <w:u w:val="none"/>
                <w:lang w:val="en-US" w:eastAsia="zh-CN" w:bidi="ar"/>
              </w:rPr>
              <w:t xml:space="preserve"> value</w:t>
            </w:r>
          </w:p>
        </w:tc>
      </w:tr>
      <w:tr w14:paraId="75755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nil"/>
              <w:left w:val="nil"/>
              <w:bottom w:val="nil"/>
              <w:right w:val="nil"/>
            </w:tcBorders>
            <w:noWrap w:val="0"/>
            <w:vAlign w:val="center"/>
          </w:tcPr>
          <w:p w14:paraId="1F155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Main analysis</w:t>
            </w:r>
          </w:p>
        </w:tc>
        <w:tc>
          <w:tcPr>
            <w:tcW w:w="535" w:type="pct"/>
            <w:tcBorders>
              <w:top w:val="nil"/>
              <w:left w:val="nil"/>
              <w:bottom w:val="nil"/>
              <w:right w:val="nil"/>
            </w:tcBorders>
            <w:noWrap w:val="0"/>
            <w:vAlign w:val="center"/>
          </w:tcPr>
          <w:p w14:paraId="6386FA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23,886</w:t>
            </w:r>
          </w:p>
        </w:tc>
        <w:tc>
          <w:tcPr>
            <w:tcW w:w="1552" w:type="pct"/>
            <w:tcBorders>
              <w:top w:val="nil"/>
              <w:left w:val="nil"/>
              <w:bottom w:val="nil"/>
              <w:right w:val="nil"/>
            </w:tcBorders>
            <w:noWrap w:val="0"/>
            <w:vAlign w:val="center"/>
          </w:tcPr>
          <w:p w14:paraId="258B52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1.134 (1.072</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1.200)</w:t>
            </w:r>
          </w:p>
        </w:tc>
        <w:tc>
          <w:tcPr>
            <w:tcW w:w="536" w:type="pct"/>
            <w:tcBorders>
              <w:top w:val="nil"/>
              <w:left w:val="nil"/>
              <w:bottom w:val="nil"/>
              <w:right w:val="nil"/>
            </w:tcBorders>
            <w:noWrap w:val="0"/>
            <w:vAlign w:val="center"/>
          </w:tcPr>
          <w:p w14:paraId="39708C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&lt;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0.001</w:t>
            </w:r>
          </w:p>
        </w:tc>
      </w:tr>
      <w:tr w14:paraId="68F11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nil"/>
              <w:left w:val="nil"/>
              <w:bottom w:val="nil"/>
              <w:right w:val="nil"/>
            </w:tcBorders>
            <w:noWrap w:val="0"/>
            <w:vAlign w:val="center"/>
          </w:tcPr>
          <w:p w14:paraId="189EFC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Excluding birthplace from covariates</w:t>
            </w:r>
          </w:p>
        </w:tc>
        <w:tc>
          <w:tcPr>
            <w:tcW w:w="535" w:type="pct"/>
            <w:tcBorders>
              <w:top w:val="nil"/>
              <w:left w:val="nil"/>
              <w:bottom w:val="nil"/>
              <w:right w:val="nil"/>
            </w:tcBorders>
            <w:noWrap w:val="0"/>
            <w:vAlign w:val="center"/>
          </w:tcPr>
          <w:p w14:paraId="7BB2D9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25,790</w:t>
            </w:r>
          </w:p>
        </w:tc>
        <w:tc>
          <w:tcPr>
            <w:tcW w:w="1552" w:type="pct"/>
            <w:tcBorders>
              <w:top w:val="nil"/>
              <w:left w:val="nil"/>
              <w:bottom w:val="nil"/>
              <w:right w:val="nil"/>
            </w:tcBorders>
            <w:noWrap w:val="0"/>
            <w:vAlign w:val="center"/>
          </w:tcPr>
          <w:p w14:paraId="1D611D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1.143 (1.082</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1.207)</w:t>
            </w:r>
          </w:p>
        </w:tc>
        <w:tc>
          <w:tcPr>
            <w:tcW w:w="536" w:type="pct"/>
            <w:tcBorders>
              <w:top w:val="nil"/>
              <w:left w:val="nil"/>
              <w:bottom w:val="nil"/>
              <w:right w:val="nil"/>
            </w:tcBorders>
            <w:noWrap w:val="0"/>
            <w:vAlign w:val="center"/>
          </w:tcPr>
          <w:p w14:paraId="479E850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&lt;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0.001</w:t>
            </w:r>
          </w:p>
        </w:tc>
      </w:tr>
      <w:tr w14:paraId="1FE1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nil"/>
              <w:left w:val="nil"/>
              <w:bottom w:val="nil"/>
              <w:right w:val="nil"/>
            </w:tcBorders>
            <w:noWrap w:val="0"/>
            <w:vAlign w:val="center"/>
          </w:tcPr>
          <w:p w14:paraId="770B8F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Strict temporal analysis: Model S1</w:t>
            </w:r>
          </w:p>
        </w:tc>
        <w:tc>
          <w:tcPr>
            <w:tcW w:w="535" w:type="pct"/>
            <w:tcBorders>
              <w:top w:val="nil"/>
              <w:left w:val="nil"/>
              <w:bottom w:val="nil"/>
              <w:right w:val="nil"/>
            </w:tcBorders>
            <w:noWrap w:val="0"/>
            <w:vAlign w:val="center"/>
          </w:tcPr>
          <w:p w14:paraId="781232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8,609</w:t>
            </w:r>
          </w:p>
        </w:tc>
        <w:tc>
          <w:tcPr>
            <w:tcW w:w="1552" w:type="pct"/>
            <w:tcBorders>
              <w:top w:val="nil"/>
              <w:left w:val="nil"/>
              <w:bottom w:val="nil"/>
              <w:right w:val="nil"/>
            </w:tcBorders>
            <w:noWrap w:val="0"/>
            <w:vAlign w:val="center"/>
          </w:tcPr>
          <w:p w14:paraId="34379A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1.093 (0.962</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1.242)</w:t>
            </w:r>
          </w:p>
        </w:tc>
        <w:tc>
          <w:tcPr>
            <w:tcW w:w="536" w:type="pct"/>
            <w:tcBorders>
              <w:top w:val="nil"/>
              <w:left w:val="nil"/>
              <w:bottom w:val="nil"/>
              <w:right w:val="nil"/>
            </w:tcBorders>
            <w:noWrap w:val="0"/>
            <w:vAlign w:val="center"/>
          </w:tcPr>
          <w:p w14:paraId="510BB3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0.173 </w:t>
            </w:r>
          </w:p>
        </w:tc>
      </w:tr>
      <w:tr w14:paraId="231DE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nil"/>
              <w:left w:val="nil"/>
              <w:bottom w:val="nil"/>
              <w:right w:val="nil"/>
            </w:tcBorders>
            <w:noWrap w:val="0"/>
            <w:vAlign w:val="center"/>
          </w:tcPr>
          <w:p w14:paraId="1DF6BA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Strict temporal analysis: Model S2</w:t>
            </w:r>
          </w:p>
        </w:tc>
        <w:tc>
          <w:tcPr>
            <w:tcW w:w="535" w:type="pct"/>
            <w:tcBorders>
              <w:top w:val="nil"/>
              <w:left w:val="nil"/>
              <w:bottom w:val="nil"/>
              <w:right w:val="nil"/>
            </w:tcBorders>
            <w:noWrap w:val="0"/>
            <w:vAlign w:val="center"/>
          </w:tcPr>
          <w:p w14:paraId="24354E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8,609</w:t>
            </w:r>
          </w:p>
        </w:tc>
        <w:tc>
          <w:tcPr>
            <w:tcW w:w="1552" w:type="pct"/>
            <w:tcBorders>
              <w:top w:val="nil"/>
              <w:left w:val="nil"/>
              <w:bottom w:val="nil"/>
              <w:right w:val="nil"/>
            </w:tcBorders>
            <w:noWrap w:val="0"/>
            <w:vAlign w:val="center"/>
          </w:tcPr>
          <w:p w14:paraId="457D9B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1.142 (1.006</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1.297)</w:t>
            </w:r>
          </w:p>
        </w:tc>
        <w:tc>
          <w:tcPr>
            <w:tcW w:w="536" w:type="pct"/>
            <w:tcBorders>
              <w:top w:val="nil"/>
              <w:left w:val="nil"/>
              <w:bottom w:val="nil"/>
              <w:right w:val="nil"/>
            </w:tcBorders>
            <w:noWrap w:val="0"/>
            <w:vAlign w:val="center"/>
          </w:tcPr>
          <w:p w14:paraId="756FA0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0.041 </w:t>
            </w:r>
          </w:p>
        </w:tc>
      </w:tr>
      <w:tr w14:paraId="338F2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nil"/>
              <w:left w:val="nil"/>
              <w:bottom w:val="nil"/>
              <w:right w:val="nil"/>
            </w:tcBorders>
            <w:noWrap w:val="0"/>
            <w:vAlign w:val="center"/>
          </w:tcPr>
          <w:p w14:paraId="34B813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Strict temporal analysis: Model S3</w:t>
            </w:r>
          </w:p>
        </w:tc>
        <w:tc>
          <w:tcPr>
            <w:tcW w:w="535" w:type="pct"/>
            <w:tcBorders>
              <w:top w:val="nil"/>
              <w:left w:val="nil"/>
              <w:bottom w:val="nil"/>
              <w:right w:val="nil"/>
            </w:tcBorders>
            <w:noWrap w:val="0"/>
            <w:vAlign w:val="center"/>
          </w:tcPr>
          <w:p w14:paraId="475FB9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8,609</w:t>
            </w:r>
          </w:p>
        </w:tc>
        <w:tc>
          <w:tcPr>
            <w:tcW w:w="1552" w:type="pct"/>
            <w:tcBorders>
              <w:top w:val="nil"/>
              <w:left w:val="nil"/>
              <w:bottom w:val="nil"/>
              <w:right w:val="nil"/>
            </w:tcBorders>
            <w:noWrap w:val="0"/>
            <w:vAlign w:val="center"/>
          </w:tcPr>
          <w:p w14:paraId="411492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1.092 (0.963</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1.239)</w:t>
            </w:r>
          </w:p>
        </w:tc>
        <w:tc>
          <w:tcPr>
            <w:tcW w:w="536" w:type="pct"/>
            <w:tcBorders>
              <w:top w:val="nil"/>
              <w:left w:val="nil"/>
              <w:bottom w:val="nil"/>
              <w:right w:val="nil"/>
            </w:tcBorders>
            <w:noWrap w:val="0"/>
            <w:vAlign w:val="center"/>
          </w:tcPr>
          <w:p w14:paraId="40880C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0.172 </w:t>
            </w:r>
          </w:p>
        </w:tc>
      </w:tr>
      <w:tr w14:paraId="005E3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375" w:type="pct"/>
            <w:tcBorders>
              <w:top w:val="nil"/>
              <w:left w:val="nil"/>
              <w:bottom w:val="single" w:color="000000" w:sz="4" w:space="0"/>
              <w:right w:val="nil"/>
            </w:tcBorders>
            <w:noWrap w:val="0"/>
            <w:vAlign w:val="center"/>
          </w:tcPr>
          <w:p w14:paraId="678959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Strict temporal analysis: Model S4</w:t>
            </w:r>
          </w:p>
        </w:tc>
        <w:tc>
          <w:tcPr>
            <w:tcW w:w="535" w:type="pct"/>
            <w:tcBorders>
              <w:top w:val="nil"/>
              <w:left w:val="nil"/>
              <w:bottom w:val="single" w:color="000000" w:sz="4" w:space="0"/>
              <w:right w:val="nil"/>
            </w:tcBorders>
            <w:noWrap w:val="0"/>
            <w:vAlign w:val="center"/>
          </w:tcPr>
          <w:p w14:paraId="33DBBD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8,609</w:t>
            </w:r>
          </w:p>
        </w:tc>
        <w:tc>
          <w:tcPr>
            <w:tcW w:w="1552" w:type="pct"/>
            <w:tcBorders>
              <w:top w:val="nil"/>
              <w:left w:val="nil"/>
              <w:bottom w:val="single" w:color="000000" w:sz="4" w:space="0"/>
              <w:right w:val="nil"/>
            </w:tcBorders>
            <w:noWrap w:val="0"/>
            <w:vAlign w:val="center"/>
          </w:tcPr>
          <w:p w14:paraId="4B75B4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1.092 (0.963</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1.239)</w:t>
            </w:r>
          </w:p>
        </w:tc>
        <w:tc>
          <w:tcPr>
            <w:tcW w:w="536" w:type="pct"/>
            <w:tcBorders>
              <w:top w:val="nil"/>
              <w:left w:val="nil"/>
              <w:bottom w:val="single" w:color="000000" w:sz="4" w:space="0"/>
              <w:right w:val="nil"/>
            </w:tcBorders>
            <w:noWrap w:val="0"/>
            <w:vAlign w:val="center"/>
          </w:tcPr>
          <w:p w14:paraId="1B4626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0.170 </w:t>
            </w:r>
          </w:p>
        </w:tc>
      </w:tr>
      <w:tr w14:paraId="04FA2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6" w:hRule="atLeast"/>
        </w:trPr>
        <w:tc>
          <w:tcPr>
            <w:tcW w:w="5000" w:type="pct"/>
            <w:gridSpan w:val="4"/>
            <w:tcBorders>
              <w:top w:val="nil"/>
              <w:left w:val="nil"/>
              <w:bottom w:val="nil"/>
              <w:right w:val="nil"/>
            </w:tcBorders>
            <w:noWrap w:val="0"/>
            <w:vAlign w:val="top"/>
          </w:tcPr>
          <w:p w14:paraId="48D16B43">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eastAsia" w:ascii="Times New Roman" w:hAnsi="Times New Roman" w:cs="Times New Roman"/>
                <w:b/>
                <w:bCs/>
                <w:i w:val="0"/>
                <w:iCs w:val="0"/>
                <w:color w:val="000000"/>
                <w:kern w:val="0"/>
                <w:sz w:val="20"/>
                <w:szCs w:val="20"/>
                <w:u w:val="none"/>
                <w:lang w:val="en-US" w:eastAsia="zh-CN" w:bidi="ar"/>
              </w:rPr>
              <w:t xml:space="preserve">Note: </w:t>
            </w:r>
            <w:r>
              <w:rPr>
                <w:rFonts w:hint="default" w:ascii="Times New Roman" w:hAnsi="Times New Roman" w:eastAsia="宋体" w:cs="Times New Roman"/>
                <w:i w:val="0"/>
                <w:iCs w:val="0"/>
                <w:color w:val="000000"/>
                <w:kern w:val="0"/>
                <w:sz w:val="20"/>
                <w:szCs w:val="20"/>
                <w:u w:val="none"/>
                <w:lang w:val="en-US" w:eastAsia="zh-CN" w:bidi="ar"/>
              </w:rPr>
              <w:t>In the strict temporal analysis, partner incident depression during the preceding interval was used to predict incident depression in the recipient during the subsequent interval. S1 adjusted for interval; S2 additionally adjusted for demographic characteristics; S3 additionally adjusted for pre-exposure CES-D score; and S4 further adjusted for lifestyle and social factors.</w:t>
            </w:r>
          </w:p>
        </w:tc>
      </w:tr>
    </w:tbl>
    <w:p w14:paraId="61B87BD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rPr>
      </w:pPr>
    </w:p>
    <w:p w14:paraId="36F229D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5"/>
        <w:gridCol w:w="1338"/>
        <w:gridCol w:w="2112"/>
        <w:gridCol w:w="990"/>
        <w:gridCol w:w="2637"/>
      </w:tblGrid>
      <w:tr w14:paraId="1A30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5"/>
            <w:tcBorders>
              <w:top w:val="nil"/>
              <w:left w:val="nil"/>
              <w:bottom w:val="nil"/>
              <w:right w:val="nil"/>
            </w:tcBorders>
            <w:noWrap w:val="0"/>
            <w:vAlign w:val="center"/>
          </w:tcPr>
          <w:p w14:paraId="7DEA10A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Supplementary Table S3. Sensitivity analysis using alternative GEE specifications</w:t>
            </w:r>
          </w:p>
        </w:tc>
      </w:tr>
      <w:tr w14:paraId="49D3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848" w:type="pct"/>
            <w:tcBorders>
              <w:top w:val="single" w:color="000000" w:sz="4" w:space="0"/>
              <w:left w:val="nil"/>
              <w:bottom w:val="single" w:color="000000" w:sz="4" w:space="0"/>
              <w:right w:val="nil"/>
            </w:tcBorders>
            <w:noWrap w:val="0"/>
            <w:vAlign w:val="center"/>
          </w:tcPr>
          <w:p w14:paraId="5404A1F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Clustering level</w:t>
            </w:r>
          </w:p>
        </w:tc>
        <w:tc>
          <w:tcPr>
            <w:tcW w:w="785" w:type="pct"/>
            <w:tcBorders>
              <w:top w:val="single" w:color="000000" w:sz="4" w:space="0"/>
              <w:left w:val="nil"/>
              <w:bottom w:val="single" w:color="000000" w:sz="4" w:space="0"/>
              <w:right w:val="nil"/>
            </w:tcBorders>
            <w:noWrap w:val="0"/>
            <w:vAlign w:val="center"/>
          </w:tcPr>
          <w:p w14:paraId="36A4216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Working correlation</w:t>
            </w:r>
          </w:p>
        </w:tc>
        <w:tc>
          <w:tcPr>
            <w:tcW w:w="1239" w:type="pct"/>
            <w:tcBorders>
              <w:top w:val="single" w:color="000000" w:sz="4" w:space="0"/>
              <w:left w:val="nil"/>
              <w:bottom w:val="single" w:color="000000" w:sz="4" w:space="0"/>
              <w:right w:val="nil"/>
            </w:tcBorders>
            <w:noWrap w:val="0"/>
            <w:vAlign w:val="center"/>
          </w:tcPr>
          <w:p w14:paraId="5B3D23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RR (95% CI)</w:t>
            </w:r>
          </w:p>
        </w:tc>
        <w:tc>
          <w:tcPr>
            <w:tcW w:w="581" w:type="pct"/>
            <w:tcBorders>
              <w:top w:val="single" w:color="000000" w:sz="4" w:space="0"/>
              <w:left w:val="nil"/>
              <w:bottom w:val="single" w:color="000000" w:sz="4" w:space="0"/>
              <w:right w:val="nil"/>
            </w:tcBorders>
            <w:noWrap w:val="0"/>
            <w:vAlign w:val="center"/>
          </w:tcPr>
          <w:p w14:paraId="0818C32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r>
              <w:rPr>
                <w:rFonts w:hint="default" w:ascii="Times New Roman" w:hAnsi="Times New Roman" w:eastAsia="宋体" w:cs="Times New Roman"/>
                <w:b/>
                <w:bCs/>
                <w:i w:val="0"/>
                <w:iCs w:val="0"/>
                <w:color w:val="000000"/>
                <w:kern w:val="0"/>
                <w:sz w:val="20"/>
                <w:szCs w:val="20"/>
                <w:u w:val="none"/>
                <w:lang w:val="en-US" w:eastAsia="zh-CN" w:bidi="ar"/>
              </w:rPr>
              <w:t xml:space="preserve"> value</w:t>
            </w:r>
          </w:p>
        </w:tc>
        <w:tc>
          <w:tcPr>
            <w:tcW w:w="1545" w:type="pct"/>
            <w:tcBorders>
              <w:top w:val="single" w:color="000000" w:sz="4" w:space="0"/>
              <w:left w:val="nil"/>
              <w:bottom w:val="single" w:color="000000" w:sz="4" w:space="0"/>
              <w:right w:val="nil"/>
            </w:tcBorders>
            <w:noWrap w:val="0"/>
            <w:vAlign w:val="center"/>
          </w:tcPr>
          <w:p w14:paraId="2D8E724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Estimated working correlation</w:t>
            </w:r>
          </w:p>
        </w:tc>
      </w:tr>
      <w:tr w14:paraId="09C26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48" w:type="pct"/>
            <w:tcBorders>
              <w:top w:val="nil"/>
              <w:left w:val="nil"/>
              <w:bottom w:val="nil"/>
              <w:right w:val="nil"/>
            </w:tcBorders>
            <w:noWrap w:val="0"/>
            <w:vAlign w:val="center"/>
          </w:tcPr>
          <w:p w14:paraId="244604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Household</w:t>
            </w:r>
          </w:p>
        </w:tc>
        <w:tc>
          <w:tcPr>
            <w:tcW w:w="785" w:type="pct"/>
            <w:tcBorders>
              <w:top w:val="nil"/>
              <w:left w:val="nil"/>
              <w:bottom w:val="nil"/>
              <w:right w:val="nil"/>
            </w:tcBorders>
            <w:noWrap w:val="0"/>
            <w:vAlign w:val="center"/>
          </w:tcPr>
          <w:p w14:paraId="56C558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Independence</w:t>
            </w:r>
          </w:p>
        </w:tc>
        <w:tc>
          <w:tcPr>
            <w:tcW w:w="1239" w:type="pct"/>
            <w:tcBorders>
              <w:top w:val="nil"/>
              <w:left w:val="nil"/>
              <w:bottom w:val="nil"/>
              <w:right w:val="nil"/>
            </w:tcBorders>
            <w:noWrap w:val="0"/>
            <w:vAlign w:val="center"/>
          </w:tcPr>
          <w:p w14:paraId="043FDE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1.134 (1.072</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1.200)</w:t>
            </w:r>
          </w:p>
        </w:tc>
        <w:tc>
          <w:tcPr>
            <w:tcW w:w="581" w:type="pct"/>
            <w:tcBorders>
              <w:top w:val="nil"/>
              <w:left w:val="nil"/>
              <w:bottom w:val="nil"/>
              <w:right w:val="nil"/>
            </w:tcBorders>
            <w:noWrap w:val="0"/>
            <w:vAlign w:val="center"/>
          </w:tcPr>
          <w:p w14:paraId="19ABDE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&lt;</w:t>
            </w:r>
            <w:r>
              <w:rPr>
                <w:rFonts w:hint="eastAsia" w:ascii="Times New Roman" w:hAnsi="Times New Roman" w:cs="Times New Roman"/>
                <w:b w:val="0"/>
                <w:bCs w:val="0"/>
                <w:i w:val="0"/>
                <w:iCs w:val="0"/>
                <w:color w:val="000000"/>
                <w:kern w:val="0"/>
                <w:sz w:val="20"/>
                <w:szCs w:val="20"/>
                <w:u w:val="none"/>
                <w:lang w:val="en-US" w:eastAsia="zh-CN" w:bidi="ar"/>
              </w:rPr>
              <w:t xml:space="preserve"> </w:t>
            </w:r>
            <w:r>
              <w:rPr>
                <w:rFonts w:hint="default" w:ascii="Times New Roman" w:hAnsi="Times New Roman" w:eastAsia="宋体" w:cs="Times New Roman"/>
                <w:b w:val="0"/>
                <w:bCs w:val="0"/>
                <w:i w:val="0"/>
                <w:iCs w:val="0"/>
                <w:color w:val="000000"/>
                <w:kern w:val="0"/>
                <w:sz w:val="20"/>
                <w:szCs w:val="20"/>
                <w:u w:val="none"/>
                <w:lang w:val="en-US" w:eastAsia="zh-CN" w:bidi="ar"/>
              </w:rPr>
              <w:t>0.001</w:t>
            </w:r>
          </w:p>
        </w:tc>
        <w:tc>
          <w:tcPr>
            <w:tcW w:w="1545" w:type="pct"/>
            <w:tcBorders>
              <w:top w:val="nil"/>
              <w:left w:val="nil"/>
              <w:bottom w:val="nil"/>
              <w:right w:val="nil"/>
            </w:tcBorders>
            <w:noWrap w:val="0"/>
            <w:vAlign w:val="center"/>
          </w:tcPr>
          <w:p w14:paraId="12F74C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32DCC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48" w:type="pct"/>
            <w:tcBorders>
              <w:top w:val="nil"/>
              <w:left w:val="nil"/>
              <w:bottom w:val="nil"/>
              <w:right w:val="nil"/>
            </w:tcBorders>
            <w:noWrap w:val="0"/>
            <w:vAlign w:val="center"/>
          </w:tcPr>
          <w:p w14:paraId="4F2A84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Household</w:t>
            </w:r>
          </w:p>
        </w:tc>
        <w:tc>
          <w:tcPr>
            <w:tcW w:w="785" w:type="pct"/>
            <w:tcBorders>
              <w:top w:val="nil"/>
              <w:left w:val="nil"/>
              <w:bottom w:val="nil"/>
              <w:right w:val="nil"/>
            </w:tcBorders>
            <w:noWrap w:val="0"/>
            <w:vAlign w:val="center"/>
          </w:tcPr>
          <w:p w14:paraId="4D0B5E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Exchangeable</w:t>
            </w:r>
          </w:p>
        </w:tc>
        <w:tc>
          <w:tcPr>
            <w:tcW w:w="1239" w:type="pct"/>
            <w:tcBorders>
              <w:top w:val="nil"/>
              <w:left w:val="nil"/>
              <w:bottom w:val="nil"/>
              <w:right w:val="nil"/>
            </w:tcBorders>
            <w:noWrap w:val="0"/>
            <w:vAlign w:val="center"/>
          </w:tcPr>
          <w:p w14:paraId="5B64AB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1.021 (0.965</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1.080)</w:t>
            </w:r>
          </w:p>
        </w:tc>
        <w:tc>
          <w:tcPr>
            <w:tcW w:w="581" w:type="pct"/>
            <w:tcBorders>
              <w:top w:val="nil"/>
              <w:left w:val="nil"/>
              <w:bottom w:val="nil"/>
              <w:right w:val="nil"/>
            </w:tcBorders>
            <w:noWrap w:val="0"/>
            <w:vAlign w:val="center"/>
          </w:tcPr>
          <w:p w14:paraId="5F14A7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0.475</w:t>
            </w:r>
          </w:p>
        </w:tc>
        <w:tc>
          <w:tcPr>
            <w:tcW w:w="1545" w:type="pct"/>
            <w:tcBorders>
              <w:top w:val="nil"/>
              <w:left w:val="nil"/>
              <w:bottom w:val="nil"/>
              <w:right w:val="nil"/>
            </w:tcBorders>
            <w:noWrap w:val="0"/>
            <w:vAlign w:val="center"/>
          </w:tcPr>
          <w:p w14:paraId="4A4CCD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0.065</w:t>
            </w:r>
          </w:p>
        </w:tc>
      </w:tr>
      <w:tr w14:paraId="5308B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48" w:type="pct"/>
            <w:tcBorders>
              <w:top w:val="nil"/>
              <w:left w:val="nil"/>
              <w:bottom w:val="nil"/>
              <w:right w:val="nil"/>
            </w:tcBorders>
            <w:noWrap w:val="0"/>
            <w:vAlign w:val="center"/>
          </w:tcPr>
          <w:p w14:paraId="011EAB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Recipient</w:t>
            </w:r>
          </w:p>
        </w:tc>
        <w:tc>
          <w:tcPr>
            <w:tcW w:w="785" w:type="pct"/>
            <w:tcBorders>
              <w:top w:val="nil"/>
              <w:left w:val="nil"/>
              <w:bottom w:val="nil"/>
              <w:right w:val="nil"/>
            </w:tcBorders>
            <w:noWrap w:val="0"/>
            <w:vAlign w:val="center"/>
          </w:tcPr>
          <w:p w14:paraId="7833A4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Independence</w:t>
            </w:r>
          </w:p>
        </w:tc>
        <w:tc>
          <w:tcPr>
            <w:tcW w:w="1239" w:type="pct"/>
            <w:tcBorders>
              <w:top w:val="nil"/>
              <w:left w:val="nil"/>
              <w:bottom w:val="nil"/>
              <w:right w:val="nil"/>
            </w:tcBorders>
            <w:noWrap w:val="0"/>
            <w:vAlign w:val="center"/>
          </w:tcPr>
          <w:p w14:paraId="409130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1.134 (1.075</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1.197)</w:t>
            </w:r>
          </w:p>
        </w:tc>
        <w:tc>
          <w:tcPr>
            <w:tcW w:w="581" w:type="pct"/>
            <w:tcBorders>
              <w:top w:val="nil"/>
              <w:left w:val="nil"/>
              <w:bottom w:val="nil"/>
              <w:right w:val="nil"/>
            </w:tcBorders>
            <w:noWrap w:val="0"/>
            <w:vAlign w:val="center"/>
          </w:tcPr>
          <w:p w14:paraId="33E40A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c>
          <w:tcPr>
            <w:tcW w:w="1545" w:type="pct"/>
            <w:tcBorders>
              <w:top w:val="nil"/>
              <w:left w:val="nil"/>
              <w:bottom w:val="nil"/>
              <w:right w:val="nil"/>
            </w:tcBorders>
            <w:noWrap w:val="0"/>
            <w:vAlign w:val="center"/>
          </w:tcPr>
          <w:p w14:paraId="171BD8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68A94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48" w:type="pct"/>
            <w:tcBorders>
              <w:top w:val="nil"/>
              <w:left w:val="nil"/>
              <w:bottom w:val="single" w:color="000000" w:sz="4" w:space="0"/>
              <w:right w:val="nil"/>
            </w:tcBorders>
            <w:noWrap w:val="0"/>
            <w:vAlign w:val="center"/>
          </w:tcPr>
          <w:p w14:paraId="66ED3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Recipient</w:t>
            </w:r>
          </w:p>
        </w:tc>
        <w:tc>
          <w:tcPr>
            <w:tcW w:w="785" w:type="pct"/>
            <w:tcBorders>
              <w:top w:val="nil"/>
              <w:left w:val="nil"/>
              <w:bottom w:val="single" w:color="000000" w:sz="4" w:space="0"/>
              <w:right w:val="nil"/>
            </w:tcBorders>
            <w:noWrap w:val="0"/>
            <w:vAlign w:val="center"/>
          </w:tcPr>
          <w:p w14:paraId="3D9CA9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Exchangeable</w:t>
            </w:r>
          </w:p>
        </w:tc>
        <w:tc>
          <w:tcPr>
            <w:tcW w:w="1239" w:type="pct"/>
            <w:tcBorders>
              <w:top w:val="nil"/>
              <w:left w:val="nil"/>
              <w:bottom w:val="single" w:color="000000" w:sz="4" w:space="0"/>
              <w:right w:val="nil"/>
            </w:tcBorders>
            <w:noWrap w:val="0"/>
            <w:vAlign w:val="center"/>
          </w:tcPr>
          <w:p w14:paraId="34CB31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1.127 (1.070</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1.187)</w:t>
            </w:r>
          </w:p>
        </w:tc>
        <w:tc>
          <w:tcPr>
            <w:tcW w:w="581" w:type="pct"/>
            <w:tcBorders>
              <w:top w:val="nil"/>
              <w:left w:val="nil"/>
              <w:bottom w:val="single" w:color="000000" w:sz="4" w:space="0"/>
              <w:right w:val="nil"/>
            </w:tcBorders>
            <w:noWrap w:val="0"/>
            <w:vAlign w:val="center"/>
          </w:tcPr>
          <w:p w14:paraId="6862A5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c>
          <w:tcPr>
            <w:tcW w:w="1545" w:type="pct"/>
            <w:tcBorders>
              <w:top w:val="nil"/>
              <w:left w:val="nil"/>
              <w:bottom w:val="single" w:color="000000" w:sz="4" w:space="0"/>
              <w:right w:val="nil"/>
            </w:tcBorders>
            <w:noWrap w:val="0"/>
            <w:vAlign w:val="center"/>
          </w:tcPr>
          <w:p w14:paraId="10B0BE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0.066</w:t>
            </w:r>
          </w:p>
        </w:tc>
      </w:tr>
    </w:tbl>
    <w:p w14:paraId="5E9EDCB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Times New Roman" w:hAnsi="Times New Roman" w:cs="Times New Roman"/>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7"/>
        <w:gridCol w:w="3728"/>
        <w:gridCol w:w="1067"/>
      </w:tblGrid>
      <w:tr w14:paraId="1A873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3"/>
            <w:tcBorders>
              <w:top w:val="nil"/>
              <w:left w:val="nil"/>
              <w:bottom w:val="nil"/>
              <w:right w:val="nil"/>
            </w:tcBorders>
            <w:noWrap w:val="0"/>
            <w:vAlign w:val="center"/>
          </w:tcPr>
          <w:p w14:paraId="4C811B2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Supplementary Table S4. Interaction between partner depression and baseline CES-D score</w:t>
            </w:r>
          </w:p>
        </w:tc>
      </w:tr>
      <w:tr w14:paraId="13900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87" w:type="pct"/>
            <w:tcBorders>
              <w:top w:val="single" w:color="000000" w:sz="4" w:space="0"/>
              <w:left w:val="nil"/>
              <w:bottom w:val="single" w:color="000000" w:sz="4" w:space="0"/>
              <w:right w:val="nil"/>
            </w:tcBorders>
            <w:noWrap w:val="0"/>
            <w:vAlign w:val="center"/>
          </w:tcPr>
          <w:p w14:paraId="19FB6E3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Variable</w:t>
            </w:r>
          </w:p>
        </w:tc>
        <w:tc>
          <w:tcPr>
            <w:tcW w:w="2187" w:type="pct"/>
            <w:tcBorders>
              <w:top w:val="single" w:color="000000" w:sz="4" w:space="0"/>
              <w:left w:val="nil"/>
              <w:bottom w:val="single" w:color="000000" w:sz="4" w:space="0"/>
              <w:right w:val="nil"/>
            </w:tcBorders>
            <w:noWrap w:val="0"/>
            <w:vAlign w:val="center"/>
          </w:tcPr>
          <w:p w14:paraId="3AC5426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RR (95% CI)</w:t>
            </w:r>
          </w:p>
        </w:tc>
        <w:tc>
          <w:tcPr>
            <w:tcW w:w="625" w:type="pct"/>
            <w:tcBorders>
              <w:top w:val="single" w:color="000000" w:sz="4" w:space="0"/>
              <w:left w:val="nil"/>
              <w:bottom w:val="single" w:color="000000" w:sz="4" w:space="0"/>
              <w:right w:val="nil"/>
            </w:tcBorders>
            <w:noWrap w:val="0"/>
            <w:vAlign w:val="center"/>
          </w:tcPr>
          <w:p w14:paraId="552FC98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iCs/>
                <w:color w:val="000000"/>
                <w:kern w:val="0"/>
                <w:sz w:val="20"/>
                <w:szCs w:val="20"/>
                <w:u w:val="none"/>
                <w:lang w:val="en-US" w:eastAsia="zh-CN" w:bidi="ar"/>
              </w:rPr>
              <w:t>P</w:t>
            </w:r>
            <w:r>
              <w:rPr>
                <w:rFonts w:hint="default" w:ascii="Times New Roman" w:hAnsi="Times New Roman" w:eastAsia="宋体" w:cs="Times New Roman"/>
                <w:b/>
                <w:bCs/>
                <w:i w:val="0"/>
                <w:iCs w:val="0"/>
                <w:color w:val="000000"/>
                <w:kern w:val="0"/>
                <w:sz w:val="20"/>
                <w:szCs w:val="20"/>
                <w:u w:val="none"/>
                <w:lang w:val="en-US" w:eastAsia="zh-CN" w:bidi="ar"/>
              </w:rPr>
              <w:t xml:space="preserve"> value</w:t>
            </w:r>
          </w:p>
        </w:tc>
      </w:tr>
      <w:tr w14:paraId="379D9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87" w:type="pct"/>
            <w:tcBorders>
              <w:top w:val="nil"/>
              <w:left w:val="nil"/>
              <w:bottom w:val="nil"/>
              <w:right w:val="nil"/>
            </w:tcBorders>
            <w:noWrap w:val="0"/>
            <w:vAlign w:val="center"/>
          </w:tcPr>
          <w:p w14:paraId="221E69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Partner depression</w:t>
            </w:r>
          </w:p>
        </w:tc>
        <w:tc>
          <w:tcPr>
            <w:tcW w:w="2187" w:type="pct"/>
            <w:tcBorders>
              <w:top w:val="nil"/>
              <w:left w:val="nil"/>
              <w:bottom w:val="nil"/>
              <w:right w:val="nil"/>
            </w:tcBorders>
            <w:noWrap w:val="0"/>
            <w:vAlign w:val="center"/>
          </w:tcPr>
          <w:p w14:paraId="17E9DF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1.142 (1.066</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1.223)</w:t>
            </w:r>
          </w:p>
        </w:tc>
        <w:tc>
          <w:tcPr>
            <w:tcW w:w="625" w:type="pct"/>
            <w:tcBorders>
              <w:top w:val="nil"/>
              <w:left w:val="nil"/>
              <w:bottom w:val="nil"/>
              <w:right w:val="nil"/>
            </w:tcBorders>
            <w:noWrap w:val="0"/>
            <w:vAlign w:val="center"/>
          </w:tcPr>
          <w:p w14:paraId="16C684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6CFC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87" w:type="pct"/>
            <w:tcBorders>
              <w:top w:val="nil"/>
              <w:left w:val="nil"/>
              <w:bottom w:val="nil"/>
              <w:right w:val="nil"/>
            </w:tcBorders>
            <w:noWrap w:val="0"/>
            <w:vAlign w:val="center"/>
          </w:tcPr>
          <w:p w14:paraId="0F2847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Baseline CES-D score</w:t>
            </w:r>
          </w:p>
        </w:tc>
        <w:tc>
          <w:tcPr>
            <w:tcW w:w="2187" w:type="pct"/>
            <w:tcBorders>
              <w:top w:val="nil"/>
              <w:left w:val="nil"/>
              <w:bottom w:val="nil"/>
              <w:right w:val="nil"/>
            </w:tcBorders>
            <w:noWrap w:val="0"/>
            <w:vAlign w:val="center"/>
          </w:tcPr>
          <w:p w14:paraId="45DCB7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1.169 (1.157</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1.182)</w:t>
            </w:r>
          </w:p>
        </w:tc>
        <w:tc>
          <w:tcPr>
            <w:tcW w:w="625" w:type="pct"/>
            <w:tcBorders>
              <w:top w:val="nil"/>
              <w:left w:val="nil"/>
              <w:bottom w:val="nil"/>
              <w:right w:val="nil"/>
            </w:tcBorders>
            <w:noWrap w:val="0"/>
            <w:vAlign w:val="center"/>
          </w:tcPr>
          <w:p w14:paraId="17137C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0.001</w:t>
            </w:r>
          </w:p>
        </w:tc>
      </w:tr>
      <w:tr w14:paraId="0BE7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187" w:type="pct"/>
            <w:tcBorders>
              <w:top w:val="nil"/>
              <w:left w:val="nil"/>
              <w:bottom w:val="single" w:color="000000" w:sz="4" w:space="0"/>
              <w:right w:val="nil"/>
            </w:tcBorders>
            <w:noWrap w:val="0"/>
            <w:vAlign w:val="center"/>
          </w:tcPr>
          <w:p w14:paraId="741E0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Partner depression × baseline CES-D</w:t>
            </w:r>
          </w:p>
        </w:tc>
        <w:tc>
          <w:tcPr>
            <w:tcW w:w="2187" w:type="pct"/>
            <w:tcBorders>
              <w:top w:val="nil"/>
              <w:left w:val="nil"/>
              <w:bottom w:val="single" w:color="000000" w:sz="4" w:space="0"/>
              <w:right w:val="nil"/>
            </w:tcBorders>
            <w:noWrap w:val="0"/>
            <w:vAlign w:val="center"/>
          </w:tcPr>
          <w:p w14:paraId="05E7C0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0.996 (0.975</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w:t>
            </w:r>
            <w:r>
              <w:rPr>
                <w:rFonts w:hint="eastAsia" w:ascii="Times New Roman" w:hAnsi="Times New Roman"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1.017)</w:t>
            </w:r>
          </w:p>
        </w:tc>
        <w:tc>
          <w:tcPr>
            <w:tcW w:w="625" w:type="pct"/>
            <w:tcBorders>
              <w:top w:val="nil"/>
              <w:left w:val="nil"/>
              <w:bottom w:val="single" w:color="000000" w:sz="4" w:space="0"/>
              <w:right w:val="nil"/>
            </w:tcBorders>
            <w:noWrap w:val="0"/>
            <w:vAlign w:val="center"/>
          </w:tcPr>
          <w:p w14:paraId="09ACDE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0.696</w:t>
            </w:r>
          </w:p>
        </w:tc>
      </w:tr>
      <w:tr w14:paraId="16E0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5000" w:type="pct"/>
            <w:gridSpan w:val="3"/>
            <w:tcBorders>
              <w:top w:val="nil"/>
              <w:left w:val="nil"/>
              <w:bottom w:val="nil"/>
              <w:right w:val="nil"/>
            </w:tcBorders>
            <w:noWrap w:val="0"/>
            <w:vAlign w:val="top"/>
          </w:tcPr>
          <w:p w14:paraId="0D502C4B">
            <w:pPr>
              <w:keepNext w:val="0"/>
              <w:keepLines w:val="0"/>
              <w:widowControl/>
              <w:suppressLineNumbers w:val="0"/>
              <w:jc w:val="left"/>
              <w:textAlignment w:val="top"/>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 xml:space="preserve">Note: </w:t>
            </w:r>
            <w:r>
              <w:rPr>
                <w:rFonts w:hint="default" w:ascii="Times New Roman" w:hAnsi="Times New Roman" w:eastAsia="宋体" w:cs="Times New Roman"/>
                <w:i w:val="0"/>
                <w:iCs w:val="0"/>
                <w:color w:val="000000"/>
                <w:kern w:val="0"/>
                <w:sz w:val="20"/>
                <w:szCs w:val="20"/>
                <w:u w:val="none"/>
                <w:lang w:val="en-US" w:eastAsia="zh-CN" w:bidi="ar"/>
              </w:rPr>
              <w:t>RR, risk ratio; CI, confidence interval; CES-D, Center for Epidemiologic Studies Depression Scale; GEE, generalized estimating equation. Baseline CES-D was mean-centered before constructing the interaction term. The model was adjusted for survey interval, age, sex, educational attainment, birthplace, current smoking, current drinking, and social participation, using an independent working correlation structure with clustering at the household level.</w:t>
            </w:r>
          </w:p>
        </w:tc>
      </w:tr>
    </w:tbl>
    <w:p w14:paraId="6987338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6101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2026-09-27T03:34:49Z</dcterms:created>
  <dc:creator>12784</dc:creator>
  <cp:lastModifiedBy>作者</cp:lastModifiedBy>
  <dcterms:modified xsi:type="dcterms:W3CDTF">2026-09-27T03:35:20Z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eyJoZGlkIjoiMzEwNTM5NzYwMDRjMzkwZTVkZjY2ODkwMGIxNGU0OTUiLCJ1c2VySWQiOiI1NjI1NjI0NTEifQ==</vt:lpwstr>
  </property>
  <property fmtid="{D5CDD505-2E9C-101B-9397-08002B2CF9AE}" pid="4" name="ICV">
    <vt:lpwstr>6C8057A25D174B6DA45640F607C73FB7_12</vt:lpwstr>
  </property>
</Properties>
</file>