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63BDA" w14:textId="0361863D" w:rsidR="00D64D47" w:rsidRPr="008066ED" w:rsidRDefault="00D64D47" w:rsidP="00D64D47">
      <w:pPr>
        <w:spacing w:after="0" w:line="240" w:lineRule="auto"/>
        <w:rPr>
          <w:rFonts w:cs="Arial"/>
        </w:rPr>
      </w:pPr>
    </w:p>
    <w:p w14:paraId="511CEB47" w14:textId="77777777" w:rsidR="00D64D47" w:rsidRPr="008066ED" w:rsidRDefault="00D64D47" w:rsidP="00D64D47">
      <w:pPr>
        <w:spacing w:after="0" w:line="240" w:lineRule="auto"/>
        <w:rPr>
          <w:rFonts w:cs="Arial"/>
        </w:rPr>
      </w:pPr>
    </w:p>
    <w:p w14:paraId="4D77A423" w14:textId="77777777" w:rsidR="00D64D47" w:rsidRPr="008066ED" w:rsidRDefault="00D64D47" w:rsidP="00D64D47">
      <w:pPr>
        <w:spacing w:after="0" w:line="240" w:lineRule="auto"/>
        <w:rPr>
          <w:rFonts w:cs="Arial"/>
        </w:rPr>
      </w:pPr>
    </w:p>
    <w:p w14:paraId="215D0B60" w14:textId="77777777" w:rsidR="00D64D47" w:rsidRPr="008066ED" w:rsidRDefault="00D64D47" w:rsidP="00D64D47">
      <w:pPr>
        <w:spacing w:after="0" w:line="240" w:lineRule="auto"/>
        <w:rPr>
          <w:rFonts w:cs="Arial"/>
        </w:rPr>
      </w:pPr>
    </w:p>
    <w:p w14:paraId="13700EB5" w14:textId="77777777" w:rsidR="00D64D47" w:rsidRPr="008066ED" w:rsidRDefault="00D64D47" w:rsidP="00D64D47">
      <w:pPr>
        <w:spacing w:after="0" w:line="240" w:lineRule="auto"/>
        <w:rPr>
          <w:rFonts w:cs="Arial"/>
          <w:b/>
          <w:bCs/>
        </w:rPr>
      </w:pPr>
    </w:p>
    <w:p w14:paraId="5AF2C487" w14:textId="77777777" w:rsidR="00D64D47" w:rsidRPr="008066ED" w:rsidRDefault="00D64D47" w:rsidP="00F778E6">
      <w:pPr>
        <w:spacing w:after="0" w:line="240" w:lineRule="auto"/>
        <w:rPr>
          <w:rFonts w:cs="Arial"/>
          <w:b/>
          <w:bCs/>
          <w:sz w:val="28"/>
          <w:szCs w:val="28"/>
        </w:rPr>
      </w:pPr>
      <w:r w:rsidRPr="008066ED">
        <w:rPr>
          <w:rFonts w:cs="Arial"/>
          <w:b/>
          <w:bCs/>
          <w:sz w:val="28"/>
          <w:szCs w:val="28"/>
        </w:rPr>
        <w:t>Article</w:t>
      </w:r>
    </w:p>
    <w:p w14:paraId="42158E43" w14:textId="77777777" w:rsidR="00D64D47" w:rsidRPr="00F778E6" w:rsidRDefault="00D64D47" w:rsidP="00F778E6">
      <w:pPr>
        <w:spacing w:after="0" w:line="240" w:lineRule="auto"/>
        <w:rPr>
          <w:rFonts w:cs="Arial"/>
          <w:b/>
          <w:bCs/>
          <w:sz w:val="28"/>
          <w:szCs w:val="28"/>
        </w:rPr>
      </w:pPr>
    </w:p>
    <w:p w14:paraId="7E9744A2" w14:textId="77777777" w:rsidR="00493621" w:rsidRPr="00987F5F" w:rsidRDefault="00493621" w:rsidP="00493621">
      <w:pPr>
        <w:rPr>
          <w:rFonts w:cs="Arial"/>
          <w:b/>
          <w:bCs/>
          <w:sz w:val="28"/>
          <w:szCs w:val="28"/>
        </w:rPr>
      </w:pPr>
      <w:r w:rsidRPr="00987F5F">
        <w:rPr>
          <w:rFonts w:cs="Arial"/>
          <w:b/>
          <w:bCs/>
          <w:sz w:val="28"/>
          <w:szCs w:val="28"/>
        </w:rPr>
        <w:t xml:space="preserve">Agricultural storage is a hidden </w:t>
      </w:r>
      <w:r>
        <w:rPr>
          <w:rFonts w:cs="Arial"/>
          <w:b/>
          <w:bCs/>
          <w:sz w:val="28"/>
          <w:szCs w:val="28"/>
        </w:rPr>
        <w:t>demand driver</w:t>
      </w:r>
      <w:r w:rsidRPr="00987F5F">
        <w:rPr>
          <w:rFonts w:cs="Arial"/>
          <w:b/>
          <w:bCs/>
          <w:sz w:val="28"/>
          <w:szCs w:val="28"/>
        </w:rPr>
        <w:t xml:space="preserve"> </w:t>
      </w:r>
      <w:r>
        <w:rPr>
          <w:rFonts w:cs="Arial"/>
          <w:b/>
          <w:bCs/>
          <w:sz w:val="28"/>
          <w:szCs w:val="28"/>
        </w:rPr>
        <w:t xml:space="preserve">and </w:t>
      </w:r>
      <w:r w:rsidRPr="00987F5F">
        <w:rPr>
          <w:rFonts w:cs="Arial"/>
          <w:b/>
          <w:bCs/>
          <w:sz w:val="28"/>
          <w:szCs w:val="28"/>
        </w:rPr>
        <w:t>an overlooked temporal buffer</w:t>
      </w:r>
      <w:r>
        <w:rPr>
          <w:rFonts w:cs="Arial"/>
          <w:b/>
          <w:bCs/>
          <w:sz w:val="28"/>
          <w:szCs w:val="28"/>
        </w:rPr>
        <w:t xml:space="preserve"> </w:t>
      </w:r>
      <w:r w:rsidRPr="00987F5F">
        <w:rPr>
          <w:rFonts w:cs="Arial"/>
          <w:b/>
          <w:bCs/>
          <w:sz w:val="28"/>
          <w:szCs w:val="28"/>
        </w:rPr>
        <w:t>in global agrifood system futures</w:t>
      </w:r>
    </w:p>
    <w:p w14:paraId="221045B7" w14:textId="77777777" w:rsidR="00F778E6" w:rsidRPr="008066ED" w:rsidRDefault="00F778E6" w:rsidP="00F778E6">
      <w:pPr>
        <w:spacing w:after="0"/>
        <w:rPr>
          <w:rFonts w:cs="Arial"/>
          <w:b/>
          <w:bCs/>
          <w:sz w:val="28"/>
          <w:szCs w:val="28"/>
        </w:rPr>
      </w:pPr>
    </w:p>
    <w:p w14:paraId="171D4B34" w14:textId="28677006" w:rsidR="00D64D47" w:rsidRPr="008066ED" w:rsidRDefault="00D64D47" w:rsidP="00F778E6">
      <w:pPr>
        <w:spacing w:after="0"/>
        <w:rPr>
          <w:rFonts w:cs="Arial"/>
          <w:b/>
          <w:bCs/>
          <w:sz w:val="28"/>
          <w:szCs w:val="28"/>
        </w:rPr>
      </w:pPr>
      <w:r w:rsidRPr="008066ED">
        <w:rPr>
          <w:rFonts w:cs="Arial"/>
          <w:b/>
          <w:bCs/>
          <w:sz w:val="28"/>
          <w:szCs w:val="28"/>
        </w:rPr>
        <w:t>Supplementary Information</w:t>
      </w:r>
    </w:p>
    <w:p w14:paraId="506B1FE6" w14:textId="77777777" w:rsidR="005B1301" w:rsidRPr="008066ED" w:rsidRDefault="005B1301">
      <w:pPr>
        <w:rPr>
          <w:rFonts w:cs="Arial"/>
        </w:rPr>
      </w:pPr>
    </w:p>
    <w:p w14:paraId="26DE48D7" w14:textId="77777777" w:rsidR="005B1301" w:rsidRPr="008066ED" w:rsidRDefault="005B1301">
      <w:pPr>
        <w:rPr>
          <w:rFonts w:cs="Arial"/>
        </w:rPr>
      </w:pPr>
    </w:p>
    <w:p w14:paraId="7B3745F8" w14:textId="77777777" w:rsidR="00F778E6" w:rsidRPr="00F778E6" w:rsidRDefault="00F778E6" w:rsidP="00F778E6">
      <w:pPr>
        <w:rPr>
          <w:rFonts w:cs="Arial"/>
          <w:b/>
          <w:bCs/>
          <w:sz w:val="24"/>
          <w:szCs w:val="24"/>
        </w:rPr>
      </w:pPr>
      <w:r w:rsidRPr="00F778E6">
        <w:rPr>
          <w:rFonts w:cs="Arial"/>
          <w:b/>
          <w:bCs/>
          <w:sz w:val="24"/>
          <w:szCs w:val="24"/>
        </w:rPr>
        <w:t xml:space="preserve">Author list: </w:t>
      </w:r>
    </w:p>
    <w:p w14:paraId="1284371A" w14:textId="77777777" w:rsidR="00F778E6" w:rsidRPr="00F778E6" w:rsidRDefault="00F778E6" w:rsidP="00F778E6">
      <w:pPr>
        <w:spacing w:line="240" w:lineRule="auto"/>
        <w:rPr>
          <w:rFonts w:cs="Arial"/>
          <w:b/>
          <w:bCs/>
          <w:sz w:val="24"/>
          <w:szCs w:val="24"/>
        </w:rPr>
      </w:pPr>
      <w:r w:rsidRPr="00F778E6">
        <w:rPr>
          <w:rFonts w:cs="Arial"/>
          <w:sz w:val="24"/>
          <w:szCs w:val="24"/>
        </w:rPr>
        <w:t>Xin Zhao</w:t>
      </w:r>
      <w:r w:rsidRPr="00F778E6">
        <w:rPr>
          <w:rFonts w:cs="Arial"/>
          <w:sz w:val="24"/>
          <w:szCs w:val="24"/>
          <w:vertAlign w:val="superscript"/>
        </w:rPr>
        <w:t>1</w:t>
      </w:r>
      <w:r w:rsidRPr="00F778E6">
        <w:rPr>
          <w:rFonts w:cs="Arial"/>
          <w:sz w:val="24"/>
          <w:szCs w:val="24"/>
        </w:rPr>
        <w:t>, Pralit L. Patel</w:t>
      </w:r>
      <w:r w:rsidRPr="00F778E6">
        <w:rPr>
          <w:rFonts w:cs="Arial"/>
          <w:sz w:val="24"/>
          <w:szCs w:val="24"/>
          <w:vertAlign w:val="superscript"/>
        </w:rPr>
        <w:t>1</w:t>
      </w:r>
      <w:r w:rsidRPr="00F778E6">
        <w:rPr>
          <w:rFonts w:cs="Arial"/>
          <w:sz w:val="24"/>
          <w:szCs w:val="24"/>
        </w:rPr>
        <w:t>, Stephanie T. Morris</w:t>
      </w:r>
      <w:r w:rsidRPr="00F778E6">
        <w:rPr>
          <w:rFonts w:cs="Arial"/>
          <w:sz w:val="24"/>
          <w:szCs w:val="24"/>
          <w:vertAlign w:val="superscript"/>
        </w:rPr>
        <w:t>1</w:t>
      </w:r>
      <w:r w:rsidRPr="00F778E6">
        <w:rPr>
          <w:rFonts w:cs="Arial"/>
          <w:sz w:val="24"/>
          <w:szCs w:val="24"/>
        </w:rPr>
        <w:t>, Ellie N. Lochner</w:t>
      </w:r>
      <w:r w:rsidRPr="00F778E6">
        <w:rPr>
          <w:rFonts w:cs="Arial"/>
          <w:sz w:val="24"/>
          <w:szCs w:val="24"/>
          <w:vertAlign w:val="superscript"/>
        </w:rPr>
        <w:t>1</w:t>
      </w:r>
      <w:r w:rsidRPr="00F778E6">
        <w:rPr>
          <w:rFonts w:cs="Arial"/>
          <w:sz w:val="24"/>
          <w:szCs w:val="24"/>
        </w:rPr>
        <w:t>, Matthew T. Binsted</w:t>
      </w:r>
      <w:r w:rsidRPr="00F778E6">
        <w:rPr>
          <w:rFonts w:cs="Arial"/>
          <w:sz w:val="24"/>
          <w:szCs w:val="24"/>
          <w:vertAlign w:val="superscript"/>
        </w:rPr>
        <w:t>1</w:t>
      </w:r>
      <w:r w:rsidRPr="00F778E6">
        <w:rPr>
          <w:rFonts w:cs="Arial"/>
          <w:sz w:val="24"/>
          <w:szCs w:val="24"/>
        </w:rPr>
        <w:t>, Katherine V. Calvin</w:t>
      </w:r>
      <w:r w:rsidRPr="00F778E6">
        <w:rPr>
          <w:rFonts w:cs="Arial"/>
          <w:sz w:val="24"/>
          <w:szCs w:val="24"/>
          <w:vertAlign w:val="superscript"/>
        </w:rPr>
        <w:t>1</w:t>
      </w:r>
      <w:r w:rsidRPr="00F778E6">
        <w:rPr>
          <w:rFonts w:cs="Arial"/>
          <w:sz w:val="24"/>
          <w:szCs w:val="24"/>
        </w:rPr>
        <w:t>, Thomas B. Wild</w:t>
      </w:r>
      <w:r w:rsidRPr="00F778E6">
        <w:rPr>
          <w:rFonts w:cs="Arial"/>
          <w:sz w:val="24"/>
          <w:szCs w:val="24"/>
          <w:vertAlign w:val="superscript"/>
        </w:rPr>
        <w:t>1</w:t>
      </w:r>
      <w:r w:rsidRPr="00F778E6">
        <w:rPr>
          <w:rFonts w:cs="Arial"/>
          <w:sz w:val="24"/>
          <w:szCs w:val="24"/>
        </w:rPr>
        <w:t>, James A. Edmonds</w:t>
      </w:r>
      <w:r w:rsidRPr="00F778E6">
        <w:rPr>
          <w:rFonts w:cs="Arial"/>
          <w:sz w:val="24"/>
          <w:szCs w:val="24"/>
          <w:vertAlign w:val="superscript"/>
        </w:rPr>
        <w:t>1</w:t>
      </w:r>
      <w:r w:rsidRPr="00F778E6">
        <w:rPr>
          <w:rFonts w:cs="Arial"/>
          <w:sz w:val="24"/>
          <w:szCs w:val="24"/>
        </w:rPr>
        <w:t>, Marshall A. Wise</w:t>
      </w:r>
      <w:r w:rsidRPr="00F778E6">
        <w:rPr>
          <w:rFonts w:cs="Arial"/>
          <w:sz w:val="24"/>
          <w:szCs w:val="24"/>
          <w:vertAlign w:val="superscript"/>
        </w:rPr>
        <w:t>1</w:t>
      </w:r>
    </w:p>
    <w:p w14:paraId="2E23A9FE" w14:textId="77777777" w:rsidR="00F778E6" w:rsidRDefault="00F778E6" w:rsidP="00F778E6">
      <w:pPr>
        <w:spacing w:line="240" w:lineRule="auto"/>
        <w:rPr>
          <w:rFonts w:cs="Arial"/>
          <w:b/>
          <w:bCs/>
          <w:sz w:val="24"/>
          <w:szCs w:val="24"/>
        </w:rPr>
      </w:pPr>
    </w:p>
    <w:p w14:paraId="7542AB98" w14:textId="654F4C01" w:rsidR="00F778E6" w:rsidRPr="00F778E6" w:rsidRDefault="00F778E6" w:rsidP="00F778E6">
      <w:pPr>
        <w:spacing w:line="240" w:lineRule="auto"/>
        <w:rPr>
          <w:rFonts w:cs="Arial"/>
          <w:b/>
          <w:bCs/>
          <w:sz w:val="24"/>
          <w:szCs w:val="24"/>
        </w:rPr>
      </w:pPr>
      <w:r w:rsidRPr="00F778E6">
        <w:rPr>
          <w:rFonts w:cs="Arial"/>
          <w:b/>
          <w:bCs/>
          <w:sz w:val="24"/>
          <w:szCs w:val="24"/>
        </w:rPr>
        <w:t xml:space="preserve">Affiliations </w:t>
      </w:r>
    </w:p>
    <w:p w14:paraId="19BDED8B" w14:textId="77777777" w:rsidR="00F778E6" w:rsidRPr="00F778E6" w:rsidRDefault="00F778E6" w:rsidP="00F778E6">
      <w:pPr>
        <w:spacing w:line="276" w:lineRule="auto"/>
        <w:rPr>
          <w:rFonts w:cs="Arial"/>
          <w:sz w:val="24"/>
          <w:szCs w:val="24"/>
        </w:rPr>
      </w:pPr>
      <w:r w:rsidRPr="00F778E6">
        <w:rPr>
          <w:rFonts w:cs="Arial"/>
          <w:sz w:val="24"/>
          <w:szCs w:val="24"/>
          <w:vertAlign w:val="superscript"/>
        </w:rPr>
        <w:t>1</w:t>
      </w:r>
      <w:r w:rsidRPr="00F778E6">
        <w:rPr>
          <w:rFonts w:cs="Arial"/>
          <w:sz w:val="24"/>
          <w:szCs w:val="24"/>
        </w:rPr>
        <w:t xml:space="preserve"> Joint Global Change Research Institute, Pacific Northwest National Laboratory, 5825 University Research Ct, College Park, MD 20740, USA</w:t>
      </w:r>
    </w:p>
    <w:p w14:paraId="2B84B196" w14:textId="77777777" w:rsidR="00F778E6" w:rsidRDefault="00F778E6" w:rsidP="00F778E6">
      <w:pPr>
        <w:spacing w:line="240" w:lineRule="auto"/>
        <w:rPr>
          <w:rFonts w:eastAsiaTheme="minorEastAsia" w:cs="Arial"/>
          <w:b/>
          <w:bCs/>
          <w:sz w:val="24"/>
          <w:szCs w:val="24"/>
        </w:rPr>
      </w:pPr>
    </w:p>
    <w:p w14:paraId="264EA2C6" w14:textId="3385B3D6" w:rsidR="00F778E6" w:rsidRPr="00F778E6" w:rsidRDefault="00F778E6" w:rsidP="00F778E6">
      <w:pPr>
        <w:spacing w:line="240" w:lineRule="auto"/>
        <w:rPr>
          <w:rFonts w:eastAsiaTheme="minorEastAsia" w:cs="Arial"/>
          <w:sz w:val="24"/>
          <w:szCs w:val="24"/>
        </w:rPr>
      </w:pPr>
      <w:r w:rsidRPr="00F778E6">
        <w:rPr>
          <w:rFonts w:eastAsiaTheme="minorEastAsia" w:cs="Arial"/>
          <w:b/>
          <w:bCs/>
          <w:sz w:val="24"/>
          <w:szCs w:val="24"/>
        </w:rPr>
        <w:t>Corresponding Author</w:t>
      </w:r>
      <w:r w:rsidRPr="00F778E6">
        <w:rPr>
          <w:rFonts w:eastAsiaTheme="minorEastAsia" w:cs="Arial"/>
          <w:sz w:val="24"/>
          <w:szCs w:val="24"/>
        </w:rPr>
        <w:t xml:space="preserve">: Xin Zhao | </w:t>
      </w:r>
      <w:hyperlink r:id="rId8" w:history="1">
        <w:r w:rsidRPr="00F778E6">
          <w:rPr>
            <w:rStyle w:val="Hyperlink"/>
            <w:rFonts w:eastAsiaTheme="minorEastAsia" w:cs="Arial"/>
            <w:sz w:val="24"/>
            <w:szCs w:val="24"/>
          </w:rPr>
          <w:t>xin.zhao@pnnl.gov</w:t>
        </w:r>
      </w:hyperlink>
      <w:r w:rsidRPr="00F778E6">
        <w:rPr>
          <w:rFonts w:eastAsiaTheme="minorEastAsia" w:cs="Arial"/>
          <w:sz w:val="24"/>
          <w:szCs w:val="24"/>
        </w:rPr>
        <w:t xml:space="preserve"> </w:t>
      </w:r>
    </w:p>
    <w:p w14:paraId="135B2D1B" w14:textId="77777777" w:rsidR="00F778E6" w:rsidRDefault="00F778E6">
      <w:pPr>
        <w:rPr>
          <w:rFonts w:cs="Arial"/>
        </w:rPr>
      </w:pPr>
    </w:p>
    <w:p w14:paraId="018C72A2" w14:textId="7F5BD68C" w:rsidR="00A32C2C" w:rsidRDefault="00A32C2C">
      <w:pPr>
        <w:rPr>
          <w:rFonts w:cs="Arial"/>
        </w:rPr>
      </w:pPr>
      <w:r>
        <w:rPr>
          <w:rFonts w:cs="Arial"/>
        </w:rPr>
        <w:br w:type="page"/>
      </w:r>
    </w:p>
    <w:p w14:paraId="0142BADD" w14:textId="77777777" w:rsidR="00A32C2C" w:rsidRPr="008066ED" w:rsidRDefault="00A32C2C">
      <w:pPr>
        <w:rPr>
          <w:rFonts w:cs="Arial"/>
        </w:rPr>
        <w:sectPr w:rsidR="00A32C2C" w:rsidRPr="008066ED" w:rsidSect="00572106">
          <w:footerReference w:type="default" r:id="rId9"/>
          <w:pgSz w:w="12240" w:h="15840"/>
          <w:pgMar w:top="1008" w:right="720" w:bottom="720" w:left="720" w:header="720" w:footer="720" w:gutter="0"/>
          <w:cols w:space="720"/>
          <w:titlePg/>
          <w:docGrid w:linePitch="360"/>
        </w:sectPr>
      </w:pPr>
    </w:p>
    <w:sdt>
      <w:sdtPr>
        <w:rPr>
          <w:rFonts w:ascii="Arial" w:eastAsiaTheme="minorHAnsi" w:hAnsi="Arial" w:cs="Arial"/>
          <w:color w:val="auto"/>
          <w:sz w:val="22"/>
          <w:szCs w:val="22"/>
        </w:rPr>
        <w:id w:val="-1500954682"/>
        <w:docPartObj>
          <w:docPartGallery w:val="Table of Contents"/>
          <w:docPartUnique/>
        </w:docPartObj>
      </w:sdtPr>
      <w:sdtEndPr>
        <w:rPr>
          <w:b/>
          <w:bCs/>
          <w:noProof/>
        </w:rPr>
      </w:sdtEndPr>
      <w:sdtContent>
        <w:p w14:paraId="4A848F60" w14:textId="6936A98E" w:rsidR="00D64D47" w:rsidRPr="008066ED" w:rsidRDefault="00D64D47" w:rsidP="005B1301">
          <w:pPr>
            <w:pStyle w:val="TOCHeading"/>
            <w:jc w:val="center"/>
            <w:rPr>
              <w:rFonts w:ascii="Arial" w:hAnsi="Arial" w:cs="Arial"/>
              <w:b/>
              <w:bCs/>
              <w:color w:val="auto"/>
              <w:sz w:val="24"/>
              <w:szCs w:val="24"/>
            </w:rPr>
          </w:pPr>
          <w:r w:rsidRPr="008066ED">
            <w:rPr>
              <w:rFonts w:ascii="Arial" w:hAnsi="Arial" w:cs="Arial"/>
              <w:b/>
              <w:bCs/>
              <w:color w:val="auto"/>
              <w:sz w:val="24"/>
              <w:szCs w:val="24"/>
            </w:rPr>
            <w:t>Contents</w:t>
          </w:r>
        </w:p>
        <w:p w14:paraId="5A7D4418" w14:textId="77777777" w:rsidR="00D64D47" w:rsidRPr="008066ED" w:rsidRDefault="00D64D47" w:rsidP="00D64D47">
          <w:pPr>
            <w:rPr>
              <w:rFonts w:cs="Arial"/>
            </w:rPr>
          </w:pPr>
        </w:p>
        <w:p w14:paraId="0A72B2A0" w14:textId="72C12F7C" w:rsidR="003E354C" w:rsidRDefault="00D64D47">
          <w:pPr>
            <w:pStyle w:val="TOC1"/>
            <w:tabs>
              <w:tab w:val="right" w:leader="dot" w:pos="10790"/>
            </w:tabs>
            <w:rPr>
              <w:rFonts w:asciiTheme="minorHAnsi" w:eastAsiaTheme="minorEastAsia" w:hAnsiTheme="minorHAnsi"/>
              <w:noProof/>
              <w:kern w:val="2"/>
              <w:sz w:val="24"/>
              <w:szCs w:val="24"/>
              <w14:ligatures w14:val="standardContextual"/>
            </w:rPr>
          </w:pPr>
          <w:r w:rsidRPr="008066ED">
            <w:rPr>
              <w:rFonts w:cs="Arial"/>
            </w:rPr>
            <w:fldChar w:fldCharType="begin"/>
          </w:r>
          <w:r w:rsidRPr="008066ED">
            <w:rPr>
              <w:rFonts w:cs="Arial"/>
            </w:rPr>
            <w:instrText xml:space="preserve"> TOC \o "1-3" \h \z \u </w:instrText>
          </w:r>
          <w:r w:rsidRPr="008066ED">
            <w:rPr>
              <w:rFonts w:cs="Arial"/>
            </w:rPr>
            <w:fldChar w:fldCharType="separate"/>
          </w:r>
          <w:hyperlink w:anchor="_Toc241138203" w:history="1">
            <w:r w:rsidR="003E354C" w:rsidRPr="007012E2">
              <w:rPr>
                <w:rStyle w:val="Hyperlink"/>
                <w:noProof/>
              </w:rPr>
              <w:t>Supplementary Section 1. Supplementary background and motivation</w:t>
            </w:r>
            <w:r w:rsidR="003E354C">
              <w:rPr>
                <w:noProof/>
                <w:webHidden/>
              </w:rPr>
              <w:tab/>
            </w:r>
            <w:r w:rsidR="003E354C">
              <w:rPr>
                <w:noProof/>
                <w:webHidden/>
              </w:rPr>
              <w:fldChar w:fldCharType="begin"/>
            </w:r>
            <w:r w:rsidR="003E354C">
              <w:rPr>
                <w:noProof/>
                <w:webHidden/>
              </w:rPr>
              <w:instrText xml:space="preserve"> PAGEREF _Toc241138203 \h </w:instrText>
            </w:r>
            <w:r w:rsidR="003E354C">
              <w:rPr>
                <w:noProof/>
                <w:webHidden/>
              </w:rPr>
            </w:r>
            <w:r w:rsidR="003E354C">
              <w:rPr>
                <w:noProof/>
                <w:webHidden/>
              </w:rPr>
              <w:fldChar w:fldCharType="separate"/>
            </w:r>
            <w:r w:rsidR="003E354C">
              <w:rPr>
                <w:noProof/>
                <w:webHidden/>
              </w:rPr>
              <w:t>3</w:t>
            </w:r>
            <w:r w:rsidR="003E354C">
              <w:rPr>
                <w:noProof/>
                <w:webHidden/>
              </w:rPr>
              <w:fldChar w:fldCharType="end"/>
            </w:r>
          </w:hyperlink>
        </w:p>
        <w:p w14:paraId="6D3B5739" w14:textId="6D84CE39" w:rsidR="003E354C" w:rsidRDefault="003E354C">
          <w:pPr>
            <w:pStyle w:val="TOC1"/>
            <w:tabs>
              <w:tab w:val="right" w:leader="dot" w:pos="10790"/>
            </w:tabs>
            <w:rPr>
              <w:rFonts w:asciiTheme="minorHAnsi" w:eastAsiaTheme="minorEastAsia" w:hAnsiTheme="minorHAnsi"/>
              <w:noProof/>
              <w:kern w:val="2"/>
              <w:sz w:val="24"/>
              <w:szCs w:val="24"/>
              <w14:ligatures w14:val="standardContextual"/>
            </w:rPr>
          </w:pPr>
          <w:hyperlink w:anchor="_Toc241138204" w:history="1">
            <w:r w:rsidRPr="007012E2">
              <w:rPr>
                <w:rStyle w:val="Hyperlink"/>
                <w:noProof/>
              </w:rPr>
              <w:t>Supplementary Section 2. Supplementary description of the methodology</w:t>
            </w:r>
            <w:r>
              <w:rPr>
                <w:noProof/>
                <w:webHidden/>
              </w:rPr>
              <w:tab/>
            </w:r>
            <w:r>
              <w:rPr>
                <w:noProof/>
                <w:webHidden/>
              </w:rPr>
              <w:fldChar w:fldCharType="begin"/>
            </w:r>
            <w:r>
              <w:rPr>
                <w:noProof/>
                <w:webHidden/>
              </w:rPr>
              <w:instrText xml:space="preserve"> PAGEREF _Toc241138204 \h </w:instrText>
            </w:r>
            <w:r>
              <w:rPr>
                <w:noProof/>
                <w:webHidden/>
              </w:rPr>
            </w:r>
            <w:r>
              <w:rPr>
                <w:noProof/>
                <w:webHidden/>
              </w:rPr>
              <w:fldChar w:fldCharType="separate"/>
            </w:r>
            <w:r>
              <w:rPr>
                <w:noProof/>
                <w:webHidden/>
              </w:rPr>
              <w:t>7</w:t>
            </w:r>
            <w:r>
              <w:rPr>
                <w:noProof/>
                <w:webHidden/>
              </w:rPr>
              <w:fldChar w:fldCharType="end"/>
            </w:r>
          </w:hyperlink>
        </w:p>
        <w:p w14:paraId="188E2144" w14:textId="5CB000DC" w:rsidR="003E354C" w:rsidRDefault="003E354C">
          <w:pPr>
            <w:pStyle w:val="TOC2"/>
            <w:tabs>
              <w:tab w:val="right" w:leader="dot" w:pos="10790"/>
            </w:tabs>
            <w:rPr>
              <w:rFonts w:asciiTheme="minorHAnsi" w:eastAsiaTheme="minorEastAsia" w:hAnsiTheme="minorHAnsi"/>
              <w:noProof/>
              <w:kern w:val="2"/>
              <w:sz w:val="24"/>
              <w:szCs w:val="24"/>
              <w14:ligatures w14:val="standardContextual"/>
            </w:rPr>
          </w:pPr>
          <w:hyperlink w:anchor="_Toc241138205" w:history="1">
            <w:r w:rsidRPr="007012E2">
              <w:rPr>
                <w:rStyle w:val="Hyperlink"/>
                <w:noProof/>
              </w:rPr>
              <w:t>Supplementary Section 2.1. Structural role and measurement of storage in the agrifood system</w:t>
            </w:r>
            <w:r>
              <w:rPr>
                <w:noProof/>
                <w:webHidden/>
              </w:rPr>
              <w:tab/>
            </w:r>
            <w:r>
              <w:rPr>
                <w:noProof/>
                <w:webHidden/>
              </w:rPr>
              <w:fldChar w:fldCharType="begin"/>
            </w:r>
            <w:r>
              <w:rPr>
                <w:noProof/>
                <w:webHidden/>
              </w:rPr>
              <w:instrText xml:space="preserve"> PAGEREF _Toc241138205 \h </w:instrText>
            </w:r>
            <w:r>
              <w:rPr>
                <w:noProof/>
                <w:webHidden/>
              </w:rPr>
            </w:r>
            <w:r>
              <w:rPr>
                <w:noProof/>
                <w:webHidden/>
              </w:rPr>
              <w:fldChar w:fldCharType="separate"/>
            </w:r>
            <w:r>
              <w:rPr>
                <w:noProof/>
                <w:webHidden/>
              </w:rPr>
              <w:t>7</w:t>
            </w:r>
            <w:r>
              <w:rPr>
                <w:noProof/>
                <w:webHidden/>
              </w:rPr>
              <w:fldChar w:fldCharType="end"/>
            </w:r>
          </w:hyperlink>
        </w:p>
        <w:p w14:paraId="1F9EF569" w14:textId="00AE38DE" w:rsidR="003E354C" w:rsidRDefault="003E354C">
          <w:pPr>
            <w:pStyle w:val="TOC2"/>
            <w:tabs>
              <w:tab w:val="right" w:leader="dot" w:pos="10790"/>
            </w:tabs>
            <w:rPr>
              <w:rFonts w:asciiTheme="minorHAnsi" w:eastAsiaTheme="minorEastAsia" w:hAnsiTheme="minorHAnsi"/>
              <w:noProof/>
              <w:kern w:val="2"/>
              <w:sz w:val="24"/>
              <w:szCs w:val="24"/>
              <w14:ligatures w14:val="standardContextual"/>
            </w:rPr>
          </w:pPr>
          <w:hyperlink w:anchor="_Toc241138206" w:history="1">
            <w:r w:rsidRPr="007012E2">
              <w:rPr>
                <w:rStyle w:val="Hyperlink"/>
                <w:noProof/>
              </w:rPr>
              <w:t>Supplementary Section 2.2. Recent GCAM agricultural and food-system developments</w:t>
            </w:r>
            <w:r>
              <w:rPr>
                <w:noProof/>
                <w:webHidden/>
              </w:rPr>
              <w:tab/>
            </w:r>
            <w:r>
              <w:rPr>
                <w:noProof/>
                <w:webHidden/>
              </w:rPr>
              <w:fldChar w:fldCharType="begin"/>
            </w:r>
            <w:r>
              <w:rPr>
                <w:noProof/>
                <w:webHidden/>
              </w:rPr>
              <w:instrText xml:space="preserve"> PAGEREF _Toc241138206 \h </w:instrText>
            </w:r>
            <w:r>
              <w:rPr>
                <w:noProof/>
                <w:webHidden/>
              </w:rPr>
            </w:r>
            <w:r>
              <w:rPr>
                <w:noProof/>
                <w:webHidden/>
              </w:rPr>
              <w:fldChar w:fldCharType="separate"/>
            </w:r>
            <w:r>
              <w:rPr>
                <w:noProof/>
                <w:webHidden/>
              </w:rPr>
              <w:t>19</w:t>
            </w:r>
            <w:r>
              <w:rPr>
                <w:noProof/>
                <w:webHidden/>
              </w:rPr>
              <w:fldChar w:fldCharType="end"/>
            </w:r>
          </w:hyperlink>
        </w:p>
        <w:p w14:paraId="30399077" w14:textId="3B01EC77" w:rsidR="003E354C" w:rsidRDefault="003E354C">
          <w:pPr>
            <w:pStyle w:val="TOC1"/>
            <w:tabs>
              <w:tab w:val="right" w:leader="dot" w:pos="10790"/>
            </w:tabs>
            <w:rPr>
              <w:rFonts w:asciiTheme="minorHAnsi" w:eastAsiaTheme="minorEastAsia" w:hAnsiTheme="minorHAnsi"/>
              <w:noProof/>
              <w:kern w:val="2"/>
              <w:sz w:val="24"/>
              <w:szCs w:val="24"/>
              <w14:ligatures w14:val="standardContextual"/>
            </w:rPr>
          </w:pPr>
          <w:hyperlink w:anchor="_Toc241138207" w:history="1">
            <w:r w:rsidRPr="007012E2">
              <w:rPr>
                <w:rStyle w:val="Hyperlink"/>
                <w:noProof/>
              </w:rPr>
              <w:t>Supplementary Section 3. Supplementary results</w:t>
            </w:r>
            <w:r>
              <w:rPr>
                <w:noProof/>
                <w:webHidden/>
              </w:rPr>
              <w:tab/>
            </w:r>
            <w:r>
              <w:rPr>
                <w:noProof/>
                <w:webHidden/>
              </w:rPr>
              <w:fldChar w:fldCharType="begin"/>
            </w:r>
            <w:r>
              <w:rPr>
                <w:noProof/>
                <w:webHidden/>
              </w:rPr>
              <w:instrText xml:space="preserve"> PAGEREF _Toc241138207 \h </w:instrText>
            </w:r>
            <w:r>
              <w:rPr>
                <w:noProof/>
                <w:webHidden/>
              </w:rPr>
            </w:r>
            <w:r>
              <w:rPr>
                <w:noProof/>
                <w:webHidden/>
              </w:rPr>
              <w:fldChar w:fldCharType="separate"/>
            </w:r>
            <w:r>
              <w:rPr>
                <w:noProof/>
                <w:webHidden/>
              </w:rPr>
              <w:t>22</w:t>
            </w:r>
            <w:r>
              <w:rPr>
                <w:noProof/>
                <w:webHidden/>
              </w:rPr>
              <w:fldChar w:fldCharType="end"/>
            </w:r>
          </w:hyperlink>
        </w:p>
        <w:p w14:paraId="2B67FE79" w14:textId="57F01792" w:rsidR="003E354C" w:rsidRDefault="003E354C">
          <w:pPr>
            <w:pStyle w:val="TOC2"/>
            <w:tabs>
              <w:tab w:val="right" w:leader="dot" w:pos="10790"/>
            </w:tabs>
            <w:rPr>
              <w:rFonts w:asciiTheme="minorHAnsi" w:eastAsiaTheme="minorEastAsia" w:hAnsiTheme="minorHAnsi"/>
              <w:noProof/>
              <w:kern w:val="2"/>
              <w:sz w:val="24"/>
              <w:szCs w:val="24"/>
              <w14:ligatures w14:val="standardContextual"/>
            </w:rPr>
          </w:pPr>
          <w:hyperlink w:anchor="_Toc241138208" w:history="1">
            <w:r w:rsidRPr="007012E2">
              <w:rPr>
                <w:rStyle w:val="Hyperlink"/>
                <w:noProof/>
              </w:rPr>
              <w:t>Supplementary Section 3.1. Long-term impacts and sensitivity analyses</w:t>
            </w:r>
            <w:r>
              <w:rPr>
                <w:noProof/>
                <w:webHidden/>
              </w:rPr>
              <w:tab/>
            </w:r>
            <w:r>
              <w:rPr>
                <w:noProof/>
                <w:webHidden/>
              </w:rPr>
              <w:fldChar w:fldCharType="begin"/>
            </w:r>
            <w:r>
              <w:rPr>
                <w:noProof/>
                <w:webHidden/>
              </w:rPr>
              <w:instrText xml:space="preserve"> PAGEREF _Toc241138208 \h </w:instrText>
            </w:r>
            <w:r>
              <w:rPr>
                <w:noProof/>
                <w:webHidden/>
              </w:rPr>
            </w:r>
            <w:r>
              <w:rPr>
                <w:noProof/>
                <w:webHidden/>
              </w:rPr>
              <w:fldChar w:fldCharType="separate"/>
            </w:r>
            <w:r>
              <w:rPr>
                <w:noProof/>
                <w:webHidden/>
              </w:rPr>
              <w:t>22</w:t>
            </w:r>
            <w:r>
              <w:rPr>
                <w:noProof/>
                <w:webHidden/>
              </w:rPr>
              <w:fldChar w:fldCharType="end"/>
            </w:r>
          </w:hyperlink>
        </w:p>
        <w:p w14:paraId="4F9A283F" w14:textId="15BC9534" w:rsidR="003E354C" w:rsidRDefault="003E354C">
          <w:pPr>
            <w:pStyle w:val="TOC2"/>
            <w:tabs>
              <w:tab w:val="right" w:leader="dot" w:pos="10790"/>
            </w:tabs>
            <w:rPr>
              <w:rFonts w:asciiTheme="minorHAnsi" w:eastAsiaTheme="minorEastAsia" w:hAnsiTheme="minorHAnsi"/>
              <w:noProof/>
              <w:kern w:val="2"/>
              <w:sz w:val="24"/>
              <w:szCs w:val="24"/>
              <w14:ligatures w14:val="standardContextual"/>
            </w:rPr>
          </w:pPr>
          <w:hyperlink w:anchor="_Toc241138209" w:history="1">
            <w:r w:rsidRPr="007012E2">
              <w:rPr>
                <w:rStyle w:val="Hyperlink"/>
                <w:noProof/>
              </w:rPr>
              <w:t>Supplementary Section 3.2. Transmission of biophysical yield shocks</w:t>
            </w:r>
            <w:r>
              <w:rPr>
                <w:noProof/>
                <w:webHidden/>
              </w:rPr>
              <w:tab/>
            </w:r>
            <w:r>
              <w:rPr>
                <w:noProof/>
                <w:webHidden/>
              </w:rPr>
              <w:fldChar w:fldCharType="begin"/>
            </w:r>
            <w:r>
              <w:rPr>
                <w:noProof/>
                <w:webHidden/>
              </w:rPr>
              <w:instrText xml:space="preserve"> PAGEREF _Toc241138209 \h </w:instrText>
            </w:r>
            <w:r>
              <w:rPr>
                <w:noProof/>
                <w:webHidden/>
              </w:rPr>
            </w:r>
            <w:r>
              <w:rPr>
                <w:noProof/>
                <w:webHidden/>
              </w:rPr>
              <w:fldChar w:fldCharType="separate"/>
            </w:r>
            <w:r>
              <w:rPr>
                <w:noProof/>
                <w:webHidden/>
              </w:rPr>
              <w:t>30</w:t>
            </w:r>
            <w:r>
              <w:rPr>
                <w:noProof/>
                <w:webHidden/>
              </w:rPr>
              <w:fldChar w:fldCharType="end"/>
            </w:r>
          </w:hyperlink>
        </w:p>
        <w:p w14:paraId="6806CCE1" w14:textId="7474D23F" w:rsidR="003E354C" w:rsidRDefault="003E354C">
          <w:pPr>
            <w:pStyle w:val="TOC1"/>
            <w:tabs>
              <w:tab w:val="right" w:leader="dot" w:pos="10790"/>
            </w:tabs>
            <w:rPr>
              <w:rFonts w:asciiTheme="minorHAnsi" w:eastAsiaTheme="minorEastAsia" w:hAnsiTheme="minorHAnsi"/>
              <w:noProof/>
              <w:kern w:val="2"/>
              <w:sz w:val="24"/>
              <w:szCs w:val="24"/>
              <w14:ligatures w14:val="standardContextual"/>
            </w:rPr>
          </w:pPr>
          <w:hyperlink w:anchor="_Toc241138210" w:history="1">
            <w:r w:rsidRPr="007012E2">
              <w:rPr>
                <w:rStyle w:val="Hyperlink"/>
                <w:noProof/>
              </w:rPr>
              <w:t>Supplementary references</w:t>
            </w:r>
            <w:r>
              <w:rPr>
                <w:noProof/>
                <w:webHidden/>
              </w:rPr>
              <w:tab/>
            </w:r>
            <w:r>
              <w:rPr>
                <w:noProof/>
                <w:webHidden/>
              </w:rPr>
              <w:fldChar w:fldCharType="begin"/>
            </w:r>
            <w:r>
              <w:rPr>
                <w:noProof/>
                <w:webHidden/>
              </w:rPr>
              <w:instrText xml:space="preserve"> PAGEREF _Toc241138210 \h </w:instrText>
            </w:r>
            <w:r>
              <w:rPr>
                <w:noProof/>
                <w:webHidden/>
              </w:rPr>
            </w:r>
            <w:r>
              <w:rPr>
                <w:noProof/>
                <w:webHidden/>
              </w:rPr>
              <w:fldChar w:fldCharType="separate"/>
            </w:r>
            <w:r>
              <w:rPr>
                <w:noProof/>
                <w:webHidden/>
              </w:rPr>
              <w:t>43</w:t>
            </w:r>
            <w:r>
              <w:rPr>
                <w:noProof/>
                <w:webHidden/>
              </w:rPr>
              <w:fldChar w:fldCharType="end"/>
            </w:r>
          </w:hyperlink>
        </w:p>
        <w:p w14:paraId="7A339076" w14:textId="67EEC554" w:rsidR="00A32C2C" w:rsidRDefault="00D64D47" w:rsidP="00A32C2C">
          <w:pPr>
            <w:pStyle w:val="TOC1"/>
            <w:tabs>
              <w:tab w:val="right" w:leader="dot" w:pos="10790"/>
            </w:tabs>
            <w:rPr>
              <w:rFonts w:cs="Arial"/>
              <w:b/>
              <w:bCs/>
              <w:noProof/>
            </w:rPr>
          </w:pPr>
          <w:r w:rsidRPr="008066ED">
            <w:rPr>
              <w:rFonts w:cs="Arial"/>
            </w:rPr>
            <w:fldChar w:fldCharType="end"/>
          </w:r>
        </w:p>
      </w:sdtContent>
    </w:sdt>
    <w:p w14:paraId="2F9E6F2E" w14:textId="77777777" w:rsidR="00572106" w:rsidRPr="008066ED" w:rsidRDefault="00572106" w:rsidP="00572106">
      <w:pPr>
        <w:rPr>
          <w:rFonts w:cs="Arial"/>
        </w:rPr>
      </w:pPr>
    </w:p>
    <w:p w14:paraId="18092A6C" w14:textId="066C7F5A" w:rsidR="000E6933" w:rsidRPr="008066ED" w:rsidRDefault="000E6933" w:rsidP="000E6933">
      <w:pPr>
        <w:pStyle w:val="TableofFigures"/>
        <w:tabs>
          <w:tab w:val="right" w:leader="dot" w:pos="10790"/>
        </w:tabs>
        <w:jc w:val="center"/>
        <w:rPr>
          <w:rFonts w:cs="Arial"/>
          <w:b/>
          <w:bCs/>
          <w:sz w:val="24"/>
          <w:szCs w:val="28"/>
        </w:rPr>
      </w:pPr>
      <w:r w:rsidRPr="008066ED">
        <w:rPr>
          <w:rFonts w:cs="Arial"/>
          <w:b/>
          <w:bCs/>
          <w:sz w:val="24"/>
          <w:szCs w:val="28"/>
        </w:rPr>
        <w:t>List of Supplementary Tables and Figures</w:t>
      </w:r>
    </w:p>
    <w:p w14:paraId="32AD3E69" w14:textId="77777777" w:rsidR="000E6933" w:rsidRPr="008066ED" w:rsidRDefault="000E6933" w:rsidP="000E6933">
      <w:pPr>
        <w:pStyle w:val="TableofFigures"/>
        <w:tabs>
          <w:tab w:val="right" w:leader="dot" w:pos="10790"/>
        </w:tabs>
        <w:jc w:val="center"/>
        <w:rPr>
          <w:rFonts w:cs="Arial"/>
          <w:b/>
          <w:bCs/>
          <w:szCs w:val="24"/>
        </w:rPr>
      </w:pPr>
    </w:p>
    <w:p w14:paraId="144D6070" w14:textId="68A49CF7" w:rsidR="003E354C" w:rsidRDefault="000E6933">
      <w:pPr>
        <w:pStyle w:val="TableofFigures"/>
        <w:tabs>
          <w:tab w:val="right" w:leader="dot" w:pos="10790"/>
        </w:tabs>
        <w:rPr>
          <w:rFonts w:asciiTheme="minorHAnsi" w:eastAsiaTheme="minorEastAsia" w:hAnsiTheme="minorHAnsi"/>
          <w:noProof/>
          <w:kern w:val="2"/>
          <w:sz w:val="24"/>
          <w:szCs w:val="24"/>
          <w14:ligatures w14:val="standardContextual"/>
        </w:rPr>
      </w:pPr>
      <w:r w:rsidRPr="008066ED">
        <w:rPr>
          <w:rFonts w:cs="Arial"/>
        </w:rPr>
        <w:fldChar w:fldCharType="begin"/>
      </w:r>
      <w:r w:rsidRPr="008066ED">
        <w:rPr>
          <w:rFonts w:cs="Arial"/>
        </w:rPr>
        <w:instrText xml:space="preserve"> TOC \h \z \c "Table" </w:instrText>
      </w:r>
      <w:r w:rsidRPr="008066ED">
        <w:rPr>
          <w:rFonts w:cs="Arial"/>
        </w:rPr>
        <w:fldChar w:fldCharType="separate"/>
      </w:r>
      <w:hyperlink w:anchor="_Toc241138211" w:history="1">
        <w:r w:rsidR="003E354C" w:rsidRPr="00FF122B">
          <w:rPr>
            <w:rStyle w:val="Hyperlink"/>
            <w:noProof/>
          </w:rPr>
          <w:t>Supplementary Table 1 | Key global agricultural modeling and shock-transmission studies.</w:t>
        </w:r>
        <w:r w:rsidR="003E354C">
          <w:rPr>
            <w:noProof/>
            <w:webHidden/>
          </w:rPr>
          <w:tab/>
        </w:r>
        <w:r w:rsidR="003E354C">
          <w:rPr>
            <w:noProof/>
            <w:webHidden/>
          </w:rPr>
          <w:fldChar w:fldCharType="begin"/>
        </w:r>
        <w:r w:rsidR="003E354C">
          <w:rPr>
            <w:noProof/>
            <w:webHidden/>
          </w:rPr>
          <w:instrText xml:space="preserve"> PAGEREF _Toc241138211 \h </w:instrText>
        </w:r>
        <w:r w:rsidR="003E354C">
          <w:rPr>
            <w:noProof/>
            <w:webHidden/>
          </w:rPr>
        </w:r>
        <w:r w:rsidR="003E354C">
          <w:rPr>
            <w:noProof/>
            <w:webHidden/>
          </w:rPr>
          <w:fldChar w:fldCharType="separate"/>
        </w:r>
        <w:r w:rsidR="003E354C">
          <w:rPr>
            <w:noProof/>
            <w:webHidden/>
          </w:rPr>
          <w:t>5</w:t>
        </w:r>
        <w:r w:rsidR="003E354C">
          <w:rPr>
            <w:noProof/>
            <w:webHidden/>
          </w:rPr>
          <w:fldChar w:fldCharType="end"/>
        </w:r>
      </w:hyperlink>
    </w:p>
    <w:p w14:paraId="77797556" w14:textId="78728C75"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12" w:history="1">
        <w:r w:rsidRPr="00FF122B">
          <w:rPr>
            <w:rStyle w:val="Hyperlink"/>
            <w:noProof/>
          </w:rPr>
          <w:t>Supplementary Table 2 | Comparison of agricultural storage representations relevant to global economic modeling.</w:t>
        </w:r>
        <w:r>
          <w:rPr>
            <w:noProof/>
            <w:webHidden/>
          </w:rPr>
          <w:tab/>
        </w:r>
        <w:r>
          <w:rPr>
            <w:noProof/>
            <w:webHidden/>
          </w:rPr>
          <w:fldChar w:fldCharType="begin"/>
        </w:r>
        <w:r>
          <w:rPr>
            <w:noProof/>
            <w:webHidden/>
          </w:rPr>
          <w:instrText xml:space="preserve"> PAGEREF _Toc241138212 \h </w:instrText>
        </w:r>
        <w:r>
          <w:rPr>
            <w:noProof/>
            <w:webHidden/>
          </w:rPr>
        </w:r>
        <w:r>
          <w:rPr>
            <w:noProof/>
            <w:webHidden/>
          </w:rPr>
          <w:fldChar w:fldCharType="separate"/>
        </w:r>
        <w:r>
          <w:rPr>
            <w:noProof/>
            <w:webHidden/>
          </w:rPr>
          <w:t>6</w:t>
        </w:r>
        <w:r>
          <w:rPr>
            <w:noProof/>
            <w:webHidden/>
          </w:rPr>
          <w:fldChar w:fldCharType="end"/>
        </w:r>
      </w:hyperlink>
    </w:p>
    <w:p w14:paraId="09975D7B" w14:textId="12AD3D18"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13" w:history="1">
        <w:r w:rsidRPr="00FF122B">
          <w:rPr>
            <w:rStyle w:val="Hyperlink"/>
            <w:rFonts w:cs="Arial"/>
            <w:bCs/>
            <w:noProof/>
          </w:rPr>
          <w:t>Supplementary Table 3 | Agricultural commodity mapping between GCAM commodities and FAO primary items.</w:t>
        </w:r>
        <w:r>
          <w:rPr>
            <w:noProof/>
            <w:webHidden/>
          </w:rPr>
          <w:tab/>
        </w:r>
        <w:r>
          <w:rPr>
            <w:noProof/>
            <w:webHidden/>
          </w:rPr>
          <w:fldChar w:fldCharType="begin"/>
        </w:r>
        <w:r>
          <w:rPr>
            <w:noProof/>
            <w:webHidden/>
          </w:rPr>
          <w:instrText xml:space="preserve"> PAGEREF _Toc241138213 \h </w:instrText>
        </w:r>
        <w:r>
          <w:rPr>
            <w:noProof/>
            <w:webHidden/>
          </w:rPr>
        </w:r>
        <w:r>
          <w:rPr>
            <w:noProof/>
            <w:webHidden/>
          </w:rPr>
          <w:fldChar w:fldCharType="separate"/>
        </w:r>
        <w:r>
          <w:rPr>
            <w:noProof/>
            <w:webHidden/>
          </w:rPr>
          <w:t>10</w:t>
        </w:r>
        <w:r>
          <w:rPr>
            <w:noProof/>
            <w:webHidden/>
          </w:rPr>
          <w:fldChar w:fldCharType="end"/>
        </w:r>
      </w:hyperlink>
    </w:p>
    <w:p w14:paraId="0EE9E744" w14:textId="720D4607"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14" w:history="1">
        <w:r w:rsidRPr="00FF122B">
          <w:rPr>
            <w:rStyle w:val="Hyperlink"/>
            <w:rFonts w:cs="Arial"/>
            <w:bCs/>
            <w:noProof/>
          </w:rPr>
          <w:t>Supplementary Table 4 | Mapping between GCAM (v9.1) regions and IPCC R10 regions.</w:t>
        </w:r>
        <w:r>
          <w:rPr>
            <w:noProof/>
            <w:webHidden/>
          </w:rPr>
          <w:tab/>
        </w:r>
        <w:r>
          <w:rPr>
            <w:noProof/>
            <w:webHidden/>
          </w:rPr>
          <w:fldChar w:fldCharType="begin"/>
        </w:r>
        <w:r>
          <w:rPr>
            <w:noProof/>
            <w:webHidden/>
          </w:rPr>
          <w:instrText xml:space="preserve"> PAGEREF _Toc241138214 \h </w:instrText>
        </w:r>
        <w:r>
          <w:rPr>
            <w:noProof/>
            <w:webHidden/>
          </w:rPr>
        </w:r>
        <w:r>
          <w:rPr>
            <w:noProof/>
            <w:webHidden/>
          </w:rPr>
          <w:fldChar w:fldCharType="separate"/>
        </w:r>
        <w:r>
          <w:rPr>
            <w:noProof/>
            <w:webHidden/>
          </w:rPr>
          <w:t>11</w:t>
        </w:r>
        <w:r>
          <w:rPr>
            <w:noProof/>
            <w:webHidden/>
          </w:rPr>
          <w:fldChar w:fldCharType="end"/>
        </w:r>
      </w:hyperlink>
    </w:p>
    <w:p w14:paraId="3E59DC4B" w14:textId="14E148B2"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15" w:history="1">
        <w:r w:rsidRPr="00FF122B">
          <w:rPr>
            <w:rStyle w:val="Hyperlink"/>
            <w:noProof/>
          </w:rPr>
          <w:t>Supplementary Table 5 | Commodity balance and storage indicators for cereal grains in the GCAM base year (2021).</w:t>
        </w:r>
        <w:r>
          <w:rPr>
            <w:noProof/>
            <w:webHidden/>
          </w:rPr>
          <w:tab/>
        </w:r>
        <w:r>
          <w:rPr>
            <w:noProof/>
            <w:webHidden/>
          </w:rPr>
          <w:fldChar w:fldCharType="begin"/>
        </w:r>
        <w:r>
          <w:rPr>
            <w:noProof/>
            <w:webHidden/>
          </w:rPr>
          <w:instrText xml:space="preserve"> PAGEREF _Toc241138215 \h </w:instrText>
        </w:r>
        <w:r>
          <w:rPr>
            <w:noProof/>
            <w:webHidden/>
          </w:rPr>
        </w:r>
        <w:r>
          <w:rPr>
            <w:noProof/>
            <w:webHidden/>
          </w:rPr>
          <w:fldChar w:fldCharType="separate"/>
        </w:r>
        <w:r>
          <w:rPr>
            <w:noProof/>
            <w:webHidden/>
          </w:rPr>
          <w:t>18</w:t>
        </w:r>
        <w:r>
          <w:rPr>
            <w:noProof/>
            <w:webHidden/>
          </w:rPr>
          <w:fldChar w:fldCharType="end"/>
        </w:r>
      </w:hyperlink>
    </w:p>
    <w:p w14:paraId="1864F2C1" w14:textId="4116C554"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16" w:history="1">
        <w:r w:rsidRPr="00FF122B">
          <w:rPr>
            <w:rStyle w:val="Hyperlink"/>
            <w:noProof/>
          </w:rPr>
          <w:t>Supplementary Table 6 | S</w:t>
        </w:r>
        <w:r w:rsidRPr="00FF122B">
          <w:rPr>
            <w:rStyle w:val="Hyperlink"/>
            <w:bCs/>
            <w:noProof/>
          </w:rPr>
          <w:t>ummary of storage cost estimates.</w:t>
        </w:r>
        <w:r>
          <w:rPr>
            <w:noProof/>
            <w:webHidden/>
          </w:rPr>
          <w:tab/>
        </w:r>
        <w:r>
          <w:rPr>
            <w:noProof/>
            <w:webHidden/>
          </w:rPr>
          <w:fldChar w:fldCharType="begin"/>
        </w:r>
        <w:r>
          <w:rPr>
            <w:noProof/>
            <w:webHidden/>
          </w:rPr>
          <w:instrText xml:space="preserve"> PAGEREF _Toc241138216 \h </w:instrText>
        </w:r>
        <w:r>
          <w:rPr>
            <w:noProof/>
            <w:webHidden/>
          </w:rPr>
        </w:r>
        <w:r>
          <w:rPr>
            <w:noProof/>
            <w:webHidden/>
          </w:rPr>
          <w:fldChar w:fldCharType="separate"/>
        </w:r>
        <w:r>
          <w:rPr>
            <w:noProof/>
            <w:webHidden/>
          </w:rPr>
          <w:t>20</w:t>
        </w:r>
        <w:r>
          <w:rPr>
            <w:noProof/>
            <w:webHidden/>
          </w:rPr>
          <w:fldChar w:fldCharType="end"/>
        </w:r>
      </w:hyperlink>
    </w:p>
    <w:p w14:paraId="73C190DB" w14:textId="1FEACA7E"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17" w:history="1">
        <w:r w:rsidRPr="00FF122B">
          <w:rPr>
            <w:rStyle w:val="Hyperlink"/>
            <w:noProof/>
          </w:rPr>
          <w:t>Supplementary Table 7 | Yield-shock transmission elasticities under alternative storage representations.</w:t>
        </w:r>
        <w:r>
          <w:rPr>
            <w:noProof/>
            <w:webHidden/>
          </w:rPr>
          <w:tab/>
        </w:r>
        <w:r>
          <w:rPr>
            <w:noProof/>
            <w:webHidden/>
          </w:rPr>
          <w:fldChar w:fldCharType="begin"/>
        </w:r>
        <w:r>
          <w:rPr>
            <w:noProof/>
            <w:webHidden/>
          </w:rPr>
          <w:instrText xml:space="preserve"> PAGEREF _Toc241138217 \h </w:instrText>
        </w:r>
        <w:r>
          <w:rPr>
            <w:noProof/>
            <w:webHidden/>
          </w:rPr>
        </w:r>
        <w:r>
          <w:rPr>
            <w:noProof/>
            <w:webHidden/>
          </w:rPr>
          <w:fldChar w:fldCharType="separate"/>
        </w:r>
        <w:r>
          <w:rPr>
            <w:noProof/>
            <w:webHidden/>
          </w:rPr>
          <w:t>39</w:t>
        </w:r>
        <w:r>
          <w:rPr>
            <w:noProof/>
            <w:webHidden/>
          </w:rPr>
          <w:fldChar w:fldCharType="end"/>
        </w:r>
      </w:hyperlink>
    </w:p>
    <w:p w14:paraId="63DF0AFB" w14:textId="41FFE5BC"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18" w:history="1">
        <w:r w:rsidRPr="00FF122B">
          <w:rPr>
            <w:rStyle w:val="Hyperlink"/>
            <w:noProof/>
          </w:rPr>
          <w:t>Supplementary Table 8 | Pairwise tests of period-to-period transmission elasticities across storage representations.</w:t>
        </w:r>
        <w:r>
          <w:rPr>
            <w:noProof/>
            <w:webHidden/>
          </w:rPr>
          <w:tab/>
        </w:r>
        <w:r>
          <w:rPr>
            <w:noProof/>
            <w:webHidden/>
          </w:rPr>
          <w:fldChar w:fldCharType="begin"/>
        </w:r>
        <w:r>
          <w:rPr>
            <w:noProof/>
            <w:webHidden/>
          </w:rPr>
          <w:instrText xml:space="preserve"> PAGEREF _Toc241138218 \h </w:instrText>
        </w:r>
        <w:r>
          <w:rPr>
            <w:noProof/>
            <w:webHidden/>
          </w:rPr>
        </w:r>
        <w:r>
          <w:rPr>
            <w:noProof/>
            <w:webHidden/>
          </w:rPr>
          <w:fldChar w:fldCharType="separate"/>
        </w:r>
        <w:r>
          <w:rPr>
            <w:noProof/>
            <w:webHidden/>
          </w:rPr>
          <w:t>41</w:t>
        </w:r>
        <w:r>
          <w:rPr>
            <w:noProof/>
            <w:webHidden/>
          </w:rPr>
          <w:fldChar w:fldCharType="end"/>
        </w:r>
      </w:hyperlink>
    </w:p>
    <w:p w14:paraId="7EB52EE6" w14:textId="25EDAD03"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19" w:history="1">
        <w:r w:rsidRPr="00FF122B">
          <w:rPr>
            <w:rStyle w:val="Hyperlink"/>
            <w:noProof/>
          </w:rPr>
          <w:t>Supplementary Table 9 | Fixed-effect robustness of period-to-period transmission elasticities.</w:t>
        </w:r>
        <w:r>
          <w:rPr>
            <w:noProof/>
            <w:webHidden/>
          </w:rPr>
          <w:tab/>
        </w:r>
        <w:r>
          <w:rPr>
            <w:noProof/>
            <w:webHidden/>
          </w:rPr>
          <w:fldChar w:fldCharType="begin"/>
        </w:r>
        <w:r>
          <w:rPr>
            <w:noProof/>
            <w:webHidden/>
          </w:rPr>
          <w:instrText xml:space="preserve"> PAGEREF _Toc241138219 \h </w:instrText>
        </w:r>
        <w:r>
          <w:rPr>
            <w:noProof/>
            <w:webHidden/>
          </w:rPr>
        </w:r>
        <w:r>
          <w:rPr>
            <w:noProof/>
            <w:webHidden/>
          </w:rPr>
          <w:fldChar w:fldCharType="separate"/>
        </w:r>
        <w:r>
          <w:rPr>
            <w:noProof/>
            <w:webHidden/>
          </w:rPr>
          <w:t>42</w:t>
        </w:r>
        <w:r>
          <w:rPr>
            <w:noProof/>
            <w:webHidden/>
          </w:rPr>
          <w:fldChar w:fldCharType="end"/>
        </w:r>
      </w:hyperlink>
    </w:p>
    <w:p w14:paraId="03790AF7" w14:textId="07D52718" w:rsidR="000E6933" w:rsidRDefault="000E6933" w:rsidP="008A465A">
      <w:pPr>
        <w:spacing w:line="276" w:lineRule="auto"/>
        <w:rPr>
          <w:rFonts w:cs="Arial"/>
        </w:rPr>
      </w:pPr>
      <w:r w:rsidRPr="008066ED">
        <w:rPr>
          <w:rFonts w:cs="Arial"/>
        </w:rPr>
        <w:fldChar w:fldCharType="end"/>
      </w:r>
    </w:p>
    <w:p w14:paraId="032D0ED8" w14:textId="1E78C80C" w:rsidR="003E354C" w:rsidRDefault="00266E35">
      <w:pPr>
        <w:pStyle w:val="TableofFigures"/>
        <w:tabs>
          <w:tab w:val="right" w:leader="dot" w:pos="10790"/>
        </w:tabs>
        <w:rPr>
          <w:rFonts w:asciiTheme="minorHAnsi" w:eastAsiaTheme="minorEastAsia" w:hAnsiTheme="minorHAnsi"/>
          <w:noProof/>
          <w:kern w:val="2"/>
          <w:sz w:val="24"/>
          <w:szCs w:val="24"/>
          <w14:ligatures w14:val="standardContextual"/>
        </w:rPr>
      </w:pPr>
      <w:r>
        <w:rPr>
          <w:rFonts w:cs="Arial"/>
        </w:rPr>
        <w:fldChar w:fldCharType="begin"/>
      </w:r>
      <w:r>
        <w:rPr>
          <w:rFonts w:cs="Arial"/>
        </w:rPr>
        <w:instrText xml:space="preserve"> TOC \h \z \c "Figure" </w:instrText>
      </w:r>
      <w:r>
        <w:rPr>
          <w:rFonts w:cs="Arial"/>
        </w:rPr>
        <w:fldChar w:fldCharType="separate"/>
      </w:r>
      <w:hyperlink w:anchor="_Toc241138220" w:history="1">
        <w:r w:rsidR="003E354C" w:rsidRPr="00E24E47">
          <w:rPr>
            <w:rStyle w:val="Hyperlink"/>
            <w:noProof/>
          </w:rPr>
          <w:t xml:space="preserve">Supplementary Fig. 1 | </w:t>
        </w:r>
        <w:r w:rsidR="003E354C" w:rsidRPr="00E24E47">
          <w:rPr>
            <w:rStyle w:val="Hyperlink"/>
            <w:bCs/>
            <w:noProof/>
          </w:rPr>
          <w:t>Structural representation of storage-related elements in agricultural supply utilization accounts.</w:t>
        </w:r>
        <w:r w:rsidR="003E354C">
          <w:rPr>
            <w:noProof/>
            <w:webHidden/>
          </w:rPr>
          <w:tab/>
        </w:r>
        <w:r w:rsidR="003E354C">
          <w:rPr>
            <w:noProof/>
            <w:webHidden/>
          </w:rPr>
          <w:fldChar w:fldCharType="begin"/>
        </w:r>
        <w:r w:rsidR="003E354C">
          <w:rPr>
            <w:noProof/>
            <w:webHidden/>
          </w:rPr>
          <w:instrText xml:space="preserve"> PAGEREF _Toc241138220 \h </w:instrText>
        </w:r>
        <w:r w:rsidR="003E354C">
          <w:rPr>
            <w:noProof/>
            <w:webHidden/>
          </w:rPr>
        </w:r>
        <w:r w:rsidR="003E354C">
          <w:rPr>
            <w:noProof/>
            <w:webHidden/>
          </w:rPr>
          <w:fldChar w:fldCharType="separate"/>
        </w:r>
        <w:r w:rsidR="003E354C">
          <w:rPr>
            <w:noProof/>
            <w:webHidden/>
          </w:rPr>
          <w:t>12</w:t>
        </w:r>
        <w:r w:rsidR="003E354C">
          <w:rPr>
            <w:noProof/>
            <w:webHidden/>
          </w:rPr>
          <w:fldChar w:fldCharType="end"/>
        </w:r>
      </w:hyperlink>
    </w:p>
    <w:p w14:paraId="729F2F0F" w14:textId="6636E4F1"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21" w:history="1">
        <w:r w:rsidRPr="00E24E47">
          <w:rPr>
            <w:rStyle w:val="Hyperlink"/>
            <w:noProof/>
          </w:rPr>
          <w:t>Supplementary Fig. 2 | Global traceable food balance sheets, 2010 – 2022</w:t>
        </w:r>
        <w:r w:rsidRPr="00E24E47">
          <w:rPr>
            <w:rStyle w:val="Hyperlink"/>
            <w:bCs/>
            <w:noProof/>
          </w:rPr>
          <w:t>.</w:t>
        </w:r>
        <w:r>
          <w:rPr>
            <w:noProof/>
            <w:webHidden/>
          </w:rPr>
          <w:tab/>
        </w:r>
        <w:r>
          <w:rPr>
            <w:noProof/>
            <w:webHidden/>
          </w:rPr>
          <w:fldChar w:fldCharType="begin"/>
        </w:r>
        <w:r>
          <w:rPr>
            <w:noProof/>
            <w:webHidden/>
          </w:rPr>
          <w:instrText xml:space="preserve"> PAGEREF _Toc241138221 \h </w:instrText>
        </w:r>
        <w:r>
          <w:rPr>
            <w:noProof/>
            <w:webHidden/>
          </w:rPr>
        </w:r>
        <w:r>
          <w:rPr>
            <w:noProof/>
            <w:webHidden/>
          </w:rPr>
          <w:fldChar w:fldCharType="separate"/>
        </w:r>
        <w:r>
          <w:rPr>
            <w:noProof/>
            <w:webHidden/>
          </w:rPr>
          <w:t>13</w:t>
        </w:r>
        <w:r>
          <w:rPr>
            <w:noProof/>
            <w:webHidden/>
          </w:rPr>
          <w:fldChar w:fldCharType="end"/>
        </w:r>
      </w:hyperlink>
    </w:p>
    <w:p w14:paraId="5FDD544D" w14:textId="293C6094"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22" w:history="1">
        <w:r w:rsidRPr="00E24E47">
          <w:rPr>
            <w:rStyle w:val="Hyperlink"/>
            <w:noProof/>
          </w:rPr>
          <w:t>Supplementary Fig. 3 | Storage variation by GCAM storable commodity and region, 2010 – 2022.</w:t>
        </w:r>
        <w:r>
          <w:rPr>
            <w:noProof/>
            <w:webHidden/>
          </w:rPr>
          <w:tab/>
        </w:r>
        <w:r>
          <w:rPr>
            <w:noProof/>
            <w:webHidden/>
          </w:rPr>
          <w:fldChar w:fldCharType="begin"/>
        </w:r>
        <w:r>
          <w:rPr>
            <w:noProof/>
            <w:webHidden/>
          </w:rPr>
          <w:instrText xml:space="preserve"> PAGEREF _Toc241138222 \h </w:instrText>
        </w:r>
        <w:r>
          <w:rPr>
            <w:noProof/>
            <w:webHidden/>
          </w:rPr>
        </w:r>
        <w:r>
          <w:rPr>
            <w:noProof/>
            <w:webHidden/>
          </w:rPr>
          <w:fldChar w:fldCharType="separate"/>
        </w:r>
        <w:r>
          <w:rPr>
            <w:noProof/>
            <w:webHidden/>
          </w:rPr>
          <w:t>14</w:t>
        </w:r>
        <w:r>
          <w:rPr>
            <w:noProof/>
            <w:webHidden/>
          </w:rPr>
          <w:fldChar w:fldCharType="end"/>
        </w:r>
      </w:hyperlink>
    </w:p>
    <w:p w14:paraId="48F7F67F" w14:textId="3C60004B"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23" w:history="1">
        <w:r w:rsidRPr="00E24E47">
          <w:rPr>
            <w:rStyle w:val="Hyperlink"/>
            <w:noProof/>
          </w:rPr>
          <w:t>Supplementary Fig. 4 | Stock-to-gross-supply and stock-to-gross-use ratios by commodity group and region.</w:t>
        </w:r>
        <w:r>
          <w:rPr>
            <w:noProof/>
            <w:webHidden/>
          </w:rPr>
          <w:tab/>
        </w:r>
        <w:r>
          <w:rPr>
            <w:noProof/>
            <w:webHidden/>
          </w:rPr>
          <w:fldChar w:fldCharType="begin"/>
        </w:r>
        <w:r>
          <w:rPr>
            <w:noProof/>
            <w:webHidden/>
          </w:rPr>
          <w:instrText xml:space="preserve"> PAGEREF _Toc241138223 \h </w:instrText>
        </w:r>
        <w:r>
          <w:rPr>
            <w:noProof/>
            <w:webHidden/>
          </w:rPr>
        </w:r>
        <w:r>
          <w:rPr>
            <w:noProof/>
            <w:webHidden/>
          </w:rPr>
          <w:fldChar w:fldCharType="separate"/>
        </w:r>
        <w:r>
          <w:rPr>
            <w:noProof/>
            <w:webHidden/>
          </w:rPr>
          <w:t>15</w:t>
        </w:r>
        <w:r>
          <w:rPr>
            <w:noProof/>
            <w:webHidden/>
          </w:rPr>
          <w:fldChar w:fldCharType="end"/>
        </w:r>
      </w:hyperlink>
    </w:p>
    <w:p w14:paraId="6BB84EE2" w14:textId="4C024B07"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24" w:history="1">
        <w:r w:rsidRPr="00E24E47">
          <w:rPr>
            <w:rStyle w:val="Hyperlink"/>
            <w:noProof/>
          </w:rPr>
          <w:t xml:space="preserve">Supplementary Fig. 5 | </w:t>
        </w:r>
        <w:r w:rsidRPr="00E24E47">
          <w:rPr>
            <w:rStyle w:val="Hyperlink"/>
            <w:rFonts w:cs="Arial"/>
            <w:bCs/>
            <w:noProof/>
          </w:rPr>
          <w:t>Storage loss indicators by commodity group and region.</w:t>
        </w:r>
        <w:r>
          <w:rPr>
            <w:noProof/>
            <w:webHidden/>
          </w:rPr>
          <w:tab/>
        </w:r>
        <w:r>
          <w:rPr>
            <w:noProof/>
            <w:webHidden/>
          </w:rPr>
          <w:fldChar w:fldCharType="begin"/>
        </w:r>
        <w:r>
          <w:rPr>
            <w:noProof/>
            <w:webHidden/>
          </w:rPr>
          <w:instrText xml:space="preserve"> PAGEREF _Toc241138224 \h </w:instrText>
        </w:r>
        <w:r>
          <w:rPr>
            <w:noProof/>
            <w:webHidden/>
          </w:rPr>
        </w:r>
        <w:r>
          <w:rPr>
            <w:noProof/>
            <w:webHidden/>
          </w:rPr>
          <w:fldChar w:fldCharType="separate"/>
        </w:r>
        <w:r>
          <w:rPr>
            <w:noProof/>
            <w:webHidden/>
          </w:rPr>
          <w:t>16</w:t>
        </w:r>
        <w:r>
          <w:rPr>
            <w:noProof/>
            <w:webHidden/>
          </w:rPr>
          <w:fldChar w:fldCharType="end"/>
        </w:r>
      </w:hyperlink>
    </w:p>
    <w:p w14:paraId="18B731C2" w14:textId="54DC623C"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25" w:history="1">
        <w:r w:rsidRPr="00E24E47">
          <w:rPr>
            <w:rStyle w:val="Hyperlink"/>
            <w:noProof/>
          </w:rPr>
          <w:t xml:space="preserve">Supplementary Fig. 6 | </w:t>
        </w:r>
        <w:r w:rsidRPr="00E24E47">
          <w:rPr>
            <w:rStyle w:val="Hyperlink"/>
            <w:bCs/>
            <w:noProof/>
          </w:rPr>
          <w:t>Regional and global patterns of biophysical yield shocks used in model simulations.</w:t>
        </w:r>
        <w:r>
          <w:rPr>
            <w:noProof/>
            <w:webHidden/>
          </w:rPr>
          <w:tab/>
        </w:r>
        <w:r>
          <w:rPr>
            <w:noProof/>
            <w:webHidden/>
          </w:rPr>
          <w:fldChar w:fldCharType="begin"/>
        </w:r>
        <w:r>
          <w:rPr>
            <w:noProof/>
            <w:webHidden/>
          </w:rPr>
          <w:instrText xml:space="preserve"> PAGEREF _Toc241138225 \h </w:instrText>
        </w:r>
        <w:r>
          <w:rPr>
            <w:noProof/>
            <w:webHidden/>
          </w:rPr>
        </w:r>
        <w:r>
          <w:rPr>
            <w:noProof/>
            <w:webHidden/>
          </w:rPr>
          <w:fldChar w:fldCharType="separate"/>
        </w:r>
        <w:r>
          <w:rPr>
            <w:noProof/>
            <w:webHidden/>
          </w:rPr>
          <w:t>21</w:t>
        </w:r>
        <w:r>
          <w:rPr>
            <w:noProof/>
            <w:webHidden/>
          </w:rPr>
          <w:fldChar w:fldCharType="end"/>
        </w:r>
      </w:hyperlink>
    </w:p>
    <w:p w14:paraId="46FCAA7B" w14:textId="27385FA9"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26" w:history="1">
        <w:r w:rsidRPr="00E24E47">
          <w:rPr>
            <w:rStyle w:val="Hyperlink"/>
            <w:noProof/>
          </w:rPr>
          <w:t>Supplementary Fig. 7 | Global and regional crop stocks in per capita dietary-energy terms.</w:t>
        </w:r>
        <w:r>
          <w:rPr>
            <w:noProof/>
            <w:webHidden/>
          </w:rPr>
          <w:tab/>
        </w:r>
        <w:r>
          <w:rPr>
            <w:noProof/>
            <w:webHidden/>
          </w:rPr>
          <w:fldChar w:fldCharType="begin"/>
        </w:r>
        <w:r>
          <w:rPr>
            <w:noProof/>
            <w:webHidden/>
          </w:rPr>
          <w:instrText xml:space="preserve"> PAGEREF _Toc241138226 \h </w:instrText>
        </w:r>
        <w:r>
          <w:rPr>
            <w:noProof/>
            <w:webHidden/>
          </w:rPr>
        </w:r>
        <w:r>
          <w:rPr>
            <w:noProof/>
            <w:webHidden/>
          </w:rPr>
          <w:fldChar w:fldCharType="separate"/>
        </w:r>
        <w:r>
          <w:rPr>
            <w:noProof/>
            <w:webHidden/>
          </w:rPr>
          <w:t>23</w:t>
        </w:r>
        <w:r>
          <w:rPr>
            <w:noProof/>
            <w:webHidden/>
          </w:rPr>
          <w:fldChar w:fldCharType="end"/>
        </w:r>
      </w:hyperlink>
    </w:p>
    <w:p w14:paraId="662503B4" w14:textId="68B7F121"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27" w:history="1">
        <w:r w:rsidRPr="00E24E47">
          <w:rPr>
            <w:rStyle w:val="Hyperlink"/>
            <w:noProof/>
          </w:rPr>
          <w:t>Supplementary Fig. 8  | Agroeconomic and environmental projections under dynamic storage.</w:t>
        </w:r>
        <w:r>
          <w:rPr>
            <w:noProof/>
            <w:webHidden/>
          </w:rPr>
          <w:tab/>
        </w:r>
        <w:r>
          <w:rPr>
            <w:noProof/>
            <w:webHidden/>
          </w:rPr>
          <w:fldChar w:fldCharType="begin"/>
        </w:r>
        <w:r>
          <w:rPr>
            <w:noProof/>
            <w:webHidden/>
          </w:rPr>
          <w:instrText xml:space="preserve"> PAGEREF _Toc241138227 \h </w:instrText>
        </w:r>
        <w:r>
          <w:rPr>
            <w:noProof/>
            <w:webHidden/>
          </w:rPr>
        </w:r>
        <w:r>
          <w:rPr>
            <w:noProof/>
            <w:webHidden/>
          </w:rPr>
          <w:fldChar w:fldCharType="separate"/>
        </w:r>
        <w:r>
          <w:rPr>
            <w:noProof/>
            <w:webHidden/>
          </w:rPr>
          <w:t>24</w:t>
        </w:r>
        <w:r>
          <w:rPr>
            <w:noProof/>
            <w:webHidden/>
          </w:rPr>
          <w:fldChar w:fldCharType="end"/>
        </w:r>
      </w:hyperlink>
    </w:p>
    <w:p w14:paraId="350BF41F" w14:textId="6A7D3EE8"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28" w:history="1">
        <w:r w:rsidRPr="00E24E47">
          <w:rPr>
            <w:rStyle w:val="Hyperlink"/>
            <w:noProof/>
          </w:rPr>
          <w:t>Supplementary Fig. 9  | Agroeconomic and environmental projections under hidden storage.</w:t>
        </w:r>
        <w:r>
          <w:rPr>
            <w:noProof/>
            <w:webHidden/>
          </w:rPr>
          <w:tab/>
        </w:r>
        <w:r>
          <w:rPr>
            <w:noProof/>
            <w:webHidden/>
          </w:rPr>
          <w:fldChar w:fldCharType="begin"/>
        </w:r>
        <w:r>
          <w:rPr>
            <w:noProof/>
            <w:webHidden/>
          </w:rPr>
          <w:instrText xml:space="preserve"> PAGEREF _Toc241138228 \h </w:instrText>
        </w:r>
        <w:r>
          <w:rPr>
            <w:noProof/>
            <w:webHidden/>
          </w:rPr>
        </w:r>
        <w:r>
          <w:rPr>
            <w:noProof/>
            <w:webHidden/>
          </w:rPr>
          <w:fldChar w:fldCharType="separate"/>
        </w:r>
        <w:r>
          <w:rPr>
            <w:noProof/>
            <w:webHidden/>
          </w:rPr>
          <w:t>25</w:t>
        </w:r>
        <w:r>
          <w:rPr>
            <w:noProof/>
            <w:webHidden/>
          </w:rPr>
          <w:fldChar w:fldCharType="end"/>
        </w:r>
      </w:hyperlink>
    </w:p>
    <w:p w14:paraId="26A11A09" w14:textId="6700D07A"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29" w:history="1">
        <w:r w:rsidRPr="00E24E47">
          <w:rPr>
            <w:rStyle w:val="Hyperlink"/>
            <w:noProof/>
          </w:rPr>
          <w:t>Supplementary Fig. 10  | Impact of dynamic storage representation (Dynamic vs. Hidden) on agroeconomic and environmental projections.</w:t>
        </w:r>
        <w:r>
          <w:rPr>
            <w:noProof/>
            <w:webHidden/>
          </w:rPr>
          <w:tab/>
        </w:r>
        <w:r>
          <w:rPr>
            <w:noProof/>
            <w:webHidden/>
          </w:rPr>
          <w:fldChar w:fldCharType="begin"/>
        </w:r>
        <w:r>
          <w:rPr>
            <w:noProof/>
            <w:webHidden/>
          </w:rPr>
          <w:instrText xml:space="preserve"> PAGEREF _Toc241138229 \h </w:instrText>
        </w:r>
        <w:r>
          <w:rPr>
            <w:noProof/>
            <w:webHidden/>
          </w:rPr>
        </w:r>
        <w:r>
          <w:rPr>
            <w:noProof/>
            <w:webHidden/>
          </w:rPr>
          <w:fldChar w:fldCharType="separate"/>
        </w:r>
        <w:r>
          <w:rPr>
            <w:noProof/>
            <w:webHidden/>
          </w:rPr>
          <w:t>26</w:t>
        </w:r>
        <w:r>
          <w:rPr>
            <w:noProof/>
            <w:webHidden/>
          </w:rPr>
          <w:fldChar w:fldCharType="end"/>
        </w:r>
      </w:hyperlink>
    </w:p>
    <w:p w14:paraId="0D709DC5" w14:textId="401FC3DB"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30" w:history="1">
        <w:r w:rsidRPr="00E24E47">
          <w:rPr>
            <w:rStyle w:val="Hyperlink"/>
            <w:noProof/>
          </w:rPr>
          <w:t>Supplementary Fig. 11  | Agricultural storage dynamics and multisectoral impacts under biophysical yield shocks.</w:t>
        </w:r>
        <w:r>
          <w:rPr>
            <w:noProof/>
            <w:webHidden/>
          </w:rPr>
          <w:tab/>
        </w:r>
        <w:r>
          <w:rPr>
            <w:noProof/>
            <w:webHidden/>
          </w:rPr>
          <w:fldChar w:fldCharType="begin"/>
        </w:r>
        <w:r>
          <w:rPr>
            <w:noProof/>
            <w:webHidden/>
          </w:rPr>
          <w:instrText xml:space="preserve"> PAGEREF _Toc241138230 \h </w:instrText>
        </w:r>
        <w:r>
          <w:rPr>
            <w:noProof/>
            <w:webHidden/>
          </w:rPr>
        </w:r>
        <w:r>
          <w:rPr>
            <w:noProof/>
            <w:webHidden/>
          </w:rPr>
          <w:fldChar w:fldCharType="separate"/>
        </w:r>
        <w:r>
          <w:rPr>
            <w:noProof/>
            <w:webHidden/>
          </w:rPr>
          <w:t>27</w:t>
        </w:r>
        <w:r>
          <w:rPr>
            <w:noProof/>
            <w:webHidden/>
          </w:rPr>
          <w:fldChar w:fldCharType="end"/>
        </w:r>
      </w:hyperlink>
    </w:p>
    <w:p w14:paraId="34614185" w14:textId="0BCB4B6B"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31" w:history="1">
        <w:r w:rsidRPr="00E24E47">
          <w:rPr>
            <w:rStyle w:val="Hyperlink"/>
            <w:noProof/>
          </w:rPr>
          <w:t>Supplementary Fig. 12  | Agricultural storage dynamics and multisectoral impacts under fixed-ratio storage.</w:t>
        </w:r>
        <w:r>
          <w:rPr>
            <w:noProof/>
            <w:webHidden/>
          </w:rPr>
          <w:tab/>
        </w:r>
        <w:r>
          <w:rPr>
            <w:noProof/>
            <w:webHidden/>
          </w:rPr>
          <w:fldChar w:fldCharType="begin"/>
        </w:r>
        <w:r>
          <w:rPr>
            <w:noProof/>
            <w:webHidden/>
          </w:rPr>
          <w:instrText xml:space="preserve"> PAGEREF _Toc241138231 \h </w:instrText>
        </w:r>
        <w:r>
          <w:rPr>
            <w:noProof/>
            <w:webHidden/>
          </w:rPr>
        </w:r>
        <w:r>
          <w:rPr>
            <w:noProof/>
            <w:webHidden/>
          </w:rPr>
          <w:fldChar w:fldCharType="separate"/>
        </w:r>
        <w:r>
          <w:rPr>
            <w:noProof/>
            <w:webHidden/>
          </w:rPr>
          <w:t>28</w:t>
        </w:r>
        <w:r>
          <w:rPr>
            <w:noProof/>
            <w:webHidden/>
          </w:rPr>
          <w:fldChar w:fldCharType="end"/>
        </w:r>
      </w:hyperlink>
    </w:p>
    <w:p w14:paraId="121B5294" w14:textId="07E50632"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32" w:history="1">
        <w:r w:rsidRPr="00E24E47">
          <w:rPr>
            <w:rStyle w:val="Hyperlink"/>
            <w:rFonts w:cs="Arial"/>
            <w:noProof/>
          </w:rPr>
          <w:t>Supplementary Fig. 13  | Agricultural storage dynamics and multisectoral impacts under dynamic storage without cross-period carryover adjustment.</w:t>
        </w:r>
        <w:r>
          <w:rPr>
            <w:noProof/>
            <w:webHidden/>
          </w:rPr>
          <w:tab/>
        </w:r>
        <w:r>
          <w:rPr>
            <w:noProof/>
            <w:webHidden/>
          </w:rPr>
          <w:fldChar w:fldCharType="begin"/>
        </w:r>
        <w:r>
          <w:rPr>
            <w:noProof/>
            <w:webHidden/>
          </w:rPr>
          <w:instrText xml:space="preserve"> PAGEREF _Toc241138232 \h </w:instrText>
        </w:r>
        <w:r>
          <w:rPr>
            <w:noProof/>
            <w:webHidden/>
          </w:rPr>
        </w:r>
        <w:r>
          <w:rPr>
            <w:noProof/>
            <w:webHidden/>
          </w:rPr>
          <w:fldChar w:fldCharType="separate"/>
        </w:r>
        <w:r>
          <w:rPr>
            <w:noProof/>
            <w:webHidden/>
          </w:rPr>
          <w:t>29</w:t>
        </w:r>
        <w:r>
          <w:rPr>
            <w:noProof/>
            <w:webHidden/>
          </w:rPr>
          <w:fldChar w:fldCharType="end"/>
        </w:r>
      </w:hyperlink>
    </w:p>
    <w:p w14:paraId="3D3BA147" w14:textId="332366B3"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33" w:history="1">
        <w:r w:rsidRPr="00E24E47">
          <w:rPr>
            <w:rStyle w:val="Hyperlink"/>
            <w:noProof/>
          </w:rPr>
          <w:t>Supplementary Fig. 14 | Cumulative agroeconomic responses to biophysical yield shocks under Dynamic Storage.</w:t>
        </w:r>
        <w:r>
          <w:rPr>
            <w:noProof/>
            <w:webHidden/>
          </w:rPr>
          <w:tab/>
        </w:r>
        <w:r>
          <w:rPr>
            <w:noProof/>
            <w:webHidden/>
          </w:rPr>
          <w:fldChar w:fldCharType="begin"/>
        </w:r>
        <w:r>
          <w:rPr>
            <w:noProof/>
            <w:webHidden/>
          </w:rPr>
          <w:instrText xml:space="preserve"> PAGEREF _Toc241138233 \h </w:instrText>
        </w:r>
        <w:r>
          <w:rPr>
            <w:noProof/>
            <w:webHidden/>
          </w:rPr>
        </w:r>
        <w:r>
          <w:rPr>
            <w:noProof/>
            <w:webHidden/>
          </w:rPr>
          <w:fldChar w:fldCharType="separate"/>
        </w:r>
        <w:r>
          <w:rPr>
            <w:noProof/>
            <w:webHidden/>
          </w:rPr>
          <w:t>32</w:t>
        </w:r>
        <w:r>
          <w:rPr>
            <w:noProof/>
            <w:webHidden/>
          </w:rPr>
          <w:fldChar w:fldCharType="end"/>
        </w:r>
      </w:hyperlink>
    </w:p>
    <w:p w14:paraId="33A6EC66" w14:textId="3D83BBFA"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34" w:history="1">
        <w:r w:rsidRPr="00E24E47">
          <w:rPr>
            <w:rStyle w:val="Hyperlink"/>
            <w:noProof/>
          </w:rPr>
          <w:t>Supplementary Fig. 15 | Transmission of cumulative biophysical yield shocks to agroeconomic outcomes in 2050.</w:t>
        </w:r>
        <w:r>
          <w:rPr>
            <w:noProof/>
            <w:webHidden/>
          </w:rPr>
          <w:tab/>
        </w:r>
        <w:r>
          <w:rPr>
            <w:noProof/>
            <w:webHidden/>
          </w:rPr>
          <w:fldChar w:fldCharType="begin"/>
        </w:r>
        <w:r>
          <w:rPr>
            <w:noProof/>
            <w:webHidden/>
          </w:rPr>
          <w:instrText xml:space="preserve"> PAGEREF _Toc241138234 \h </w:instrText>
        </w:r>
        <w:r>
          <w:rPr>
            <w:noProof/>
            <w:webHidden/>
          </w:rPr>
        </w:r>
        <w:r>
          <w:rPr>
            <w:noProof/>
            <w:webHidden/>
          </w:rPr>
          <w:fldChar w:fldCharType="separate"/>
        </w:r>
        <w:r>
          <w:rPr>
            <w:noProof/>
            <w:webHidden/>
          </w:rPr>
          <w:t>33</w:t>
        </w:r>
        <w:r>
          <w:rPr>
            <w:noProof/>
            <w:webHidden/>
          </w:rPr>
          <w:fldChar w:fldCharType="end"/>
        </w:r>
      </w:hyperlink>
    </w:p>
    <w:p w14:paraId="25C7C319" w14:textId="08A172DC"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35" w:history="1">
        <w:r w:rsidRPr="00E24E47">
          <w:rPr>
            <w:rStyle w:val="Hyperlink"/>
            <w:noProof/>
          </w:rPr>
          <w:t>Supplementary Fig. 16 | Cumulative transmission of biophysical yield shocks to agroeconomic outcomes in 2100.</w:t>
        </w:r>
        <w:r>
          <w:rPr>
            <w:noProof/>
            <w:webHidden/>
          </w:rPr>
          <w:tab/>
        </w:r>
        <w:r>
          <w:rPr>
            <w:noProof/>
            <w:webHidden/>
          </w:rPr>
          <w:fldChar w:fldCharType="begin"/>
        </w:r>
        <w:r>
          <w:rPr>
            <w:noProof/>
            <w:webHidden/>
          </w:rPr>
          <w:instrText xml:space="preserve"> PAGEREF _Toc241138235 \h </w:instrText>
        </w:r>
        <w:r>
          <w:rPr>
            <w:noProof/>
            <w:webHidden/>
          </w:rPr>
        </w:r>
        <w:r>
          <w:rPr>
            <w:noProof/>
            <w:webHidden/>
          </w:rPr>
          <w:fldChar w:fldCharType="separate"/>
        </w:r>
        <w:r>
          <w:rPr>
            <w:noProof/>
            <w:webHidden/>
          </w:rPr>
          <w:t>34</w:t>
        </w:r>
        <w:r>
          <w:rPr>
            <w:noProof/>
            <w:webHidden/>
          </w:rPr>
          <w:fldChar w:fldCharType="end"/>
        </w:r>
      </w:hyperlink>
    </w:p>
    <w:p w14:paraId="7B9458D7" w14:textId="4A23FA26"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36" w:history="1">
        <w:r w:rsidRPr="00E24E47">
          <w:rPr>
            <w:rStyle w:val="Hyperlink"/>
            <w:noProof/>
          </w:rPr>
          <w:t>Supplementary Fig. 17  |  Period-to-period agroeconomic responses to biophysical yield shocks under Dynamic Storage, by model period.</w:t>
        </w:r>
        <w:r>
          <w:rPr>
            <w:noProof/>
            <w:webHidden/>
          </w:rPr>
          <w:tab/>
        </w:r>
        <w:r>
          <w:rPr>
            <w:noProof/>
            <w:webHidden/>
          </w:rPr>
          <w:fldChar w:fldCharType="begin"/>
        </w:r>
        <w:r>
          <w:rPr>
            <w:noProof/>
            <w:webHidden/>
          </w:rPr>
          <w:instrText xml:space="preserve"> PAGEREF _Toc241138236 \h </w:instrText>
        </w:r>
        <w:r>
          <w:rPr>
            <w:noProof/>
            <w:webHidden/>
          </w:rPr>
        </w:r>
        <w:r>
          <w:rPr>
            <w:noProof/>
            <w:webHidden/>
          </w:rPr>
          <w:fldChar w:fldCharType="separate"/>
        </w:r>
        <w:r>
          <w:rPr>
            <w:noProof/>
            <w:webHidden/>
          </w:rPr>
          <w:t>35</w:t>
        </w:r>
        <w:r>
          <w:rPr>
            <w:noProof/>
            <w:webHidden/>
          </w:rPr>
          <w:fldChar w:fldCharType="end"/>
        </w:r>
      </w:hyperlink>
    </w:p>
    <w:p w14:paraId="05212A3E" w14:textId="7D036855"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37" w:history="1">
        <w:r w:rsidRPr="00E24E47">
          <w:rPr>
            <w:rStyle w:val="Hyperlink"/>
            <w:noProof/>
          </w:rPr>
          <w:t>Supplementary Fig. 18  | Period-to-period agroeconomic responses to biophysical yield shocks under Dynamic Storage, by region.</w:t>
        </w:r>
        <w:r>
          <w:rPr>
            <w:noProof/>
            <w:webHidden/>
          </w:rPr>
          <w:tab/>
        </w:r>
        <w:r>
          <w:rPr>
            <w:noProof/>
            <w:webHidden/>
          </w:rPr>
          <w:fldChar w:fldCharType="begin"/>
        </w:r>
        <w:r>
          <w:rPr>
            <w:noProof/>
            <w:webHidden/>
          </w:rPr>
          <w:instrText xml:space="preserve"> PAGEREF _Toc241138237 \h </w:instrText>
        </w:r>
        <w:r>
          <w:rPr>
            <w:noProof/>
            <w:webHidden/>
          </w:rPr>
        </w:r>
        <w:r>
          <w:rPr>
            <w:noProof/>
            <w:webHidden/>
          </w:rPr>
          <w:fldChar w:fldCharType="separate"/>
        </w:r>
        <w:r>
          <w:rPr>
            <w:noProof/>
            <w:webHidden/>
          </w:rPr>
          <w:t>36</w:t>
        </w:r>
        <w:r>
          <w:rPr>
            <w:noProof/>
            <w:webHidden/>
          </w:rPr>
          <w:fldChar w:fldCharType="end"/>
        </w:r>
      </w:hyperlink>
    </w:p>
    <w:p w14:paraId="645E42FF" w14:textId="09BB3F11" w:rsidR="003E354C" w:rsidRDefault="003E354C">
      <w:pPr>
        <w:pStyle w:val="TableofFigures"/>
        <w:tabs>
          <w:tab w:val="right" w:leader="dot" w:pos="10790"/>
        </w:tabs>
        <w:rPr>
          <w:rFonts w:asciiTheme="minorHAnsi" w:eastAsiaTheme="minorEastAsia" w:hAnsiTheme="minorHAnsi"/>
          <w:noProof/>
          <w:kern w:val="2"/>
          <w:sz w:val="24"/>
          <w:szCs w:val="24"/>
          <w14:ligatures w14:val="standardContextual"/>
        </w:rPr>
      </w:pPr>
      <w:hyperlink w:anchor="_Toc241138238" w:history="1">
        <w:r w:rsidRPr="00E24E47">
          <w:rPr>
            <w:rStyle w:val="Hyperlink"/>
            <w:noProof/>
          </w:rPr>
          <w:t>Supplementary Fig. 19  | Period-to-period transmission of biophysical yield shocks to agroeconomic outcomes.</w:t>
        </w:r>
        <w:r>
          <w:rPr>
            <w:noProof/>
            <w:webHidden/>
          </w:rPr>
          <w:tab/>
        </w:r>
        <w:r>
          <w:rPr>
            <w:noProof/>
            <w:webHidden/>
          </w:rPr>
          <w:fldChar w:fldCharType="begin"/>
        </w:r>
        <w:r>
          <w:rPr>
            <w:noProof/>
            <w:webHidden/>
          </w:rPr>
          <w:instrText xml:space="preserve"> PAGEREF _Toc241138238 \h </w:instrText>
        </w:r>
        <w:r>
          <w:rPr>
            <w:noProof/>
            <w:webHidden/>
          </w:rPr>
        </w:r>
        <w:r>
          <w:rPr>
            <w:noProof/>
            <w:webHidden/>
          </w:rPr>
          <w:fldChar w:fldCharType="separate"/>
        </w:r>
        <w:r>
          <w:rPr>
            <w:noProof/>
            <w:webHidden/>
          </w:rPr>
          <w:t>37</w:t>
        </w:r>
        <w:r>
          <w:rPr>
            <w:noProof/>
            <w:webHidden/>
          </w:rPr>
          <w:fldChar w:fldCharType="end"/>
        </w:r>
      </w:hyperlink>
    </w:p>
    <w:p w14:paraId="45C8DFFC" w14:textId="0F3D0C81" w:rsidR="005B1301" w:rsidRDefault="00266E35" w:rsidP="00266E35">
      <w:pPr>
        <w:spacing w:line="276" w:lineRule="auto"/>
        <w:rPr>
          <w:rFonts w:cs="Arial"/>
          <w:b/>
          <w:bCs/>
          <w:sz w:val="20"/>
          <w:szCs w:val="24"/>
        </w:rPr>
      </w:pPr>
      <w:r>
        <w:rPr>
          <w:rFonts w:cs="Arial"/>
        </w:rPr>
        <w:fldChar w:fldCharType="end"/>
      </w:r>
    </w:p>
    <w:p w14:paraId="66E613D1" w14:textId="77777777" w:rsidR="00266E35" w:rsidRPr="008066ED" w:rsidRDefault="00266E35" w:rsidP="00266E35">
      <w:pPr>
        <w:spacing w:line="276" w:lineRule="auto"/>
        <w:rPr>
          <w:rFonts w:cs="Arial"/>
          <w:b/>
          <w:bCs/>
          <w:sz w:val="20"/>
          <w:szCs w:val="24"/>
        </w:rPr>
      </w:pPr>
    </w:p>
    <w:p w14:paraId="4645AE53" w14:textId="77777777" w:rsidR="005B1301" w:rsidRPr="008066ED" w:rsidRDefault="005B1301" w:rsidP="000E6933">
      <w:pPr>
        <w:rPr>
          <w:rFonts w:cs="Arial"/>
        </w:rPr>
        <w:sectPr w:rsidR="005B1301" w:rsidRPr="008066ED" w:rsidSect="00572106">
          <w:pgSz w:w="12240" w:h="15840"/>
          <w:pgMar w:top="1008" w:right="720" w:bottom="720" w:left="720" w:header="720" w:footer="720" w:gutter="0"/>
          <w:pgNumType w:fmt="lowerRoman" w:start="1"/>
          <w:cols w:space="720"/>
          <w:docGrid w:linePitch="360"/>
        </w:sectPr>
      </w:pPr>
    </w:p>
    <w:p w14:paraId="5D7D74EA" w14:textId="542B417C" w:rsidR="001E3563" w:rsidRPr="008066ED" w:rsidRDefault="001E3563" w:rsidP="008F4A39">
      <w:pPr>
        <w:pStyle w:val="Heading1"/>
        <w:spacing w:line="276" w:lineRule="auto"/>
        <w:rPr>
          <w:sz w:val="22"/>
        </w:rPr>
      </w:pPr>
      <w:bookmarkStart w:id="0" w:name="_Toc241138203"/>
      <w:bookmarkStart w:id="1" w:name="_Ref134864182"/>
      <w:r w:rsidRPr="008066ED">
        <w:rPr>
          <w:sz w:val="22"/>
        </w:rPr>
        <w:lastRenderedPageBreak/>
        <w:t xml:space="preserve">Supplementary Section 1. Supplementary </w:t>
      </w:r>
      <w:r>
        <w:rPr>
          <w:sz w:val="22"/>
        </w:rPr>
        <w:t>background and motivation</w:t>
      </w:r>
      <w:bookmarkEnd w:id="0"/>
      <w:r w:rsidRPr="008066ED">
        <w:rPr>
          <w:sz w:val="22"/>
        </w:rPr>
        <w:t xml:space="preserve">  </w:t>
      </w:r>
    </w:p>
    <w:p w14:paraId="14A62FF8" w14:textId="679E1695" w:rsidR="001808C7" w:rsidRDefault="00E14F32" w:rsidP="00962AB0">
      <w:pPr>
        <w:spacing w:line="276" w:lineRule="auto"/>
      </w:pPr>
      <w:r w:rsidRPr="00E14F32">
        <w:t>As a central adjustment mechanism in agricultural markets, storage and the associated behavioral responses represent an increasingly important gap in global economic and multisector dynamic modeling that warrants explicit treatment</w:t>
      </w:r>
      <w:r>
        <w:fldChar w:fldCharType="begin"/>
      </w:r>
      <w:r>
        <w:instrText xml:space="preserve"> ADDIN ZOTERO_ITEM CSL_CITATION {"citationID":"aub8mtagb3","properties":{"unsorted":false,"formattedCitation":"\\super 1\\uc0\\u8211{}5\\nosupersub{}","plainCitation":"1–5","noteIndex":0},"citationItems":[{"id":13377,"uris":["http://zotero.org/users/8267882/items/LZA5ACTL"],"itemData":{"id":13377,"type":"article-journal","abstract":"This paper reviews the literature on price volatility transmission in vertical food markets. The methods and major findings of the literature are discussed and avenues for future research are suggested. The literature review shows that price volatility is analyzed using a class of univariate and multivariate GARCH models. The reviewed studies conclude that price volatility transmits along food supply chains thereby exposing all chain actors to risk and uncertainty. Extension of the limited sample period, country, product, and chain stages coverage of the current literature are suggested as avenues for future research. A largely ignored aspect in the current literature is the identification and empirical testing of the role of contextual factors on the degree of price volatility transmission.","container-title":"Agribusiness","DOI":"10.1002/agr.21380","ISSN":"1520-6297","issue":"1","language":"en","note":"_eprint: https://onlinelibrary.wiley.com/doi/pdf/10.1002/agr.21380","page":"3-13","source":"Wiley Online Library","title":"Price Volatility Transmission in Food Supply Chains: A Literature Review","title-short":"Price Volatility Transmission in Food Supply Chains","URL":"https://onlinelibrary.wiley.com/doi/abs/10.1002/agr.21380","volume":"31","author":[{"family":"Assefa","given":"Tsion Taye"},{"family":"Meuwissen","given":"Miranda P.M."},{"family":"Oude Lansink","given":"Alfons G.J.M."}],"accessed":{"date-parts":[["2026",1,25]]},"issued":{"date-parts":[["2015"]]}}},{"id":13374,"uris":["http://zotero.org/users/8267882/items/LFF4EICX"],"itemData":{"id":13374,"type":"article-journal","abstract":"Current studies on sustainability transitions of the food system (FS) are limited. The tools for assessing FS sustainability and enhancing FS performance are still lacking, highlighting the critical role of developing an assessment indicator framework for assisting sustainable FS transitions. This study seeks opportunities for optimizing existing FS frameworks that address the triple burden of malnutrition and FS sustainability. It examines FS frameworks and other food system-related frameworks such as those linked to food security, food sovereignty, and so on, unveiling the general limitations of current approaches and methodologies in FS frameworks and other related frameworks. To our knowledge, it is the first study to discuss the gaps of FS frameworks regarding their coverage on the food lifecycle and their representation of FS's multidimensionality. The results indicate that most FS frameworks and related frameworks are conceptual. The most frequent limitations are no targeting audience, no coverage of the food disposal stage, and no institutional/political dimension/indicators. Some frameworks have no multi-stakeholder inputs, no coverage of food input and/or food storage stages, no economic or nutritional dimension/indicators, while only a few frameworks involve statistical/empirical methods or quantitative indicators. Other limitations regarding language, data, and time are also identified. Finally, this study suggests developing a comprehensive multi-dimensional urban food system framework considering the full life cycle of food and combining FS-related perspectives with the five dimensions of environmental, economic, institutional, socio-cultural, and nutritional sustainability to mitigate the lifecycle and sustainability dimension issues and gaps.","container-title":"Global Food Security","DOI":"10.1016/j.gfs.2022.100624","ISSN":"2211-9124","journalAbbreviation":"Global Food Security","page":"100624","source":"ScienceDirect","title":"General limitations of the current approach in developing sustainable food system frameworks","URL":"https://www.sciencedirect.com/science/article/pii/S2211912422000153","volume":"33","author":[{"family":"Zou","given":"Tong"},{"family":"Dawodu","given":"Ayotunde"},{"family":"Mangi","given":"Eugenio"},{"family":"Cheshmehzangi","given":"Ali"}],"accessed":{"date-parts":[["2026",1,25]]},"issued":{"date-parts":[["2022",6,1]]}}},{"id":124,"uris":["http://zotero.org/users/8267882/items/4VUVAL54"],"itemData":{"id":124,"type":"article-journal","abstract":"Millions of smallholder farmers in low-income countries are highly vulnerable to food-supply shocks, and reducing this vulnerability remains challenging in view of climatic changes. Restrictions to limit the spread of the COVID-19 pandemic produced a severe supply-side shock in rural areas of Sub-Saharan Africa, including through frictions in agricultural markets. We use a large-scale field experiment to examine the effects of improved on-farm storage on household food security during COVID-19 restrictions. Based on text message survey data we find that the prevalence of food insecurity increased in control group households during COVID-19 restrictions (coinciding with the agricultural lean season). In treatment households, equipped with an improved on-farm storage technology and training in its use, food insecurity was lower during COVID-19 restrictions. This underscores the benefits of improved on-farm storage for mitigating vulnerability to food-supply shocks. These insights are relevant for the larger, long-term question of climate change adaptation, and also regarding trade-offs between public health protection and food security.","container-title":"Global Food Security","DOI":"10.1016/j.gfs.2020.100468","ISSN":"2211-9124","journalAbbreviation":"Global Food Security","language":"en","page":"100468","source":"ScienceDirect","title":"Improved storage mitigates vulnerability to food-supply shocks in smallholder agriculture during the COVID-19 pandemic","URL":"https://www.sciencedirect.com/science/article/pii/S221191242030122X","volume":"28","author":[{"family":"Huss","given":"M."},{"family":"Brander","given":"M."},{"family":"Kassie","given":"M."},{"family":"Ehlert","given":"U."},{"family":"Bernauer","given":"T."}],"accessed":{"date-parts":[["2021",9,19]]},"issued":{"date-parts":[["2021",3,1]]}}},{"id":688,"uris":["http://zotero.org/users/8267882/items/NLUW2UEY"],"itemData":{"id":688,"type":"article-journal","abstract":"Applied General Equilibrium (AGE) models are increasingly used for short-run commodity market analysis, although they are generally not designed for such purposes. This study remedies a key shortcoming of such work by incorporating a commodity stockholding model into a short-run global AGE model. An approach to calibrating and validating the model is demonstrated for the staple grains sector. Its historical weather-induced supply shocks form a natural vehicle for reconciling model outcomes with observed behavior. The stockholding model, in conjunction with a Gaussian Quadrature approach to characterizing supply-side uncertainty, will prove useful to researchers seeking to conduct short-run analysis of commodity market policy in an AGE context.","container-title":"Economic Modelling","DOI":"10.1016/j.econmod.2005.02.001","ISSN":"0264-9993","issue":"4","journalAbbreviation":"Economic Modelling","language":"en","page":"646-664","source":"ScienceDirect","title":"Incorporating commodity stockholding into a general equilibrium model of the global economy","URL":"https://www.sciencedirect.com/science/article/pii/S0264999305000210","volume":"22","author":[{"family":"Hertel","given":"Thomas W."},{"family":"Reimer","given":"Jeffrey J."},{"family":"Valenzuela","given":"Ernesto"}],"accessed":{"date-parts":[["2021",9,20]]},"issued":{"date-parts":[["2005",7,1]]}}},{"id":442,"uris":["http://zotero.org/users/8267882/items/4QLB77NM"],"itemData":{"id":442,"type":"chapter","container-title":"The Economics of Food Price Volatility","page":"261-306","publisher":"University of Chicago Press","source":"National Bureau of Economic Research","title":"Food Price Volatility and Domestic Stabilization Policies in Developing Countries","URL":"https://www.nber.org/books-and-chapters/economics-food-price-volatility/food-price-volatility-and-domestic-stabilization-policies-developing-countries","author":[{"family":"Gouel","given":"Christophe"}],"accessed":{"date-parts":[["2022",1,25]]},"issued":{"date-parts":[["2014",10]]}}}],"schema":"https://github.com/citation-style-language/schema/raw/master/csl-citation.json"} </w:instrText>
      </w:r>
      <w:r>
        <w:fldChar w:fldCharType="separate"/>
      </w:r>
      <w:r w:rsidRPr="00E14F32">
        <w:rPr>
          <w:rFonts w:cs="Arial"/>
          <w:vertAlign w:val="superscript"/>
        </w:rPr>
        <w:t>1–5</w:t>
      </w:r>
      <w:r>
        <w:fldChar w:fldCharType="end"/>
      </w:r>
      <w:r w:rsidRPr="00E14F32">
        <w:t>.</w:t>
      </w:r>
      <w:r w:rsidR="008F4A39">
        <w:t xml:space="preserve"> </w:t>
      </w:r>
      <w:r w:rsidR="001808C7" w:rsidRPr="001808C7">
        <w:t xml:space="preserve">This gap is particularly relevant to two closely related </w:t>
      </w:r>
      <w:r w:rsidR="008F4A39">
        <w:t>streams</w:t>
      </w:r>
      <w:r w:rsidR="001808C7" w:rsidRPr="001808C7">
        <w:t xml:space="preserve"> of research. The first uses global economic and multisector models to assess long-term agrifood futures and their implications for production, trade, land, water, emissions, and food security</w:t>
      </w:r>
      <w:r w:rsidR="001808C7">
        <w:fldChar w:fldCharType="begin"/>
      </w:r>
      <w:r w:rsidR="008D64A0">
        <w:instrText xml:space="preserve"> ADDIN ZOTERO_ITEM CSL_CITATION {"citationID":"a2k9ia4f84p","properties":{"unsorted":false,"formattedCitation":"\\super 6\\uc0\\u8211{}10\\nosupersub{}","plainCitation":"6–10","noteIndex":0},"citationItems":[{"id":12770,"uris":["http://zotero.org/users/8267882/items/SG3CXFAX"],"itemData":{"id":12770,"type":"article-journal","container-title":"The Lancet Planetary Health","DOI":"10.1016/j.lanplh.2025.101339","ISSN":"2542-5196","issue":"10","journalAbbreviation":"The Lancet Planetary Health","language":"English","license":"CC0 1.0 Universal Public Domain Dedication","publisher":"Elsevier","source":"www.thelancet.com","title":"Bundling measures for food systems transformation: a global, multimodel assessment","title-short":"Bundling measures for food systems transformation","URL":"https://www.thelancet.com/journals/lanplh/article/PIIS2542-5196(25)00217-7/fulltext?rss=yes","volume":"9","author":[{"family":"Sundiang","given":"Marina"},{"family":"Oliveira","given":"Thais Diniz"},{"family":"Mason-D’Croz","given":"Daniel"},{"family":"Gibson","given":"Matthew"},{"family":"Beier","given":"Felicitas"},{"family":"Benavidez","given":"Lauren"},{"family":"Bodirsky","given":"Benjamin Leon"},{"family":"Bos","given":"Astrid"},{"family":"Chepeliev","given":"Maksym"},{"family":"Chen","given":"David Meng-Chuen"},{"family":"Lange","given":"Thijs","dropping-particle":"de"},{"family":"Doelman","given":"Jonathan"},{"family":"Dunston","given":"Shahnila"},{"family":"Frank","given":"Stefan"},{"family":"Fujimori","given":"Shinichiro"},{"family":"Hasegawa","given":"Tomoko"},{"family":"Havlik","given":"Petr"},{"family":"Hristov","given":"Jordan"},{"family":"Jägermeyr","given":"Jonas"},{"family":"Kozicka","given":"Marta"},{"family":"Kuiper","given":"Marijke"},{"family":"Kyle","given":"Page"},{"family":"Lotze-Campen","given":"Hermann"},{"family":"Luchtenbelt","given":"Hermen"},{"family":"Mishra","given":"Abhijeet"},{"family":"Müller","given":"Christoph"},{"family":"Nelson","given":"Gerald"},{"family":"Palazzo","given":"Amanda"},{"family":"Domínguez","given":"Ignacio Pérez"},{"family":"Popp","given":"Alexander"},{"family":"Sands","given":"Ronald"},{"family":"Springmann","given":"Marco"},{"family":"Stehfest","given":"Elke"},{"family":"Sulser","given":"Timothy"},{"family":"Takahashi","given":"Kiyoshi"},{"family":"Tassinari","given":"Gianmaria"},{"family":"Thom","given":"Ferike"},{"family":"Thornton","given":"Philip"},{"family":"Tsuchiya","given":"Kazuaki"},{"family":"Zeist","given":"Willem-Jan","dropping-particle":"van"},{"family":"Meijl","given":"Hans","dropping-particle":"van"},{"family":"Mensbrugghe","given":"Dominique","dropping-particle":"van der"},{"family":"Vuuren","given":"Detlef Van"},{"family":"Zanten","given":"Hannah H. E.","dropping-particle":"van"},{"family":"Weindl","given":"Isabelle"},{"family":"Wiebe","given":"Keith"},{"family":"Zhao","given":"Xin"},{"family":"Herrero","given":"Mario"}],"accessed":{"date-parts":[["2025",11,5]]},"issued":{"date-parts":[["2025",10,1]]}}},{"id":15473,"uris":["http://zotero.org/users/8267882/items/233GTSV5"],"itemData":{"id":15473,"type":"article-journal","abstract":"Food systems are a major contributor to exceeding planetary boundaries1–3 and poor quality diets are a key mortality risk globally4. Projected population and income growth could exacerbate these challenges5. In response, there are calls for transformation towards healthy and sustainable food systems6–8. However, the scale and distribution of the impacts of this transformation on agriculture are underexplored. Here we show that, by 2050, the transformation of food systems towards healthy diets (adoption of the EAT–Lancet reference diet), improved productivity and halving of food waste results in a fundamental restructuring of global agriculture, aspects of which break with historical trends. Scenario simulations using a multimodel ensemble of ten global economic models show a 6% median decrease in agricultural land (+1% to −26%) compared with 2020 levels. By 2050, agricultural production would be 17% lower than business-as-usual projections (−2% to −32%) and, economically, the value of this production is US$1.6 trillion (26%) lower (+8% to −58%). Within this, the value of livestock production would be substantially lower than current 2050 projections (−49% to −83%), while vegetable, fruit, nut and legume production value would increase by 23% (−33% to +106%). Results are dependent on the assumed policies to achieve the transformation scenario. We highlight a more active role for food policy to consider the benefits of such a transformation (improved population health and reduced environmental pressures) and navigate the political economy of its impacts.","container-title":"Nature","DOI":"10.1038/s41586-026-10775-2","ISSN":"1476-4687","language":"en","license":"All rights reserved","page":"1-8","publisher":"Nature Publishing Group","source":"www.nature.com","title":"Food systems transformation would reshape global agriculture","URL":"https://www.nature.com/articles/s41586-026-10775-2","author":[{"family":"Gibson","given":"Matthew"},{"family":"Sundiang","given":"Marina"},{"family":"Mason-D’Croz","given":"Daniel"},{"family":"Diniz Oliveira","given":"Thais"},{"family":"Beier","given":"Felicitas"},{"family":"Benavidez","given":"Lauren"},{"family":"Bos","given":"Astrid"},{"family":"Chepeliev","given":"Maksym"},{"family":"Doelman","given":"Jonathan"},{"family":"Dunston","given":"Shahnila"},{"family":"Fujimori","given":"Shinichiro"},{"family":"Hasegawa","given":"Tomoko"},{"family":"Havlik","given":"Petr"},{"family":"Hristov","given":"Jordan"},{"family":"Jägermeyr","given":"Jonas"},{"family":"Kozicka","given":"Marta"},{"family":"Kuiper","given":"Marijke"},{"family":"Kyle","given":"Page"},{"family":"Lange","given":"Thijs","non-dropping-particle":"de"},{"family":"Bodirsky","given":"Benjamin Leon"},{"family":"Lotze-Campen","given":"Hermann"},{"family":"Luchtenbelt","given":"Hermen"},{"family":"Chen","given":"David Meng-Chuen"},{"family":"Mishra","given":"Abhijeet"},{"family":"Müller","given":"Christoph"},{"family":"Nelson","given":"Gerald"},{"family":"Palazzo","given":"Amanda"},{"family":"Perez Dominguez","given":"Ignacio"},{"family":"Popp","given":"Alexander"},{"family":"Sands","given":"Ronald"},{"family":"Springmann","given":"Marco"},{"family":"Stehfest","given":"Elke"},{"family":"Sulser","given":"Timothy B."},{"family":"Takahashi","given":"Kiyoshi"},{"family":"Tassinari","given":"Gianmaria"},{"family":"Thom","given":"Ferike"},{"family":"Thornton","given":"Philip"},{"family":"Tsuchiya","given":"Kazuaki"},{"family":"Zeist","given":"Willem-Jan","non-dropping-particle":"van"},{"family":"Meijl","given":"Hans","non-dropping-particle":"van"},{"family":"Mensbrugghe","given":"Dominique","non-dropping-particle":"van der"},{"family":"Van Vuuren","given":"Detlef"},{"family":"Zanten","given":"Hannah H. E.","non-dropping-particle":"van"},{"family":"Weindl","given":"Isabelle"},{"family":"Wiebe","given":"Keith"},{"family":"Zhao","given":"Xin"},{"family":"Herrero","given":"Mario"}],"accessed":{"date-parts":[["2026",7,16]]},"issued":{"date-parts":[["2026",7,15]]}}},{"id":321,"uris":["http://zotero.org/users/8267882/items/6H2B9DTB"],"itemData":{"id":321,"type":"article-journal","abstract":"This paper presents the overview of the Shared Socioeconomic Pathways (SSPs) and their energy, land use, and emissions implications. The SSPs are part of a new scenario framework, established by the climate change research community in order to facilitate the integrated analysis of future climate impacts, vulnerabilities, adaptation, and mitigation. The pathways were developed over the last years as a joint community effort and describe plausible major global developments that together would lead in the future to different challenges for mitigation and adaptation to climate change. The SSPs are based on five narratives describing alternative socio-economic developments, including sustainable development, regional rivalry, inequality, fossil-fueled development, and middle-of-the-road development. The long-term demographic and economic projections of the SSPs depict a wide uncertainty range consistent with the scenario literature. A multi-model approach was used for the elaboration of the energy, land-use and the emissions trajectories of SSP-based scenarios. The baseline scenarios lead to global energy consumption of 400–1200 EJ in 2100, and feature vastly different land-use dynamics, ranging from a possible reduction in cropland area up to a massive expansion by more than 700 million hectares by 2100. The associated annual CO2 emissions of the baseline scenarios range from about 25 GtCO2 to more than 120 GtCO2 per year by 2100. With respect to mitigation, we find that associated costs strongly depend on three factors: (1) the policy assumptions, (2) the socio-economic narrative, and (3) the stringency of the target. The carbon price for reaching the target of 2.6W/m2 that is consistent with a temperature change limit of 2°C, differs in our analysis thus by about a factor of three across the SSP marker scenarios. Moreover, many models could not reach this target from the SSPs with high mitigation challenges. While the SSPs were designed to represent different mitigation and adaptation challenges, the resulting narratives and quantifications span a wide range of different futures broadly representative of the current literature. This allows their subsequent use and development in new assessments and research projects. Critical next steps for the community scenario process will, among others, involve regional and sectoral extensions, further elaboration of the adaptation and impacts dimension, as well as employing the SSP scenarios with the new generation of earth system models as part of the 6th climate model intercomparison project (CMIP6).","container-title":"Global Environmental Change","DOI":"10.1016/j.gloenvcha.2016.05.009","ISSN":"0959-3780","journalAbbreviation":"Global Environmental Change","language":"en","page":"153-168","source":"ScienceDirect","title":"The Shared Socioeconomic Pathways and their energy, land use, and greenhouse gas emissions implications: An overview","title-short":"The Shared Socioeconomic Pathways and their energy, land use, and greenhouse gas emissions implications","URL":"https://www.sciencedirect.com/science/article/pii/S0959378016300681","volume":"42","author":[{"family":"Riahi","given":"Keywan"},{"family":"Vuuren","given":"Detlef P.","non-dropping-particle":"van"},{"family":"Kriegler","given":"Elmar"},{"family":"Edmonds","given":"Jae"},{"family":"O’Neill","given":"Brian C."},{"family":"Fujimori","given":"Shinichiro"},{"family":"Bauer","given":"Nico"},{"family":"Calvin","given":"Katherine"},{"family":"Dellink","given":"Rob"},{"family":"Fricko","given":"Oliver"},{"family":"Lutz","given":"Wolfgang"},{"family":"Popp","given":"Alexander"},{"family":"Cuaresma","given":"Jesus Crespo"},{"family":"Kc","given":"Samir"},{"family":"Leimbach","given":"Marian"},{"family":"Jiang","given":"Leiwen"},{"family":"Kram","given":"Tom"},{"family":"Rao","given":"Shilpa"},{"family":"Emmerling","given":"Johannes"},{"family":"Ebi","given":"Kristie"},{"family":"Hasegawa","given":"Tomoko"},{"family":"Havlik","given":"Petr"},{"family":"Humpenöder","given":"Florian"},{"family":"Da Silva","given":"Lara Aleluia"},{"family":"Smith","given":"Steve"},{"family":"Stehfest","given":"Elke"},{"family":"Bosetti","given":"Valentina"},{"family":"Eom","given":"Jiyong"},{"family":"Gernaat","given":"David"},{"family":"Masui","given":"Toshihiko"},{"family":"Rogelj","given":"Joeri"},{"family":"Strefler","given":"Jessica"},{"family":"Drouet","given":"Laurent"},{"family":"Krey","given":"Volker"},{"family":"Luderer","given":"Gunnar"},{"family":"Harmsen","given":"Mathijs"},{"family":"Takahashi","given":"Kiyoshi"},{"family":"Baumstark","given":"Lavinia"},{"family":"Doelman","given":"Jonathan C."},{"family":"Kainuma","given":"Mikiko"},{"family":"Klimont","given":"Zbigniew"},{"family":"Marangoni","given":"Giacomo"},{"family":"Lotze-Campen","given":"Hermann"},{"family":"Obersteiner","given":"Michael"},{"family":"Tabeau","given":"Andrzej"},{"family":"Tavoni","given":"Massimo"}],"accessed":{"date-parts":[["2021",11,29]]},"issued":{"date-parts":[["2017",1,1]]}}},{"id":365,"uris":["http://zotero.org/users/8267882/items/Z69INED5"],"itemData":{"id":365,"type":"article-journal","abstract":"Agriculture is unique among economic sectors in the nature of impacts from climate change. The production activity that transforms inputs into agricultural outputs involves direct use of weather inputs (temperature, solar radiation available to the plant, and precipitation). Previous studies of the impacts of climate change on agriculture have reported substantial differences in outcomes such as prices, production, and trade arising from differences in model inputs and model specification. This article presents climate change results and underlying determinants from a model comparison exercise with 10 of the leading global economic models that include significant representation of agriculture. By harmonizing key drivers that include climate change effects, differences in model outcomes were reduced. The particular choice of climate change drivers for this comparison activity results in large and negative productivity effects. All models respond with higher prices. Producer behavior differs by model with some emphasizing area response and others yield response. Demand response is least important. The differences reflect both differences in model specification and perspectives on the future. The results from this study highlight the need to more fully compare the deep model parameters, to generate a call for a combination of econometric and validation studies to narrow the degree of uncertainty and variability in these parameters and to move to Monte Carlo type simulations to better map the contours of economic uncertainty.","container-title":"Agricultural Economics","DOI":"10.1111/agec.12091","ISSN":"1574-0862","issue":"1","language":"en","note":"_eprint: https://onlinelibrary.wiley.com/doi/pdf/10.1111/agec.12091","page":"85-101","source":"Wiley Online Library","title":"Agriculture and climate change in global scenarios: why don't the models agree","title-short":"Agriculture and climate change in global scenarios","URL":"https://onlinelibrary.wiley.com/doi/abs/10.1111/agec.12091","volume":"45","author":[{"family":"Nelson","given":"Gerald C."},{"family":"Mensbrugghe","given":"Dominique","non-dropping-particle":"van der"},{"family":"Ahammad","given":"Helal"},{"family":"Blanc","given":"Elodie"},{"family":"Calvin","given":"Katherine"},{"family":"Hasegawa","given":"Tomoko"},{"family":"Havlik","given":"Petr"},{"family":"Heyhoe","given":"Edwina"},{"family":"Kyle","given":"Page"},{"family":"Lotze-Campen","given":"Hermann"},{"family":"Lampe","given":"Martin","non-dropping-particle":"von"},{"family":"Mason d'Croz","given":"Daniel"},{"family":"Meijl","given":"Hans","non-dropping-particle":"van"},{"family":"Müller","given":"Christoph"},{"family":"Reilly","given":"John"},{"family":"Robertson","given":"Richard"},{"family":"Sands","given":"Ronald D."},{"family":"Schmitz","given":"Christoph"},{"family":"Tabeau","given":"Andrzej"},{"family":"Takahashi","given":"Kiyoshi"},{"family":"Valin","given":"Hugo"},{"family":"Willenbockel","given":"Dirk"}],"accessed":{"date-parts":[["2021",9,30]]},"issued":{"date-parts":[["2014"]]}}},{"id":278,"uris":["http://zotero.org/users/8267882/items/LC32BAT7"],"itemData":{"id":278,"type":"article-journal","abstract":"Food insecurity can be directly exacerbated by climate change due to crop-production-related impacts of warmer and drier conditions that are expected in important agricultural regions1–3. However, efforts to mitigate climate change through comprehensive, economy-wide GHG emissions reductions may also negatively affect food security, due to indirect impacts on prices and supplies of key agricultural commodities4–6. Here we conduct a multiple model assessment on the combined effects of climate change and climate mitigation efforts on agricultural commodity prices, dietary energy availability and the population at risk of hunger. A robust finding is that by 2050, stringent climate mitigation policy, if implemented evenly across all sectors and regions, would have a greater negative impact on global hunger and food consumption than the direct impacts of climate change. The negative impacts would be most prevalent in vulnerable, low-income regions such as sub-Saharan Africa and South Asia, where food security problems are already acute.","container-title":"Nature Climate Change","DOI":"10.1038/s41558-018-0230-x","ISSN":"1758-6798","issue":"8","journalAbbreviation":"Nature Clim Change","language":"en","license":"2018 The Author(s)","note":"Bandiera_abtest: a\nCg_type: Nature Research Journals\nnumber: 8\nPrimary_atype: Research\nSubject_term: Climate-change impacts;Climate-change mitigation;Climate-change policy;Socioeconomic scenarios\nSubject_term_id: climate-change-impacts;climate-change-mitigation;climate-change-policy;socioeconomic-scenarios","page":"699-703","publisher":"Nature Publishing Group","source":"www.nature.com","title":"Risk of increased food insecurity under stringent global climate change mitigation policy","URL":"https://www.nature.com/articles/s41558-018-0230-x","volume":"8","author":[{"family":"Hasegawa","given":"Tomoko"},{"family":"Fujimori","given":"Shinichiro"},{"family":"Havlík","given":"Petr"},{"family":"Valin","given":"Hugo"},{"family":"Bodirsky","given":"Benjamin Leon"},{"family":"Doelman","given":"Jonathan C."},{"family":"Fellmann","given":"Thomas"},{"family":"Kyle","given":"Page"},{"family":"Koopman","given":"Jason F. L."},{"family":"Lotze-Campen","given":"Hermann"},{"family":"Mason-D’Croz","given":"Daniel"},{"family":"Ochi","given":"Yuki"},{"family":"Pérez Domínguez","given":"Ignacio"},{"family":"Stehfest","given":"Elke"},{"family":"Sulser","given":"Timothy B."},{"family":"Tabeau","given":"Andrzej"},{"family":"Takahashi","given":"Kiyoshi"},{"family":"Takakura","given":"Jun’ya"},{"family":"Meijl","given":"Hans","non-dropping-particle":"van"},{"family":"Zeist","given":"Willem-Jan","non-dropping-particle":"van"},{"family":"Wiebe","given":"Keith"},{"family":"Witzke","given":"Peter"}],"accessed":{"date-parts":[["2021",9,25]]},"issued":{"date-parts":[["2018",8]]}}}],"schema":"https://github.com/citation-style-language/schema/raw/master/csl-citation.json"} </w:instrText>
      </w:r>
      <w:r w:rsidR="001808C7">
        <w:fldChar w:fldCharType="separate"/>
      </w:r>
      <w:r w:rsidR="008D64A0" w:rsidRPr="008D64A0">
        <w:rPr>
          <w:rFonts w:cs="Arial"/>
          <w:vertAlign w:val="superscript"/>
        </w:rPr>
        <w:t>6–10</w:t>
      </w:r>
      <w:r w:rsidR="001808C7">
        <w:fldChar w:fldCharType="end"/>
      </w:r>
      <w:r w:rsidR="001808C7" w:rsidRPr="001808C7">
        <w:t>. The second examines how biophysical and economic shocks propagate through agricultural markets and supply chains, and how market adjustments contribute to resilience</w:t>
      </w:r>
      <w:r w:rsidR="001808C7">
        <w:fldChar w:fldCharType="begin"/>
      </w:r>
      <w:r w:rsidR="008D64A0">
        <w:instrText xml:space="preserve"> ADDIN ZOTERO_ITEM CSL_CITATION {"citationID":"a1m8kjkah7t","properties":{"unsorted":false,"formattedCitation":"\\super 11\\uc0\\u8211{}14\\nosupersub{}","plainCitation":"11–14","noteIndex":0},"citationItems":[{"id":825,"uris":["http://zotero.org/users/8267882/items/UQRJLUBF"],"itemData":{"id":825,"type":"article-journal","abstract":"Several factors can either increase or buffer the effects of climate change on the volatility of grain prices. A study shows that US corn price volatility is more sensitive to near-term climate change than to energy policy or agriculture–energy market integration. A biofuels mandate increases price sensitivity to climate change by more than 50%.","container-title":"Nature Climate Change","DOI":"10.1038/nclimate1491","ISSN":"1758-6798","issue":"7","journalAbbreviation":"Nature Clim Change","language":"en","license":"2012 Springer Nature Limited","note":"number: 7","page":"514-518","publisher":"Nature Publishing Group","source":"www.nature.com","title":"Response of corn markets to climate volatility under alternative energy futures","URL":"https://www.nature.com/articles/nclimate1491","volume":"2","author":[{"family":"Diffenbaugh","given":"Noah S."},{"family":"Hertel","given":"Thomas W."},{"family":"Scherer","given":"Martin"},{"family":"Verma","given":"Monika"}],"accessed":{"date-parts":[["2024",1,29]]},"issued":{"date-parts":[["2012",7]]}}},{"id":133,"uris":["http://zotero.org/users/8267882/items/QCK8D8A2"],"itemData":{"id":133,"type":"article-journal","abstract":"Environmental variability and shock events can be propagated or attenuated along food supply chains by various economic, political and infrastructural factors. Understanding these processes is central to reducing risks associated with periodic food shortages, price spikes and reductions in food quality. Here we perform a scoping review of the literature to examine entry points for environmental variability along the food supply chain, the evidence of propagation or attenuation of this variability, and the food items and types of shock that have been studied. We find that research on food supply shocks has primarily focused on maize, rice and wheat, on agricultural production and on extreme rainfall and temperatures—indicating the need to expand research into the full food basket, diverse sources of environmental variability and the links connecting food production to consumption and nutrition. Insights from this new knowledge can inform key responses—at the level of an individual (for example, substituting foods), a company (for example, switching sources) or a government (for example, strategic reserves)—for coping with disruptions.","container-title":"Nature Food","DOI":"10.1038/s43016-020-00196-3","ISSN":"2662-1355","issue":"1","journalAbbreviation":"Nat Food","language":"en","license":"2020 The Author(s), under exclusive licence to Springer Nature Limited","note":"Bandiera_abtest: a\nCg_type: Nature Research Journals\nnumber: 1\nPrimary_atype: Research\nSubject_term: Agriculture;Developing world;Environmental sciences;Natural hazards\nSubject_term_id: agriculture;developing-world;environmental-sciences;natural-hazards","page":"54-65","publisher":"Nature Publishing Group","source":"www.nature.com","title":"Towards food supply chain resilience to environmental shocks","URL":"https://www.nature.com/articles/s43016-020-00196-3","volume":"2","author":[{"family":"Davis","given":"Kyle Frankel"},{"family":"Downs","given":"Shauna"},{"family":"Gephart","given":"Jessica A."}],"accessed":{"date-parts":[["2021",9,19]]},"issued":{"date-parts":[["2021",1]]}}},{"id":11587,"uris":["http://zotero.org/users/8267882/items/FRMCVW5I"],"itemData":{"id":11587,"type":"article-journal","abstract":"Climate change is intensifying the frequency and severity of extreme events, posing challenges to food security. Corn, a staple crop for billions, is particularly vulnerable to heat stress, a primary driver of yield variability. While many studies have examined the climate impact on average corn yields, little attention has been given to the climate impact on production volatility. This study investigates the future volatility and risks associated with global corn supply under climate change, evaluating the potential benefits of two key adaptation strategies: irrigation and market integration. A statistical model is employed to estimate corn yield response to heat stress and utilize NEX-GDDP-CMIP6 climate data to project future production volatility and risks of substantial yield losses. Three metrics are introduced to quantify these risks: Sigma (σ), the standard deviation of year-on-year yield change, which reflects overall yield volatility; Rho (ρ), the risk of substantial loss, defined as the probability of yield falling below a critical threshold; and beta (β), a relative risk coefficient that captures the volatility of a region’s corn production compared to the globally integrated market. The analysis reveals a concerning trend of increasing year-on-year yield volatility (σ) across most regions and climate models. This volatility increase is significant for key corn-producing regions like Brazil and the United States. While irrigated corn production exhibits a smaller rise in volatility, suggesting irrigation as a potential buffer against climate change impacts, it is not a sustainable option as it can cause groundwater depletion. On the other hand, global market integration reduces overall volatility and market risks significantly with less sustainability concerns. These findings highlight the importance of a multidimensional approach to adaptation in the food sector. While irrigation can benefit individual farmers, promoting global market integration offers a broader solution for fostering resilience and sustainability across the entire food system.","container-title":"Environmental Research: Food Systems","DOI":"10.1088/2976-601X/ad7d12","ISSN":"2976-601X","issue":"2","journalAbbreviation":"Environ. Res.: Food Syst.","language":"en","page":"021004","publisher":"IOP Publishing","source":"Institute of Physics","title":"Trade can buffer climate-induced risks and volatilities in crop supply","URL":"https://dx.doi.org/10.1088/2976-601X/ad7d12","volume":"1","author":[{"family":"Haqiqi","given":"Iman"}],"accessed":{"date-parts":[["2025",6,11]]},"issued":{"date-parts":[["2024",10]]}}},{"id":610,"uris":["http://zotero.org/users/8267882/items/N5H43RTC"],"itemData":{"id":610,"type":"article-journal","abstract":"Most studies assessing climate impacts on agriculture have focused on average changes in market-mediated responses (e.g. changes in land use, production, and consumption). However, the response of global agricultural markets to interannual variability (IAV) in climate and biophysical shocks is poorly understood and not well represented in global economic models. Here we show a strong transmission of IAVs in climate-induced biophysical yield shocks to agriculture markets, which is further magnified by endogenous market fluctuations generated due to producers’ imperfect expectations of market and weather conditions. We demonstrate that the volatility of crop prices and consumption could be significantly underestimated (i.e. on average by 55% and 41%, respectively) by assuming perfect foresight, a standard assumption in the economic equilibrium modeling, compared with the relatively more realistic adaptive expectations. We also find heterogeneity in IAV across crops and regions, which is considerably mediated by international trade. Studying IAV provides fundamentally new insights on measuring and understanding climate impacts on global agriculture, and our framework lays the foundation for further investigating the full range of climate impacts on biophysical and human systems.","container-title":"Environmental Research Letters","DOI":"10.1088/1748-9326/ac2965","ISSN":"1748-9326","issue":"10","journalAbbreviation":"Environ. Res. Lett.","language":"en","license":"Creative Commons Attribution-NonCommercial-ShareAlike 4.0 International License (CC-BY-NC-SA)","page":"104037","publisher":"IOP Publishing","source":"Institute of Physics","title":"Global agricultural responses to interannual climate and biophysical variability","URL":"https://doi.org/10.1088/1748-9326/ac2965","volume":"16","author":[{"family":"Zhao","given":"Xin"},{"family":"Calvin","given":"Katherine V."},{"family":"Wise","given":"Marshall A."},{"family":"Patel","given":"Pralit L."},{"family":"Snyder","given":"Abigail C."},{"family":"Waldhoff","given":"Stephanie T."},{"family":"Hejazi","given":"Mohamad I."},{"family":"Edmonds","given":"James A."}],"accessed":{"date-parts":[["2022",8,24]]},"issued":{"date-parts":[["2021",10]]}}}],"schema":"https://github.com/citation-style-language/schema/raw/master/csl-citation.json"} </w:instrText>
      </w:r>
      <w:r w:rsidR="001808C7">
        <w:fldChar w:fldCharType="separate"/>
      </w:r>
      <w:r w:rsidR="008D64A0" w:rsidRPr="008D64A0">
        <w:rPr>
          <w:rFonts w:cs="Arial"/>
          <w:vertAlign w:val="superscript"/>
        </w:rPr>
        <w:t>11–14</w:t>
      </w:r>
      <w:r w:rsidR="001808C7">
        <w:fldChar w:fldCharType="end"/>
      </w:r>
      <w:r w:rsidR="001808C7" w:rsidRPr="001808C7">
        <w:t xml:space="preserve">. Across both </w:t>
      </w:r>
      <w:r w:rsidR="001808C7">
        <w:t>streams</w:t>
      </w:r>
      <w:r w:rsidR="001808C7" w:rsidRPr="001808C7">
        <w:t xml:space="preserve">, storage has received substantially less systematic attention than other adjustment mechanisms, </w:t>
      </w:r>
      <w:r w:rsidR="00C878F2">
        <w:t>such as</w:t>
      </w:r>
      <w:r w:rsidR="001808C7" w:rsidRPr="001808C7">
        <w:t xml:space="preserve"> international trade. A separate literature has developed explicit models of stockholding and intertemporal commodity allocation, often with detailed representations of expectations, costs, risk, and inventory constraints, but these applications are generally more</w:t>
      </w:r>
      <w:r w:rsidR="008F4A39">
        <w:t xml:space="preserve"> theoretical and</w:t>
      </w:r>
      <w:r w:rsidR="001808C7" w:rsidRPr="001808C7">
        <w:t xml:space="preserve"> specialized in commodity, geographic, or system coverage. The resulting gap is therefore one of integration</w:t>
      </w:r>
      <w:r w:rsidR="00732455">
        <w:t>, i.e.,</w:t>
      </w:r>
      <w:r w:rsidR="001808C7" w:rsidRPr="001808C7">
        <w:t xml:space="preserve"> connecting explicit intertemporal storage dynamics with the broad system scope required for global agrifood and environmental assessment.</w:t>
      </w:r>
    </w:p>
    <w:p w14:paraId="323DA704" w14:textId="56C2251E" w:rsidR="008018B8" w:rsidRDefault="00F60DCA" w:rsidP="00962AB0">
      <w:pPr>
        <w:spacing w:line="276" w:lineRule="auto"/>
      </w:pPr>
      <w:r w:rsidRPr="008F4A39">
        <w:t xml:space="preserve">Global economic and multisector models have become central tools for evaluating long-term agricultural transformation and its </w:t>
      </w:r>
      <w:r>
        <w:t>multisectoral interactions</w:t>
      </w:r>
      <w:r w:rsidRPr="008F4A39">
        <w:t>.</w:t>
      </w:r>
      <w:r>
        <w:t xml:space="preserve"> </w:t>
      </w:r>
      <w:r w:rsidRPr="00F60DCA">
        <w:t xml:space="preserve">Model intercomparison exercises illustrate both the breadth of these frameworks and the importance of the </w:t>
      </w:r>
      <w:r>
        <w:t>market-mediated responses</w:t>
      </w:r>
      <w:r w:rsidRPr="00F60DCA">
        <w:t xml:space="preserve"> </w:t>
      </w:r>
      <w:r>
        <w:t>they represent</w:t>
      </w:r>
      <w:r w:rsidRPr="00F60DCA">
        <w:t xml:space="preserve">. </w:t>
      </w:r>
      <w:r w:rsidR="008018B8">
        <w:t>Nelson et al. (20</w:t>
      </w:r>
      <w:r w:rsidR="007916B3">
        <w:t>1</w:t>
      </w:r>
      <w:r w:rsidR="008018B8">
        <w:t>4)</w:t>
      </w:r>
      <w:r>
        <w:fldChar w:fldCharType="begin"/>
      </w:r>
      <w:r w:rsidR="008018B8">
        <w:instrText xml:space="preserve"> ADDIN ZOTERO_ITEM CSL_CITATION {"citationID":"a1o2j7hh2ge","properties":{"unsorted":false,"formattedCitation":"\\super 15\\nosupersub{}","plainCitation":"15","noteIndex":0},"citationItems":[{"id":16,"uris":["http://zotero.org/users/8267882/items/L3YY3KG6"],"itemData":{"id":16,"type":"article-journal","abstract":"Agricultural production is sensitive to weather and thus directly affected by climate change. Plausible estimates of these climate change impacts require combined use of climate, crop, and economic models. Results from previous studies vary substantially due to differences in models, scenarios, and data. This paper is part of a collective effort to systematically integrate these three types of models. We focus on the economic component of the assessment, investigating how nine global economic models of agriculture represent endogenous responses to seven standardized climate change scenarios produced by two climate and five crop models. These responses include adjustments in yields, area, consumption, and international trade. We apply biophysical shocks derived from the Intergovernmental Panel on Climate Change’s representative concentration pathway with end-of-century radiative forcing of 8.5 W/m2. The mean biophysical yield effect with no incremental CO2 fertilization is a 17% reduction globally by 2050 relative to a scenario with unchanging climate. Endogenous economic responses reduce yield loss to 11%, increase area of major crops by 11%, and reduce consumption by 3%. Agricultural production, cropland area, trade, and prices show the greatest degree of variability in response to climate change, and consumption the lowest. The sources of these differences include model structure and specification; in particular, model assumptions about ease of land use conversion, intensification, and trade. This study identifies where models disagree on the relative responses to climate shocks and highlights research activities needed to improve the representation of agricultural adaptation responses to climate change.","container-title":"Proceedings of the National Academy of Sciences","DOI":"10.1073/pnas.1222465110","issue":"9","page":"3274-3279","publisher":"Proceedings of the National Academy of Sciences","source":"pnas.org (Atypon)","title":"Climate change effects on agriculture: Economic responses to biophysical shocks","title-short":"Climate change effects on agriculture","URL":"https://www.pnas.org/doi/abs/10.1073/pnas.1222465110","volume":"111","author":[{"family":"Nelson","given":"Gerald C."},{"family":"Valin","given":"Hugo"},{"family":"Sands","given":"Ronald D."},{"family":"Havlík","given":"Petr"},{"family":"Ahammad","given":"Helal"},{"family":"Deryng","given":"Delphine"},{"family":"Elliott","given":"Joshua"},{"family":"Fujimori","given":"Shinichiro"},{"family":"Hasegawa","given":"Tomoko"},{"family":"Heyhoe","given":"Edwina"},{"family":"Kyle","given":"Page"},{"family":"Von Lampe","given":"Martin"},{"family":"Lotze-Campen","given":"Hermann"},{"family":"Mason d’Croz","given":"Daniel"},{"family":"Meijl","given":"Hans","non-dropping-particle":"van"},{"family":"Mensbrugghe","given":"Dominique","non-dropping-particle":"van der"},{"family":"Müller","given":"Christoph"},{"family":"Popp","given":"Alexander"},{"family":"Robertson","given":"Richard"},{"family":"Robinson","given":"Sherman"},{"family":"Schmid","given":"Erwin"},{"family":"Schmitz","given":"Christoph"},{"family":"Tabeau","given":"Andrzej"},{"family":"Willenbockel","given":"Dirk"}],"accessed":{"date-parts":[["2023",8,3]]},"issued":{"date-parts":[["2014",3,4]]}}}],"schema":"https://github.com/citation-style-language/schema/raw/master/csl-citation.json"} </w:instrText>
      </w:r>
      <w:r>
        <w:fldChar w:fldCharType="separate"/>
      </w:r>
      <w:r w:rsidR="008018B8" w:rsidRPr="008018B8">
        <w:rPr>
          <w:rFonts w:cs="Arial"/>
          <w:vertAlign w:val="superscript"/>
        </w:rPr>
        <w:t>15</w:t>
      </w:r>
      <w:r>
        <w:fldChar w:fldCharType="end"/>
      </w:r>
      <w:r w:rsidRPr="00F60DCA">
        <w:t xml:space="preserve">, for example, compared global economic models subjected to harmonized biophysical crop-yield shocks and evaluated endogenous responses through yields, harvested area, production, consumption, international trade, and prices. </w:t>
      </w:r>
      <w:r w:rsidR="008018B8" w:rsidRPr="008018B8">
        <w:t xml:space="preserve">More recently, </w:t>
      </w:r>
      <w:r w:rsidR="008018B8" w:rsidRPr="00F60DCA">
        <w:t xml:space="preserve">Sundiang </w:t>
      </w:r>
      <w:r w:rsidRPr="00F60DCA">
        <w:t>et al. (2025)</w:t>
      </w:r>
      <w:r w:rsidR="008018B8">
        <w:fldChar w:fldCharType="begin"/>
      </w:r>
      <w:r w:rsidR="008018B8">
        <w:instrText xml:space="preserve"> ADDIN ZOTERO_ITEM CSL_CITATION {"citationID":"a1ab849nv9c","properties":{"unsorted":false,"formattedCitation":"\\super 6\\nosupersub{}","plainCitation":"6","noteIndex":0},"citationItems":[{"id":12770,"uris":["http://zotero.org/users/8267882/items/SG3CXFAX"],"itemData":{"id":12770,"type":"article-journal","container-title":"The Lancet Planetary Health","DOI":"10.1016/j.lanplh.2025.101339","ISSN":"2542-5196","issue":"10","journalAbbreviation":"The Lancet Planetary Health","language":"English","license":"CC0 1.0 Universal Public Domain Dedication","publisher":"Elsevier","source":"www.thelancet.com","title":"Bundling measures for food systems transformation: a global, multimodel assessment","title-short":"Bundling measures for food systems transformation","URL":"https://www.thelancet.com/journals/lanplh/article/PIIS2542-5196(25)00217-7/fulltext?rss=yes","volume":"9","author":[{"family":"Sundiang","given":"Marina"},{"family":"Oliveira","given":"Thais Diniz"},{"family":"Mason-D’Croz","given":"Daniel"},{"family":"Gibson","given":"Matthew"},{"family":"Beier","given":"Felicitas"},{"family":"Benavidez","given":"Lauren"},{"family":"Bodirsky","given":"Benjamin Leon"},{"family":"Bos","given":"Astrid"},{"family":"Chepeliev","given":"Maksym"},{"family":"Chen","given":"David Meng-Chuen"},{"family":"Lange","given":"Thijs","dropping-particle":"de"},{"family":"Doelman","given":"Jonathan"},{"family":"Dunston","given":"Shahnila"},{"family":"Frank","given":"Stefan"},{"family":"Fujimori","given":"Shinichiro"},{"family":"Hasegawa","given":"Tomoko"},{"family":"Havlik","given":"Petr"},{"family":"Hristov","given":"Jordan"},{"family":"Jägermeyr","given":"Jonas"},{"family":"Kozicka","given":"Marta"},{"family":"Kuiper","given":"Marijke"},{"family":"Kyle","given":"Page"},{"family":"Lotze-Campen","given":"Hermann"},{"family":"Luchtenbelt","given":"Hermen"},{"family":"Mishra","given":"Abhijeet"},{"family":"Müller","given":"Christoph"},{"family":"Nelson","given":"Gerald"},{"family":"Palazzo","given":"Amanda"},{"family":"Domínguez","given":"Ignacio Pérez"},{"family":"Popp","given":"Alexander"},{"family":"Sands","given":"Ronald"},{"family":"Springmann","given":"Marco"},{"family":"Stehfest","given":"Elke"},{"family":"Sulser","given":"Timothy"},{"family":"Takahashi","given":"Kiyoshi"},{"family":"Tassinari","given":"Gianmaria"},{"family":"Thom","given":"Ferike"},{"family":"Thornton","given":"Philip"},{"family":"Tsuchiya","given":"Kazuaki"},{"family":"Zeist","given":"Willem-Jan","dropping-particle":"van"},{"family":"Meijl","given":"Hans","dropping-particle":"van"},{"family":"Mensbrugghe","given":"Dominique","dropping-particle":"van der"},{"family":"Vuuren","given":"Detlef Van"},{"family":"Zanten","given":"Hannah H. E.","dropping-particle":"van"},{"family":"Weindl","given":"Isabelle"},{"family":"Wiebe","given":"Keith"},{"family":"Zhao","given":"Xin"},{"family":"Herrero","given":"Mario"}],"accessed":{"date-parts":[["2025",11,5]]},"issued":{"date-parts":[["2025",10,1]]}}}],"schema":"https://github.com/citation-style-language/schema/raw/master/csl-citation.json"} </w:instrText>
      </w:r>
      <w:r w:rsidR="008018B8">
        <w:fldChar w:fldCharType="separate"/>
      </w:r>
      <w:r w:rsidR="008018B8" w:rsidRPr="008018B8">
        <w:rPr>
          <w:rFonts w:cs="Arial"/>
          <w:vertAlign w:val="superscript"/>
        </w:rPr>
        <w:t>6</w:t>
      </w:r>
      <w:r w:rsidR="008018B8">
        <w:fldChar w:fldCharType="end"/>
      </w:r>
      <w:r w:rsidRPr="00F60DCA">
        <w:t xml:space="preserve"> used an ensemble of ten global economic models to evaluate food-system transformation pathways through changes in agricultural production, demand, prices, land use, water and nutrient use, and greenhouse-gas emissions, while related multisector studies have begun to examine the consequences of previously underrepresented structural mechanisms, such as agricultural </w:t>
      </w:r>
      <w:r>
        <w:t>labor market</w:t>
      </w:r>
      <w:r w:rsidRPr="00F60DCA">
        <w:t xml:space="preserve"> evolution</w:t>
      </w:r>
      <w:r w:rsidR="008018B8">
        <w:fldChar w:fldCharType="begin"/>
      </w:r>
      <w:r w:rsidR="007916B3">
        <w:instrText xml:space="preserve"> ADDIN ZOTERO_ITEM CSL_CITATION {"citationID":"ajca5bm0ci","properties":{"unsorted":false,"formattedCitation":"\\super 16,17\\nosupersub{}","plainCitation":"16,17","noteIndex":0},"citationItems":[{"id":9118,"uris":["http://zotero.org/users/8267882/items/NEUUX5MQ"],"itemData":{"id":9118,"type":"article-journal","abstract":"Long-term labour market evolution shapes agricultural transformation through labour productivity growth and labour market transitions. Despite its importance in agricultural production, labour has been overlooked when exploring the agrifood–water–environment–climate nexus. Here we incorporate evolving labour markets into multisector dynamic modelling to examine their agroeconomic and environmental implications. Our projections show that the recent decline of global agricultural employment persists, with an estimated decadal decrease of 43 million people by 2100, strengthening the decoupling of labour from production. Exploring scenarios with varying labour productivity and supply factors, we also show a positive relationship between productivity-adjusted labour supply and agricultural emissions, with more pronounced and heterogeneous regional and sectoral responses. While highlighting the pressing need to capture labour dynamics in integrated human–Earth systems, our study lays the foundation for further investigation into labour market responses and feedback in broader scenarios.","container-title":"Nature Food","DOI":"10.1038/s43016-024-01088-6","ISSN":"2662-1355","journalAbbreviation":"Nat Food","language":"en","license":"2025 Battelle Memorial Institute, under exclusive licence to Springer Nature Limited","page":"1-12","publisher":"Nature Publishing Group","source":"www.nature.com","title":"Labour market evolution is a key determinant of global agroeconomic and environmental futures","URL":"https://www.nature.com/articles/s43016-024-01088-6","author":[{"family":"Sheng","given":"Di"},{"family":"Edmonds","given":"James A."},{"family":"Patel","given":"Pralit"},{"family":"Waldhoff","given":"Stephanie T."},{"family":"O’Neill","given":"Brian C."},{"family":"Wise","given":"Marshall A."},{"family":"Zhao","given":"Xin"}],"accessed":{"date-parts":[["2025",1,2]]},"issued":{"date-parts":[["2025",1,2]]}}},{"id":15874,"uris":["http://zotero.org/users/8267882/items/3PACG3UB"],"itemData":{"id":15874,"type":"article-journal","container-title":"The Lancet Planetary Health","DOI":"10.1016/j.lanplh.2025.101342","ISSN":"2542-5196","issue":"10","journalAbbreviation":"The Lancet Planetary Health","language":"English","PMID":"41197654","publisher":"Elsevier","source":"www.thelancet.com","title":"Labour requirements for healthy and sustainable diets at global, regional, and national levels: a modelling study","title-short":"Labour requirements for healthy and sustainable diets at global, regional, and national levels","URL":"https://www.thelancet.com/journals/lanplh/article/PIIS2542-5196(25)00220-7/fulltext","volume":"9","author":[{"family":"Vittis","given":"Yiorgos"},{"family":"Obersteiner","given":"Michael"},{"family":"Godfray","given":"H. Charles J."},{"family":"Springmann","given":"Marco"}],"accessed":{"date-parts":[["2026",9,15]]},"issued":{"date-parts":[["2025",10,1]]}}}],"schema":"https://github.com/citation-style-language/schema/raw/master/csl-citation.json"} </w:instrText>
      </w:r>
      <w:r w:rsidR="008018B8">
        <w:fldChar w:fldCharType="separate"/>
      </w:r>
      <w:r w:rsidR="007916B3" w:rsidRPr="007916B3">
        <w:rPr>
          <w:rFonts w:cs="Arial"/>
          <w:vertAlign w:val="superscript"/>
        </w:rPr>
        <w:t>16,17</w:t>
      </w:r>
      <w:r w:rsidR="008018B8">
        <w:fldChar w:fldCharType="end"/>
      </w:r>
      <w:r w:rsidRPr="00F60DCA">
        <w:t xml:space="preserve">. </w:t>
      </w:r>
      <w:r w:rsidR="008018B8" w:rsidRPr="008018B8">
        <w:t>Across these applications, however, storage has generally not been isolated or harmonized as a distinct endogenous intertemporal adjustment margin. Long-run adjustment is therefore primarily captured through the mechanisms represented explicitly in each model, leaving the roles of stock accumulation and drawdown, carryover, and storage-associated losses in agroeconomic and environmental pathways largely unresolved.</w:t>
      </w:r>
    </w:p>
    <w:p w14:paraId="31F4703B" w14:textId="413C6486" w:rsidR="000F1177" w:rsidRDefault="000F1177" w:rsidP="00962AB0">
      <w:pPr>
        <w:spacing w:line="276" w:lineRule="auto"/>
      </w:pPr>
      <w:r w:rsidRPr="000F1177">
        <w:t xml:space="preserve">The second </w:t>
      </w:r>
      <w:r>
        <w:t>stream</w:t>
      </w:r>
      <w:r w:rsidRPr="000F1177">
        <w:t xml:space="preserve"> concerns the transmission of biophysical shocks and the mechanisms that buffer their market impacts. International trade reallocates supply across space, whereas storage reallocates it across time; yet </w:t>
      </w:r>
      <w:r>
        <w:t>global assessments have paid considerably more attention to the former</w:t>
      </w:r>
      <w:r w:rsidRPr="000F1177">
        <w:t>. Diffenbaugh et al. (2012)</w:t>
      </w:r>
      <w:r>
        <w:fldChar w:fldCharType="begin"/>
      </w:r>
      <w:r>
        <w:instrText xml:space="preserve"> ADDIN ZOTERO_ITEM CSL_CITATION {"citationID":"amrues3aqb","properties":{"unsorted":false,"formattedCitation":"\\super 11\\nosupersub{}","plainCitation":"11","noteIndex":0},"citationItems":[{"id":825,"uris":["http://zotero.org/users/8267882/items/UQRJLUBF"],"itemData":{"id":825,"type":"article-journal","abstract":"Several factors can either increase or buffer the effects of climate change on the volatility of grain prices. A study shows that US corn price volatility is more sensitive to near-term climate change than to energy policy or agriculture–energy market integration. A biofuels mandate increases price sensitivity to climate change by more than 50%.","container-title":"Nature Climate Change","DOI":"10.1038/nclimate1491","ISSN":"1758-6798","issue":"7","journalAbbreviation":"Nature Clim Change","language":"en","license":"2012 Springer Nature Limited","note":"number: 7","page":"514-518","publisher":"Nature Publishing Group","source":"www.nature.com","title":"Response of corn markets to climate volatility under alternative energy futures","URL":"https://www.nature.com/articles/nclimate1491","volume":"2","author":[{"family":"Diffenbaugh","given":"Noah S."},{"family":"Hertel","given":"Thomas W."},{"family":"Scherer","given":"Martin"},{"family":"Verma","given":"Monika"}],"accessed":{"date-parts":[["2024",1,29]]},"issued":{"date-parts":[["2012",7]]}}}],"schema":"https://github.com/citation-style-language/schema/raw/master/csl-citation.json"} </w:instrText>
      </w:r>
      <w:r>
        <w:fldChar w:fldCharType="separate"/>
      </w:r>
      <w:r w:rsidRPr="000F1177">
        <w:rPr>
          <w:rFonts w:cs="Arial"/>
          <w:vertAlign w:val="superscript"/>
        </w:rPr>
        <w:t>11</w:t>
      </w:r>
      <w:r>
        <w:fldChar w:fldCharType="end"/>
      </w:r>
      <w:r w:rsidRPr="000F1177">
        <w:t>, for example, quantified the transmission of interannual maize-yield variability into commodity prices and explicitly identified omitted stockholding as an important limitation requiring a dynamic treatment. Subsequent global studies have examined responses to interannual biophysical variability through production, land allocation, consumption, and trade without endogenous inventory adjustment</w:t>
      </w:r>
      <w:r>
        <w:t xml:space="preserve"> </w:t>
      </w:r>
      <w:r>
        <w:fldChar w:fldCharType="begin"/>
      </w:r>
      <w:r>
        <w:instrText xml:space="preserve"> ADDIN ZOTERO_ITEM CSL_CITATION {"citationID":"adn0k4rdc","properties":{"unsorted":false,"formattedCitation":"\\super 13,14\\nosupersub{}","plainCitation":"13,14","noteIndex":0},"citationItems":[{"id":610,"uris":["http://zotero.org/users/8267882/items/N5H43RTC"],"itemData":{"id":610,"type":"article-journal","abstract":"Most studies assessing climate impacts on agriculture have focused on average changes in market-mediated responses (e.g. changes in land use, production, and consumption). However, the response of global agricultural markets to interannual variability (IAV) in climate and biophysical shocks is poorly understood and not well represented in global economic models. Here we show a strong transmission of IAVs in climate-induced biophysical yield shocks to agriculture markets, which is further magnified by endogenous market fluctuations generated due to producers’ imperfect expectations of market and weather conditions. We demonstrate that the volatility of crop prices and consumption could be significantly underestimated (i.e. on average by 55% and 41%, respectively) by assuming perfect foresight, a standard assumption in the economic equilibrium modeling, compared with the relatively more realistic adaptive expectations. We also find heterogeneity in IAV across crops and regions, which is considerably mediated by international trade. Studying IAV provides fundamentally new insights on measuring and understanding climate impacts on global agriculture, and our framework lays the foundation for further investigating the full range of climate impacts on biophysical and human systems.","container-title":"Environmental Research Letters","DOI":"10.1088/1748-9326/ac2965","ISSN":"1748-9326","issue":"10","journalAbbreviation":"Environ. Res. Lett.","language":"en","license":"Creative Commons Attribution-NonCommercial-ShareAlike 4.0 International License (CC-BY-NC-SA)","page":"104037","publisher":"IOP Publishing","source":"Institute of Physics","title":"Global agricultural responses to interannual climate and biophysical variability","URL":"https://doi.org/10.1088/1748-9326/ac2965","volume":"16","author":[{"family":"Zhao","given":"Xin"},{"family":"Calvin","given":"Katherine V."},{"family":"Wise","given":"Marshall A."},{"family":"Patel","given":"Pralit L."},{"family":"Snyder","given":"Abigail C."},{"family":"Waldhoff","given":"Stephanie T."},{"family":"Hejazi","given":"Mohamad I."},{"family":"Edmonds","given":"James A."}],"accessed":{"date-parts":[["2022",8,24]]},"issued":{"date-parts":[["2021",10]]}}},{"id":11587,"uris":["http://zotero.org/users/8267882/items/FRMCVW5I"],"itemData":{"id":11587,"type":"article-journal","abstract":"Climate change is intensifying the frequency and severity of extreme events, posing challenges to food security. Corn, a staple crop for billions, is particularly vulnerable to heat stress, a primary driver of yield variability. While many studies have examined the climate impact on average corn yields, little attention has been given to the climate impact on production volatility. This study investigates the future volatility and risks associated with global corn supply under climate change, evaluating the potential benefits of two key adaptation strategies: irrigation and market integration. A statistical model is employed to estimate corn yield response to heat stress and utilize NEX-GDDP-CMIP6 climate data to project future production volatility and risks of substantial yield losses. Three metrics are introduced to quantify these risks: Sigma (σ), the standard deviation of year-on-year yield change, which reflects overall yield volatility; Rho (ρ), the risk of substantial loss, defined as the probability of yield falling below a critical threshold; and beta (β), a relative risk coefficient that captures the volatility of a region’s corn production compared to the globally integrated market. The analysis reveals a concerning trend of increasing year-on-year yield volatility (σ) across most regions and climate models. This volatility increase is significant for key corn-producing regions like Brazil and the United States. While irrigated corn production exhibits a smaller rise in volatility, suggesting irrigation as a potential buffer against climate change impacts, it is not a sustainable option as it can cause groundwater depletion. On the other hand, global market integration reduces overall volatility and market risks significantly with less sustainability concerns. These findings highlight the importance of a multidimensional approach to adaptation in the food sector. While irrigation can benefit individual farmers, promoting global market integration offers a broader solution for fostering resilience and sustainability across the entire food system.","container-title":"Environmental Research: Food Systems","DOI":"10.1088/2976-601X/ad7d12","ISSN":"2976-601X","issue":"2","journalAbbreviation":"Environ. Res.: Food Syst.","language":"en","page":"021004","publisher":"IOP Publishing","source":"Institute of Physics","title":"Trade can buffer climate-induced risks and volatilities in crop supply","URL":"https://dx.doi.org/10.1088/2976-601X/ad7d12","volume":"1","author":[{"family":"Haqiqi","given":"Iman"}],"accessed":{"date-parts":[["2025",6,11]]},"issued":{"date-parts":[["2024",10]]}}}],"schema":"https://github.com/citation-style-language/schema/raw/master/csl-citation.json"} </w:instrText>
      </w:r>
      <w:r>
        <w:fldChar w:fldCharType="separate"/>
      </w:r>
      <w:r w:rsidRPr="000F1177">
        <w:rPr>
          <w:rFonts w:cs="Arial"/>
          <w:vertAlign w:val="superscript"/>
        </w:rPr>
        <w:t>13,14</w:t>
      </w:r>
      <w:r>
        <w:fldChar w:fldCharType="end"/>
      </w:r>
      <w:r w:rsidRPr="000F1177">
        <w:t xml:space="preserve"> (Zhao et al., 2021; Haqiqi, 2024). Other analyses recognize reserves as a potential resilience mechanism without incorporating storage decisions within the economic model itself. Hasegawa et al. (2021)</w:t>
      </w:r>
      <w:r>
        <w:fldChar w:fldCharType="begin"/>
      </w:r>
      <w:r w:rsidR="007916B3">
        <w:instrText xml:space="preserve"> ADDIN ZOTERO_ITEM CSL_CITATION {"citationID":"a1g5koqhad8","properties":{"unsorted":false,"formattedCitation":"\\super 18\\nosupersub{}","plainCitation":"18","noteIndex":0},"citationItems":[{"id":204,"uris":["http://zotero.org/users/8267882/items/NVI2RCN9"],"itemData":{"id":204,"type":"article-journal","abstract":"Climate change is expected to increase the frequency, intensity and spatial extent of extreme climate events, and thus is a key concern for food production. However, food insecurity is usually analysed under a mean climate change state. Here we combine crop modelling and climate scenarios to estimate the effects of extreme climate events on future food insecurity. Relative to median-level climate change, we find that an additional 20–36% and 11–33% population may face hunger by 2050 under a once-per-100-yr extreme climate event under high and low emission scenarios, respectively. In some affected regions, such as South Asia, the amount of food required to offset such an effect is triple the region’s current food reserves. Better-targeted food reserves and other adaptation measures could help fill the consumption gap in the face of extreme climate variability.","container-title":"Nature Food","DOI":"10.1038/s43016-021-00335-4","ISSN":"2662-1355","issue":"8","journalAbbreviation":"Nat Food","language":"en","license":"2021 The Author(s), under exclusive licence to Springer Nature Limited","note":"Bandiera_abtest: a\nCg_type: Nature Research Journals\nnumber: 8\nPrimary_atype: Research\nSubject_term: Climate-change impacts;Environmental impact\nSubject_term_id: climate-change-impacts;environmental-impact","page":"587-595","publisher":"Nature Publishing Group","source":"www.nature.com","title":"Extreme climate events increase risk of global food insecurity and adaptation needs","URL":"https://www.nature.com/articles/s43016-021-00335-4","volume":"2","author":[{"family":"Hasegawa","given":"Tomoko"},{"family":"Sakurai","given":"Gen"},{"family":"Fujimori","given":"Shinichiro"},{"family":"Takahashi","given":"Kiyoshi"},{"family":"Hijioka","given":"Yasuaki"},{"family":"Masui","given":"Toshihiko"}],"accessed":{"date-parts":[["2021",10,11]]},"issued":{"date-parts":[["2021",8]]}}}],"schema":"https://github.com/citation-style-language/schema/raw/master/csl-citation.json"} </w:instrText>
      </w:r>
      <w:r>
        <w:fldChar w:fldCharType="separate"/>
      </w:r>
      <w:r w:rsidR="007916B3" w:rsidRPr="007916B3">
        <w:rPr>
          <w:rFonts w:cs="Arial"/>
          <w:vertAlign w:val="superscript"/>
        </w:rPr>
        <w:t>18</w:t>
      </w:r>
      <w:r>
        <w:fldChar w:fldCharType="end"/>
      </w:r>
      <w:r w:rsidRPr="000F1177">
        <w:t>, for instance, estimated consumption shortfalls under extreme yield events using AIM/Hub and compared the resulting food requirements ex post with observed cereal reserves. These studies demonstrate the importance of market-mediated adaptation while leaving the temporal allocation of commodities largely exogenous or unresolved</w:t>
      </w:r>
      <w:r w:rsidR="00DF0387">
        <w:t xml:space="preserve"> (see a summary of key selected studies in </w:t>
      </w:r>
      <w:r w:rsidR="00DF0387" w:rsidRPr="000F1177">
        <w:rPr>
          <w:b/>
          <w:bCs/>
        </w:rPr>
        <w:fldChar w:fldCharType="begin"/>
      </w:r>
      <w:r w:rsidR="00DF0387" w:rsidRPr="000F1177">
        <w:rPr>
          <w:b/>
          <w:bCs/>
        </w:rPr>
        <w:instrText xml:space="preserve"> REF _Ref238425474 \h </w:instrText>
      </w:r>
      <w:r w:rsidR="00DF0387">
        <w:rPr>
          <w:b/>
          <w:bCs/>
        </w:rPr>
        <w:instrText xml:space="preserve"> \* MERGEFORMAT </w:instrText>
      </w:r>
      <w:r w:rsidR="00DF0387" w:rsidRPr="000F1177">
        <w:rPr>
          <w:b/>
          <w:bCs/>
        </w:rPr>
      </w:r>
      <w:r w:rsidR="00DF0387" w:rsidRPr="000F1177">
        <w:rPr>
          <w:b/>
          <w:bCs/>
        </w:rPr>
        <w:fldChar w:fldCharType="separate"/>
      </w:r>
      <w:r w:rsidR="003E354C" w:rsidRPr="003E354C">
        <w:rPr>
          <w:b/>
          <w:bCs/>
        </w:rPr>
        <w:t xml:space="preserve">Supplementary Table </w:t>
      </w:r>
      <w:r w:rsidR="003E354C" w:rsidRPr="003E354C">
        <w:rPr>
          <w:b/>
          <w:bCs/>
          <w:noProof/>
        </w:rPr>
        <w:t>1</w:t>
      </w:r>
      <w:r w:rsidR="00DF0387" w:rsidRPr="000F1177">
        <w:rPr>
          <w:b/>
          <w:bCs/>
        </w:rPr>
        <w:fldChar w:fldCharType="end"/>
      </w:r>
      <w:r w:rsidR="00DF0387" w:rsidRPr="00DF0387">
        <w:t>)</w:t>
      </w:r>
      <w:r w:rsidRPr="000F1177">
        <w:t>.</w:t>
      </w:r>
      <w:r w:rsidR="00767664">
        <w:t xml:space="preserve"> </w:t>
      </w:r>
    </w:p>
    <w:p w14:paraId="1317D444" w14:textId="6A89C440" w:rsidR="009D626F" w:rsidRPr="000F1177" w:rsidRDefault="009D626F" w:rsidP="00962AB0">
      <w:pPr>
        <w:spacing w:line="276" w:lineRule="auto"/>
      </w:pPr>
      <w:r w:rsidRPr="009D626F">
        <w:t>Storage is not entirely absent from agricultural economic modeling.</w:t>
      </w:r>
      <w:r w:rsidR="006D1519">
        <w:t xml:space="preserve"> Empirical</w:t>
      </w:r>
      <w:r w:rsidR="006D1519" w:rsidRPr="006D1519">
        <w:t xml:space="preserve"> and structural-estimation studies demonstrate systematic relationships among inventories, prices, and market scarcity</w:t>
      </w:r>
      <w:r w:rsidR="006D1519">
        <w:rPr>
          <w:bCs/>
        </w:rPr>
        <w:fldChar w:fldCharType="begin"/>
      </w:r>
      <w:r w:rsidR="007916B3">
        <w:rPr>
          <w:bCs/>
        </w:rPr>
        <w:instrText xml:space="preserve"> ADDIN ZOTERO_ITEM CSL_CITATION {"citationID":"a16efqlvn3d","properties":{"unsorted":false,"formattedCitation":"\\super 19,20\\nosupersub{}","plainCitation":"19,20","noteIndex":0},"citationItems":[{"id":129,"uris":["http://zotero.org/users/8267882/items/LH2X6YFR"],"itemData":{"id":129,"type":"article-journal","abstract":"We identify critical stocks-to-use ratios (SURs) for major grains and for an index of total calories from these grains. The latter appears to be a promising indicator of vulnerability to large price spikes when the current price shows no cause for concern. More generally, our results suggest that stocks data, though no doubt unreliable, can be valuable complements to price data as indicators of vulnerability to shortages and price spikes.","container-title":"Agricultural Economics","DOI":"10.1111/agec.12049","ISSN":"1574-0862","issue":"s1","language":"en","note":"_eprint: https://onlinelibrary.wiley.com/doi/pdf/10.1111/agec.12049","page":"43-52","source":"Wiley Online Library","title":"Stocks-to-use ratios and prices as indicators of vulnerability to spikes in global cereal markets","URL":"https://onlinelibrary.wiley.com/doi/abs/10.1111/agec.12049","volume":"44","author":[{"family":"Bobenrieth","given":"Eugenio"},{"family":"Wright","given":"Brian"},{"family":"Zeng","given":"Di"}],"accessed":{"date-parts":[["2021",9,19]]},"issued":{"date-parts":[["2013"]]}}},{"id":879,"uris":["http://zotero.org/users/8267882/items/SE35LPC4"],"itemData":{"id":879,"type":"article-journal","abstract":"The empirical relevance of models of competitive storage arbitrage in explaining commodity price behavior has been seriously challenged in a series of pathbreaking papers by Deaton and Laroque, 1992, Deaton and Laroque, 1995, Deaton and Laroque, 1996. Here we address their major criticism, that the model is in general unable to explain the degree of serial correlation observed in the prices of twelve major commodities. First, we present a simple numerical version of their model which, contrary to Deaton and Laroque (1992), can generate the high levels of serial correlation observed in commodity prices, if it is parameterized to generate realistic levels of price variation. Then, after estimating the Deaton and Laroque, 1995, Deaton and Laroque, 1996 model using their data set, model specification and econometric approach, we show that the use of a much finer grid to approximate the equilibrium price function yields quite different estimates for most commodities. Results are obtained for coffee, copper, jute, maize, palm oil, sugar and tin that support the specifications of the storage model with positive constant marginal storage cost and no deterioration as in Gustafson (1958a). Consumption demand has a low response to price and, except for sugar, stockouts are infrequent. The observed magnitudes of serial correlation of price match those implied by the estimated model.","collection-title":"The Economics and Econometrics of Risk","container-title":"Journal of Econometrics","DOI":"10.1016/j.jeconom.2009.10.008","ISSN":"0304-4076","issue":"1","journalAbbreviation":"Journal of Econometrics","page":"44-54","source":"ScienceDirect","title":"The empirical relevance of the competitive storage model","URL":"https://www.sciencedirect.com/science/article/pii/S0304407609002619","volume":"162","author":[{"family":"Cafiero","given":"Carlo"},{"family":"Bobenrieth H.","given":"Eugenio S. A."},{"family":"Bobenrieth H.","given":"Juan R. A."},{"family":"Wright","given":"Brian D."}],"accessed":{"date-parts":[["2023",10,4]]},"issued":{"date-parts":[["2011",5,1]]}}}],"schema":"https://github.com/citation-style-language/schema/raw/master/csl-citation.json"} </w:instrText>
      </w:r>
      <w:r w:rsidR="006D1519">
        <w:rPr>
          <w:bCs/>
        </w:rPr>
        <w:fldChar w:fldCharType="separate"/>
      </w:r>
      <w:r w:rsidR="007916B3" w:rsidRPr="007916B3">
        <w:rPr>
          <w:rFonts w:cs="Arial"/>
          <w:vertAlign w:val="superscript"/>
        </w:rPr>
        <w:t>19,20</w:t>
      </w:r>
      <w:r w:rsidR="006D1519">
        <w:rPr>
          <w:bCs/>
        </w:rPr>
        <w:fldChar w:fldCharType="end"/>
      </w:r>
      <w:r w:rsidR="006D1519" w:rsidRPr="006D1519">
        <w:t xml:space="preserve">. Such evidence, however, has generally been developed for individual commodities or specific markets, while explicit storage </w:t>
      </w:r>
      <w:r w:rsidR="006D1519" w:rsidRPr="006D1519">
        <w:lastRenderedPageBreak/>
        <w:t>representations in broader global models remain comparatively limited.</w:t>
      </w:r>
      <w:r w:rsidRPr="009D626F">
        <w:t xml:space="preserve"> </w:t>
      </w:r>
      <w:r w:rsidR="00154C9A" w:rsidRPr="009D626F">
        <w:t xml:space="preserve">The modeling structures most relevant to the present study are summarized in </w:t>
      </w:r>
      <w:r w:rsidR="00154C9A" w:rsidRPr="00154C9A">
        <w:rPr>
          <w:b/>
          <w:bCs/>
        </w:rPr>
        <w:fldChar w:fldCharType="begin"/>
      </w:r>
      <w:r w:rsidR="00154C9A" w:rsidRPr="00154C9A">
        <w:rPr>
          <w:b/>
          <w:bCs/>
        </w:rPr>
        <w:instrText xml:space="preserve"> REF _Ref238429082 \h </w:instrText>
      </w:r>
      <w:r w:rsidR="00154C9A">
        <w:rPr>
          <w:b/>
          <w:bCs/>
        </w:rPr>
        <w:instrText xml:space="preserve"> \* MERGEFORMAT </w:instrText>
      </w:r>
      <w:r w:rsidR="00154C9A" w:rsidRPr="00154C9A">
        <w:rPr>
          <w:b/>
          <w:bCs/>
        </w:rPr>
      </w:r>
      <w:r w:rsidR="00154C9A" w:rsidRPr="00154C9A">
        <w:rPr>
          <w:b/>
          <w:bCs/>
        </w:rPr>
        <w:fldChar w:fldCharType="separate"/>
      </w:r>
      <w:r w:rsidR="003E354C" w:rsidRPr="003E354C">
        <w:rPr>
          <w:b/>
          <w:bCs/>
        </w:rPr>
        <w:t xml:space="preserve">Supplementary Table </w:t>
      </w:r>
      <w:r w:rsidR="003E354C" w:rsidRPr="003E354C">
        <w:rPr>
          <w:b/>
          <w:bCs/>
          <w:noProof/>
        </w:rPr>
        <w:t>2</w:t>
      </w:r>
      <w:r w:rsidR="00154C9A" w:rsidRPr="00154C9A">
        <w:rPr>
          <w:b/>
          <w:bCs/>
        </w:rPr>
        <w:fldChar w:fldCharType="end"/>
      </w:r>
      <w:r w:rsidR="00154C9A" w:rsidRPr="009D626F">
        <w:t>.</w:t>
      </w:r>
      <w:r w:rsidR="00154C9A">
        <w:t xml:space="preserve"> </w:t>
      </w:r>
      <w:r w:rsidR="006D1519">
        <w:t xml:space="preserve"> </w:t>
      </w:r>
      <w:r w:rsidR="00154C9A">
        <w:t xml:space="preserve">The </w:t>
      </w:r>
      <w:r w:rsidRPr="009D626F">
        <w:t xml:space="preserve">Aglink-Cosimo </w:t>
      </w:r>
      <w:r w:rsidR="00154C9A">
        <w:t xml:space="preserve">model </w:t>
      </w:r>
      <w:r w:rsidRPr="009D626F">
        <w:t xml:space="preserve">provides an important global precedent, linking beginning and ending stocks across annual periods through reduced-form equations responsive to supply, consumption, and current prices relative to recent prices. Hertel et al. (2005) instead incorporated price-responsive stock variation into a global general-equilibrium model, demonstrating the importance of storage for short-run commodity-market adjustment while representing bounded changes in stocks rather than explicit inventory paths. More specialized models resolve intertemporal behavior in greater detail. Gouel (2013) employs rational expectations, storage costs, and non-negative inventories; Mitra and Boussard (2012) represent adaptive expectations, risk aversion, storage costs, and capacity constraints; and Schewe et al. (2017) maintain stock-flow-consistent annual inventories within a global wheat supply–demand model. These approaches reveal a general scope–structure trade-off: broader global models tend to adopt parsimonious stock relationships, whereas richer representations of expectations, risk, and inventory constraints are typically applied to individual commodities or specialized markets. Storage-specific physical losses are also generally absent from the core stockholding equations of these comparators. </w:t>
      </w:r>
    </w:p>
    <w:p w14:paraId="509C7DDF" w14:textId="0FAE4977" w:rsidR="005A4D49" w:rsidRPr="00F60DCA" w:rsidRDefault="00D560A5" w:rsidP="00962AB0">
      <w:pPr>
        <w:spacing w:line="276" w:lineRule="auto"/>
      </w:pPr>
      <w:r w:rsidRPr="00D560A5">
        <w:t>The present study addresses this gap through complementary data and modeling advances. Building on recent developments in traceable global supply</w:t>
      </w:r>
      <w:r>
        <w:t xml:space="preserve"> </w:t>
      </w:r>
      <w:r w:rsidRPr="00D560A5">
        <w:t>utilization accounting</w:t>
      </w:r>
      <w:r>
        <w:fldChar w:fldCharType="begin"/>
      </w:r>
      <w:r w:rsidR="007916B3">
        <w:instrText xml:space="preserve"> ADDIN ZOTERO_ITEM CSL_CITATION {"citationID":"a159aar2dbi","properties":{"unsorted":false,"formattedCitation":"\\super 21\\nosupersub{}","plainCitation":"21","noteIndex":0},"citationItems":[{"id":11357,"uris":["http://zotero.org/users/8267882/items/WK5TNXDU"],"itemData":{"id":11357,"type":"article-journal","abstract":"The Food Balance Sheets (FBS), compiled by the Food and Agriculture Organization (FAO), serve as a cornerstone dataset for studies on agricultural development, food security, and dietary health, providing a broad overview of global and regional food systems. However, its limited transparency and scalability hinder its application in empirical analysis and multisector dynamic modeling. Here, we present a traceable Food Balance Sheets (T-FBS) dataset, developed from detailed Supply Utilization Accounts (SUA) using a novel Primary Commodity equivalent (PCe) aggregation approach. This framework enables the aggregation of commodity flows along supply chains while ensuring consistency and balance across multiple dimensions. The T-FBS dataset includes 57 PCe commodities across 195 regions for the period 2010–2022, consolidated from over 500 SUA products. While T-FBS closely aligns with FAO-FBS at aggregate levels for dietary energy and macronutrients, it identifies key uncertainties in other elements (e.g., feed, trade, stocks). By enhancing methodological transparency, traceability, and scalability, T-FBS strengthens the robustness of food system studies and fosters future research and collaboration within the open-source community.","container-title":"Scientific Data","DOI":"10.1038/s41597-025-05137-y","ISSN":"2052-4463","issue":"1","journalAbbreviation":"Sci Data","language":"en","license":"2025 Battelle Memorial Institute and Maksym Chepeliev, Neus Escobar","page":"834","publisher":"Nature Publishing Group","source":"www.nature.com","title":"Traceable and Scalable Food Balance Sheets from Agricultural Commodity Supply and Utilization Accounts (2010–2022)","URL":"https://www.nature.com/articles/s41597-025-05137-y","volume":"12","author":[{"family":"Zhao","given":"Xin"},{"family":"Chepeliev","given":"Maksym"},{"family":"Escobar","given":"Neus"},{"family":"Binsted","given":"Matthew T."},{"family":"Patel","given":"Pralit"},{"family":"Kyle","given":"Page"},{"family":"Wise","given":"Marshall A."}],"accessed":{"date-parts":[["2025",5,21]]},"issued":{"date-parts":[["2025",5,21]]}}}],"schema":"https://github.com/citation-style-language/schema/raw/master/csl-citation.json"} </w:instrText>
      </w:r>
      <w:r>
        <w:fldChar w:fldCharType="separate"/>
      </w:r>
      <w:r w:rsidR="007916B3" w:rsidRPr="007916B3">
        <w:rPr>
          <w:rFonts w:cs="Arial"/>
          <w:vertAlign w:val="superscript"/>
        </w:rPr>
        <w:t>21</w:t>
      </w:r>
      <w:r>
        <w:fldChar w:fldCharType="end"/>
      </w:r>
      <w:r w:rsidRPr="00D560A5">
        <w:t>, we construct model-ready storage accounts and integrate them with an endogenous representation of interperiod stockholding in a global multisector framework. This enables storage to operate as a distinct temporal adjustment margin alongside trade while retaining connections to broader agroeconomic and environmental outcomes. Rather than replacing more behaviorally detailed storage models, our contribution is to bring globally consistent inventory data and key storage dynamics into the class of models used for long-term assessment and biophysical-shock analysis. Earlier estimates without explicit storage are therefore conditional on how intertemporal adjustment was omitted, fixed, or represented implicitly; our analysis evaluates when relaxing that condition materially changes market and resource</w:t>
      </w:r>
      <w:r>
        <w:t xml:space="preserve"> </w:t>
      </w:r>
      <w:r w:rsidRPr="00D560A5">
        <w:t>use responses.</w:t>
      </w:r>
    </w:p>
    <w:p w14:paraId="391F7908" w14:textId="77777777" w:rsidR="00F60DCA" w:rsidRDefault="00F60DCA" w:rsidP="008F4A39"/>
    <w:p w14:paraId="4F800DC3" w14:textId="77777777" w:rsidR="00F60DCA" w:rsidRPr="008F4A39" w:rsidRDefault="00F60DCA" w:rsidP="008F4A39"/>
    <w:p w14:paraId="6CA8D002" w14:textId="57933423" w:rsidR="000F1177" w:rsidRDefault="000F1177">
      <w:r>
        <w:br w:type="page"/>
      </w:r>
    </w:p>
    <w:p w14:paraId="2040F10D" w14:textId="198D1DF4" w:rsidR="0024552C" w:rsidRPr="00DF0387" w:rsidRDefault="00DD0B5B" w:rsidP="00DF0387">
      <w:pPr>
        <w:pStyle w:val="Caption"/>
        <w:rPr>
          <w:vanish/>
          <w:specVanish/>
        </w:rPr>
      </w:pPr>
      <w:bookmarkStart w:id="2" w:name="_Ref238425474"/>
      <w:bookmarkStart w:id="3" w:name="_Toc241138211"/>
      <w:r w:rsidRPr="008066ED">
        <w:rPr>
          <w:szCs w:val="22"/>
        </w:rPr>
        <w:lastRenderedPageBreak/>
        <w:t xml:space="preserve">Supplementary Table </w:t>
      </w:r>
      <w:r w:rsidRPr="008066ED">
        <w:rPr>
          <w:szCs w:val="22"/>
        </w:rPr>
        <w:fldChar w:fldCharType="begin"/>
      </w:r>
      <w:r w:rsidRPr="008066ED">
        <w:rPr>
          <w:szCs w:val="22"/>
        </w:rPr>
        <w:instrText xml:space="preserve"> SEQ Table \* ARABIC </w:instrText>
      </w:r>
      <w:r w:rsidRPr="008066ED">
        <w:rPr>
          <w:szCs w:val="22"/>
        </w:rPr>
        <w:fldChar w:fldCharType="separate"/>
      </w:r>
      <w:r w:rsidR="003E354C">
        <w:rPr>
          <w:noProof/>
          <w:szCs w:val="22"/>
        </w:rPr>
        <w:t>1</w:t>
      </w:r>
      <w:r w:rsidRPr="008066ED">
        <w:rPr>
          <w:szCs w:val="22"/>
        </w:rPr>
        <w:fldChar w:fldCharType="end"/>
      </w:r>
      <w:bookmarkEnd w:id="2"/>
      <w:r w:rsidRPr="008066ED">
        <w:rPr>
          <w:szCs w:val="22"/>
        </w:rPr>
        <w:t xml:space="preserve"> | </w:t>
      </w:r>
      <w:r w:rsidR="00DF0387" w:rsidRPr="00DF0387">
        <w:t xml:space="preserve">Key global agricultural </w:t>
      </w:r>
      <w:r w:rsidR="00DF0387">
        <w:t>modeling</w:t>
      </w:r>
      <w:r w:rsidR="00DF0387" w:rsidRPr="00DF0387">
        <w:t xml:space="preserve"> and shock-transmission studies</w:t>
      </w:r>
      <w:r w:rsidR="00DF0387">
        <w:t>.</w:t>
      </w:r>
      <w:bookmarkEnd w:id="3"/>
    </w:p>
    <w:p w14:paraId="5DADE974" w14:textId="3EBE1B1A" w:rsidR="00DF0387" w:rsidRPr="00DF0387" w:rsidRDefault="00DF0387" w:rsidP="00DF0387">
      <w:r>
        <w:t xml:space="preserve"> S</w:t>
      </w:r>
      <w:r w:rsidRPr="00DF0387">
        <w:t>tudies are representative rather than exhaustive and were selected because storage was omitted, externally prescribed, or not evaluated as an endogenous adjustment margin in the focal application</w:t>
      </w:r>
      <w:r>
        <w:t>.</w:t>
      </w:r>
      <w:r w:rsidR="003C143F">
        <w:t xml:space="preserve"> Previous versions of GCAM were used in  </w:t>
      </w:r>
      <w:r w:rsidR="003C143F" w:rsidRPr="003C143F">
        <w:t>Nelson et al. (2014), Zhao et al. (2021), and Sundiang et al. (2025)</w:t>
      </w:r>
      <w:r w:rsidR="003C143F">
        <w:t>.</w:t>
      </w:r>
    </w:p>
    <w:tbl>
      <w:tblPr>
        <w:tblStyle w:val="GridTable2-Accent3"/>
        <w:tblW w:w="5000" w:type="pct"/>
        <w:tblBorders>
          <w:top w:val="single" w:sz="4" w:space="0" w:color="auto"/>
          <w:bottom w:val="single" w:sz="4" w:space="0" w:color="auto"/>
          <w:insideH w:val="none" w:sz="0" w:space="0" w:color="auto"/>
          <w:insideV w:val="none" w:sz="0" w:space="0" w:color="auto"/>
        </w:tblBorders>
        <w:tblLook w:val="04A0" w:firstRow="1" w:lastRow="0" w:firstColumn="1" w:lastColumn="0" w:noHBand="0" w:noVBand="1"/>
      </w:tblPr>
      <w:tblGrid>
        <w:gridCol w:w="1470"/>
        <w:gridCol w:w="1727"/>
        <w:gridCol w:w="2007"/>
        <w:gridCol w:w="2640"/>
        <w:gridCol w:w="2956"/>
      </w:tblGrid>
      <w:tr w:rsidR="00A637FF" w:rsidRPr="007916B3" w14:paraId="0F83C482" w14:textId="77777777" w:rsidTr="00212A06">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683" w:type="pct"/>
            <w:tcBorders>
              <w:top w:val="single" w:sz="4" w:space="0" w:color="auto"/>
              <w:bottom w:val="single" w:sz="4" w:space="0" w:color="auto"/>
              <w:right w:val="none" w:sz="0" w:space="0" w:color="auto"/>
            </w:tcBorders>
            <w:vAlign w:val="center"/>
            <w:hideMark/>
          </w:tcPr>
          <w:p w14:paraId="384B2D81" w14:textId="77777777" w:rsidR="00A637FF" w:rsidRPr="007916B3" w:rsidRDefault="00A637FF" w:rsidP="00212A06">
            <w:pPr>
              <w:jc w:val="center"/>
              <w:rPr>
                <w:rFonts w:cs="Arial"/>
                <w:color w:val="000000"/>
              </w:rPr>
            </w:pPr>
            <w:r w:rsidRPr="007916B3">
              <w:rPr>
                <w:rFonts w:cs="Arial"/>
                <w:color w:val="000000"/>
              </w:rPr>
              <w:t>Study</w:t>
            </w:r>
          </w:p>
        </w:tc>
        <w:tc>
          <w:tcPr>
            <w:tcW w:w="802" w:type="pct"/>
            <w:tcBorders>
              <w:top w:val="single" w:sz="4" w:space="0" w:color="auto"/>
              <w:left w:val="none" w:sz="0" w:space="0" w:color="auto"/>
              <w:bottom w:val="single" w:sz="4" w:space="0" w:color="auto"/>
              <w:right w:val="none" w:sz="0" w:space="0" w:color="auto"/>
            </w:tcBorders>
            <w:vAlign w:val="center"/>
            <w:hideMark/>
          </w:tcPr>
          <w:p w14:paraId="371D7EA3" w14:textId="77777777" w:rsidR="00A637FF" w:rsidRPr="007916B3" w:rsidRDefault="00A637FF" w:rsidP="00212A06">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Model / approach</w:t>
            </w:r>
          </w:p>
        </w:tc>
        <w:tc>
          <w:tcPr>
            <w:tcW w:w="931" w:type="pct"/>
            <w:tcBorders>
              <w:top w:val="single" w:sz="4" w:space="0" w:color="auto"/>
              <w:left w:val="none" w:sz="0" w:space="0" w:color="auto"/>
              <w:bottom w:val="single" w:sz="4" w:space="0" w:color="auto"/>
              <w:right w:val="none" w:sz="0" w:space="0" w:color="auto"/>
            </w:tcBorders>
            <w:vAlign w:val="center"/>
            <w:hideMark/>
          </w:tcPr>
          <w:p w14:paraId="019005B7" w14:textId="77777777" w:rsidR="00A637FF" w:rsidRPr="007916B3" w:rsidRDefault="00A637FF" w:rsidP="00212A06">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Scale / horizon</w:t>
            </w:r>
          </w:p>
        </w:tc>
        <w:tc>
          <w:tcPr>
            <w:tcW w:w="1224" w:type="pct"/>
            <w:tcBorders>
              <w:top w:val="single" w:sz="4" w:space="0" w:color="auto"/>
              <w:left w:val="none" w:sz="0" w:space="0" w:color="auto"/>
              <w:bottom w:val="single" w:sz="4" w:space="0" w:color="auto"/>
              <w:right w:val="none" w:sz="0" w:space="0" w:color="auto"/>
            </w:tcBorders>
            <w:vAlign w:val="center"/>
            <w:hideMark/>
          </w:tcPr>
          <w:p w14:paraId="0D37F06F" w14:textId="77777777" w:rsidR="00A637FF" w:rsidRPr="007916B3" w:rsidRDefault="00A637FF" w:rsidP="00212A06">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Primary focus</w:t>
            </w:r>
          </w:p>
        </w:tc>
        <w:tc>
          <w:tcPr>
            <w:tcW w:w="1360" w:type="pct"/>
            <w:tcBorders>
              <w:top w:val="single" w:sz="4" w:space="0" w:color="auto"/>
              <w:left w:val="none" w:sz="0" w:space="0" w:color="auto"/>
              <w:bottom w:val="single" w:sz="4" w:space="0" w:color="auto"/>
            </w:tcBorders>
            <w:vAlign w:val="center"/>
            <w:hideMark/>
          </w:tcPr>
          <w:p w14:paraId="360F9995" w14:textId="77777777" w:rsidR="00A637FF" w:rsidRPr="007916B3" w:rsidRDefault="00A637FF" w:rsidP="00212A06">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Main market-mediated responses examined</w:t>
            </w:r>
          </w:p>
        </w:tc>
      </w:tr>
      <w:tr w:rsidR="00A637FF" w:rsidRPr="007916B3" w14:paraId="3C75A7F6" w14:textId="77777777" w:rsidTr="00212A06">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683" w:type="pct"/>
            <w:tcBorders>
              <w:top w:val="single" w:sz="4" w:space="0" w:color="auto"/>
            </w:tcBorders>
            <w:vAlign w:val="center"/>
            <w:hideMark/>
          </w:tcPr>
          <w:p w14:paraId="4D166314" w14:textId="248862B5" w:rsidR="00A637FF" w:rsidRPr="007916B3" w:rsidRDefault="00A637FF" w:rsidP="00212A06">
            <w:pPr>
              <w:rPr>
                <w:rFonts w:cs="Arial"/>
                <w:b w:val="0"/>
                <w:bCs w:val="0"/>
                <w:color w:val="000000"/>
              </w:rPr>
            </w:pPr>
            <w:r w:rsidRPr="007916B3">
              <w:rPr>
                <w:rFonts w:cs="Arial"/>
                <w:b w:val="0"/>
                <w:bCs w:val="0"/>
                <w:color w:val="000000"/>
              </w:rPr>
              <w:t>Diffenbaugh et al. (2012)</w:t>
            </w:r>
            <w:r w:rsidR="00D560A5" w:rsidRPr="007916B3">
              <w:rPr>
                <w:rFonts w:cs="Arial"/>
                <w:color w:val="000000"/>
              </w:rPr>
              <w:fldChar w:fldCharType="begin"/>
            </w:r>
            <w:r w:rsidR="002F70EA" w:rsidRPr="007916B3">
              <w:rPr>
                <w:rFonts w:cs="Arial"/>
                <w:b w:val="0"/>
                <w:bCs w:val="0"/>
                <w:color w:val="000000"/>
              </w:rPr>
              <w:instrText xml:space="preserve"> ADDIN ZOTERO_ITEM CSL_CITATION {"citationID":"a1fpo9o49td","properties":{"unsorted":false,"formattedCitation":"\\super 11\\nosupersub{}","plainCitation":"11","noteIndex":0},"citationItems":[{"id":825,"uris":["http://zotero.org/users/8267882/items/UQRJLUBF"],"itemData":{"id":825,"type":"article-journal","abstract":"Several factors can either increase or buffer the effects of climate change on the volatility of grain prices. A study shows that US corn price volatility is more sensitive to near-term climate change than to energy policy or agriculture–energy market integration. A biofuels mandate increases price sensitivity to climate change by more than 50%.","container-title":"Nature Climate Change","DOI":"10.1038/nclimate1491","ISSN":"1758-6798","issue":"7","journalAbbreviation":"Nature Clim Change","language":"en","license":"2012 Springer Nature Limited","note":"number: 7","page":"514-518","publisher":"Nature Publishing Group","source":"www.nature.com","title":"Response of corn markets to climate volatility under alternative energy futures","URL":"https://www.nature.com/articles/nclimate1491","volume":"2","author":[{"family":"Diffenbaugh","given":"Noah S."},{"family":"Hertel","given":"Thomas W."},{"family":"Scherer","given":"Martin"},{"family":"Verma","given":"Monika"}],"accessed":{"date-parts":[["2024",1,29]]},"issued":{"date-parts":[["2012",7]]}}}],"schema":"https://github.com/citation-style-language/schema/raw/master/csl-citation.json"} </w:instrText>
            </w:r>
            <w:r w:rsidR="00D560A5" w:rsidRPr="007916B3">
              <w:rPr>
                <w:rFonts w:cs="Arial"/>
                <w:color w:val="000000"/>
              </w:rPr>
              <w:fldChar w:fldCharType="separate"/>
            </w:r>
            <w:r w:rsidR="002F70EA" w:rsidRPr="007916B3">
              <w:rPr>
                <w:rFonts w:cs="Arial"/>
                <w:vertAlign w:val="superscript"/>
              </w:rPr>
              <w:t>11</w:t>
            </w:r>
            <w:r w:rsidR="00D560A5" w:rsidRPr="007916B3">
              <w:rPr>
                <w:rFonts w:cs="Arial"/>
                <w:color w:val="000000"/>
              </w:rPr>
              <w:fldChar w:fldCharType="end"/>
            </w:r>
          </w:p>
        </w:tc>
        <w:tc>
          <w:tcPr>
            <w:tcW w:w="802" w:type="pct"/>
            <w:tcBorders>
              <w:top w:val="single" w:sz="4" w:space="0" w:color="auto"/>
            </w:tcBorders>
            <w:vAlign w:val="center"/>
            <w:hideMark/>
          </w:tcPr>
          <w:p w14:paraId="6EE3C46A"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GTAP-BIO-AEZ</w:t>
            </w:r>
          </w:p>
        </w:tc>
        <w:tc>
          <w:tcPr>
            <w:tcW w:w="931" w:type="pct"/>
            <w:tcBorders>
              <w:top w:val="single" w:sz="4" w:space="0" w:color="auto"/>
            </w:tcBorders>
            <w:vAlign w:val="center"/>
            <w:hideMark/>
          </w:tcPr>
          <w:p w14:paraId="3C656E61" w14:textId="77777777" w:rsidR="00307E1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Global economy;</w:t>
            </w:r>
          </w:p>
          <w:p w14:paraId="32F301A8" w14:textId="742D3CAC" w:rsidR="00A637FF" w:rsidRPr="007916B3" w:rsidRDefault="00307E13"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comparative static;</w:t>
            </w:r>
            <w:r w:rsidR="00A637FF" w:rsidRPr="007916B3">
              <w:rPr>
                <w:rFonts w:cs="Arial"/>
                <w:color w:val="000000"/>
              </w:rPr>
              <w:t xml:space="preserve"> annual variability</w:t>
            </w:r>
          </w:p>
        </w:tc>
        <w:tc>
          <w:tcPr>
            <w:tcW w:w="1224" w:type="pct"/>
            <w:tcBorders>
              <w:top w:val="single" w:sz="4" w:space="0" w:color="auto"/>
            </w:tcBorders>
            <w:vAlign w:val="center"/>
            <w:hideMark/>
          </w:tcPr>
          <w:p w14:paraId="2F935A48"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Transmission of interannual maize-yield variability to commodity markets</w:t>
            </w:r>
          </w:p>
        </w:tc>
        <w:tc>
          <w:tcPr>
            <w:tcW w:w="1360" w:type="pct"/>
            <w:tcBorders>
              <w:top w:val="single" w:sz="4" w:space="0" w:color="auto"/>
            </w:tcBorders>
            <w:vAlign w:val="center"/>
            <w:hideMark/>
          </w:tcPr>
          <w:p w14:paraId="42FB443D"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Prices, trade, biofuel demand</w:t>
            </w:r>
          </w:p>
        </w:tc>
      </w:tr>
      <w:tr w:rsidR="00A637FF" w:rsidRPr="007916B3" w14:paraId="4117B56B" w14:textId="77777777" w:rsidTr="00212A06">
        <w:trPr>
          <w:trHeight w:val="1152"/>
        </w:trPr>
        <w:tc>
          <w:tcPr>
            <w:cnfStyle w:val="001000000000" w:firstRow="0" w:lastRow="0" w:firstColumn="1" w:lastColumn="0" w:oddVBand="0" w:evenVBand="0" w:oddHBand="0" w:evenHBand="0" w:firstRowFirstColumn="0" w:firstRowLastColumn="0" w:lastRowFirstColumn="0" w:lastRowLastColumn="0"/>
            <w:tcW w:w="683" w:type="pct"/>
            <w:vAlign w:val="center"/>
            <w:hideMark/>
          </w:tcPr>
          <w:p w14:paraId="08B94D01" w14:textId="3E02FF6C" w:rsidR="00A637FF" w:rsidRPr="007916B3" w:rsidRDefault="00A637FF" w:rsidP="00212A06">
            <w:pPr>
              <w:rPr>
                <w:rFonts w:cs="Arial"/>
                <w:b w:val="0"/>
                <w:bCs w:val="0"/>
                <w:color w:val="000000"/>
              </w:rPr>
            </w:pPr>
            <w:r w:rsidRPr="007916B3">
              <w:rPr>
                <w:rFonts w:cs="Arial"/>
                <w:b w:val="0"/>
                <w:bCs w:val="0"/>
                <w:color w:val="000000"/>
              </w:rPr>
              <w:t>Nelson et al. (2014)</w:t>
            </w:r>
            <w:r w:rsidR="00D560A5" w:rsidRPr="007916B3">
              <w:rPr>
                <w:rFonts w:cs="Arial"/>
                <w:color w:val="000000"/>
              </w:rPr>
              <w:fldChar w:fldCharType="begin"/>
            </w:r>
            <w:r w:rsidR="002F70EA" w:rsidRPr="007916B3">
              <w:rPr>
                <w:rFonts w:cs="Arial"/>
                <w:b w:val="0"/>
                <w:bCs w:val="0"/>
                <w:color w:val="000000"/>
              </w:rPr>
              <w:instrText xml:space="preserve"> ADDIN ZOTERO_ITEM CSL_CITATION {"citationID":"a2blcj9d0i9","properties":{"unsorted":false,"formattedCitation":"\\super 15\\nosupersub{}","plainCitation":"15","noteIndex":0},"citationItems":[{"id":16,"uris":["http://zotero.org/users/8267882/items/L3YY3KG6"],"itemData":{"id":16,"type":"article-journal","abstract":"Agricultural production is sensitive to weather and thus directly affected by climate change. Plausible estimates of these climate change impacts require combined use of climate, crop, and economic models. Results from previous studies vary substantially due to differences in models, scenarios, and data. This paper is part of a collective effort to systematically integrate these three types of models. We focus on the economic component of the assessment, investigating how nine global economic models of agriculture represent endogenous responses to seven standardized climate change scenarios produced by two climate and five crop models. These responses include adjustments in yields, area, consumption, and international trade. We apply biophysical shocks derived from the Intergovernmental Panel on Climate Change’s representative concentration pathway with end-of-century radiative forcing of 8.5 W/m2. The mean biophysical yield effect with no incremental CO2 fertilization is a 17% reduction globally by 2050 relative to a scenario with unchanging climate. Endogenous economic responses reduce yield loss to 11%, increase area of major crops by 11%, and reduce consumption by 3%. Agricultural production, cropland area, trade, and prices show the greatest degree of variability in response to climate change, and consumption the lowest. The sources of these differences include model structure and specification; in particular, model assumptions about ease of land use conversion, intensification, and trade. This study identifies where models disagree on the relative responses to climate shocks and highlights research activities needed to improve the representation of agricultural adaptation responses to climate change.","container-title":"Proceedings of the National Academy of Sciences","DOI":"10.1073/pnas.1222465110","issue":"9","page":"3274-3279","publisher":"Proceedings of the National Academy of Sciences","source":"pnas.org (Atypon)","title":"Climate change effects on agriculture: Economic responses to biophysical shocks","title-short":"Climate change effects on agriculture","URL":"https://www.pnas.org/doi/abs/10.1073/pnas.1222465110","volume":"111","author":[{"family":"Nelson","given":"Gerald C."},{"family":"Valin","given":"Hugo"},{"family":"Sands","given":"Ronald D."},{"family":"Havlík","given":"Petr"},{"family":"Ahammad","given":"Helal"},{"family":"Deryng","given":"Delphine"},{"family":"Elliott","given":"Joshua"},{"family":"Fujimori","given":"Shinichiro"},{"family":"Hasegawa","given":"Tomoko"},{"family":"Heyhoe","given":"Edwina"},{"family":"Kyle","given":"Page"},{"family":"Von Lampe","given":"Martin"},{"family":"Lotze-Campen","given":"Hermann"},{"family":"Mason d’Croz","given":"Daniel"},{"family":"Meijl","given":"Hans","non-dropping-particle":"van"},{"family":"Mensbrugghe","given":"Dominique","non-dropping-particle":"van der"},{"family":"Müller","given":"Christoph"},{"family":"Popp","given":"Alexander"},{"family":"Robertson","given":"Richard"},{"family":"Robinson","given":"Sherman"},{"family":"Schmid","given":"Erwin"},{"family":"Schmitz","given":"Christoph"},{"family":"Tabeau","given":"Andrzej"},{"family":"Willenbockel","given":"Dirk"}],"accessed":{"date-parts":[["2023",8,3]]},"issued":{"date-parts":[["2014",3,4]]}}}],"schema":"https://github.com/citation-style-language/schema/raw/master/csl-citation.json"} </w:instrText>
            </w:r>
            <w:r w:rsidR="00D560A5" w:rsidRPr="007916B3">
              <w:rPr>
                <w:rFonts w:cs="Arial"/>
                <w:color w:val="000000"/>
              </w:rPr>
              <w:fldChar w:fldCharType="separate"/>
            </w:r>
            <w:r w:rsidR="002F70EA" w:rsidRPr="007916B3">
              <w:rPr>
                <w:rFonts w:cs="Arial"/>
                <w:vertAlign w:val="superscript"/>
              </w:rPr>
              <w:t>15</w:t>
            </w:r>
            <w:r w:rsidR="00D560A5" w:rsidRPr="007916B3">
              <w:rPr>
                <w:rFonts w:cs="Arial"/>
                <w:color w:val="000000"/>
              </w:rPr>
              <w:fldChar w:fldCharType="end"/>
            </w:r>
          </w:p>
        </w:tc>
        <w:tc>
          <w:tcPr>
            <w:tcW w:w="802" w:type="pct"/>
            <w:vAlign w:val="center"/>
            <w:hideMark/>
          </w:tcPr>
          <w:p w14:paraId="47CBE186"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Nine global economic models (AgMIP)</w:t>
            </w:r>
          </w:p>
        </w:tc>
        <w:tc>
          <w:tcPr>
            <w:tcW w:w="931" w:type="pct"/>
            <w:vAlign w:val="center"/>
            <w:hideMark/>
          </w:tcPr>
          <w:p w14:paraId="7397BA6D"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Global; to 2050</w:t>
            </w:r>
          </w:p>
        </w:tc>
        <w:tc>
          <w:tcPr>
            <w:tcW w:w="1224" w:type="pct"/>
            <w:vAlign w:val="center"/>
            <w:hideMark/>
          </w:tcPr>
          <w:p w14:paraId="1ED7E541"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Economic responses to harmonized biophysical crop-yield shocks</w:t>
            </w:r>
          </w:p>
        </w:tc>
        <w:tc>
          <w:tcPr>
            <w:tcW w:w="1360" w:type="pct"/>
            <w:vAlign w:val="center"/>
            <w:hideMark/>
          </w:tcPr>
          <w:p w14:paraId="5B82B99D"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Endogenous yield, harvested area, production, consumption, trade, prices</w:t>
            </w:r>
          </w:p>
        </w:tc>
      </w:tr>
      <w:tr w:rsidR="00A637FF" w:rsidRPr="007916B3" w14:paraId="7766AC25" w14:textId="77777777" w:rsidTr="00212A06">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683" w:type="pct"/>
            <w:vAlign w:val="center"/>
            <w:hideMark/>
          </w:tcPr>
          <w:p w14:paraId="4597AD9A" w14:textId="3C0B7386" w:rsidR="00A637FF" w:rsidRPr="007916B3" w:rsidRDefault="00A637FF" w:rsidP="00212A06">
            <w:pPr>
              <w:rPr>
                <w:rFonts w:cs="Arial"/>
                <w:b w:val="0"/>
                <w:bCs w:val="0"/>
                <w:color w:val="000000"/>
              </w:rPr>
            </w:pPr>
            <w:r w:rsidRPr="007916B3">
              <w:rPr>
                <w:rFonts w:cs="Arial"/>
                <w:b w:val="0"/>
                <w:bCs w:val="0"/>
                <w:color w:val="000000"/>
              </w:rPr>
              <w:t>Puma et al. (2015)</w:t>
            </w:r>
            <w:r w:rsidR="00D560A5" w:rsidRPr="007916B3">
              <w:rPr>
                <w:rFonts w:cs="Arial"/>
                <w:color w:val="000000"/>
              </w:rPr>
              <w:fldChar w:fldCharType="begin"/>
            </w:r>
            <w:r w:rsidR="007916B3" w:rsidRPr="007916B3">
              <w:rPr>
                <w:rFonts w:cs="Arial"/>
                <w:b w:val="0"/>
                <w:bCs w:val="0"/>
                <w:color w:val="000000"/>
              </w:rPr>
              <w:instrText xml:space="preserve"> ADDIN ZOTERO_ITEM CSL_CITATION {"citationID":"a2njpl5j84f","properties":{"unsorted":false,"formattedCitation":"\\super 22\\nosupersub{}","plainCitation":"22","noteIndex":0},"citationItems":[{"id":131,"uris":["http://zotero.org/users/8267882/items/8PIM8SJ3"],"itemData":{"id":131,"type":"article-journal","abstract":"The world food crisis in 2008 highlighted the susceptibility of the global food system to price shocks. Here we use annual staple food production and trade data from 1992–2009 to analyse the changing properties of the global food system. Over the 18 year study period, we show that the global food system is relatively homogeneous (85% of countries have low or marginal food self-sufficiency) and increases in complexity, with the number of global wheat and rice trade connections doubling and trade flows increasing by 42 and 90%, respectively. The increased connectivity and flows within these global trade networks suggest that the global food system is vulnerable to systemic disruptions, especially considering the tendency for exporting countries to switch to non-exporting states during times of food scarcity in the global markets. To test this hypothesis, we superimpose continental-scale disruptions on the wheat and rice trade networks. We find greater absolute reductions in global wheat and rice exports along with larger losses in network connectivity as the networks evolve due to disruptions in European wheat and Asian rice production. Importantly, our findings indicate that least developed countries suffer greater import losses in more connected networks through their increased dependence on imports for staple foods (due to these large-scale disturbances): mean (median) wheat losses as percentages of staple food supply are 8.9% (3.8%) for 1992–1996, increasing to 11% (5.7%) for 2005–2009. Over the same intervals, rice losses increase from 8.2% (2.2%) to 14% (5.2%). Our work indicates that policy efforts should focus on balancing the efficiency of international trade (and its associated specialization) with increased resilience of domestic production and global demand diversity.","container-title":"Environmental Research Letters","DOI":"10.1088/1748-9326/10/2/024007","ISSN":"1748-9326","issue":"2","journalAbbreviation":"Environ. Res. Lett.","language":"en","page":"024007","publisher":"IOP Publishing","source":"Institute of Physics","title":"Assessing the evolving fragility of the global food system","URL":"https://doi.org/10.1088/1748-9326/10/2/024007","volume":"10","author":[{"family":"Puma","given":"Michael J."},{"family":"Bose","given":"Satyajit"},{"family":"Chon","given":"So Young"},{"family":"Cook","given":"Benjamin I."}],"accessed":{"date-parts":[["2021",9,19]]},"issued":{"date-parts":[["2015",2]]}}}],"schema":"https://github.com/citation-style-language/schema/raw/master/csl-citation.json"} </w:instrText>
            </w:r>
            <w:r w:rsidR="00D560A5" w:rsidRPr="007916B3">
              <w:rPr>
                <w:rFonts w:cs="Arial"/>
                <w:color w:val="000000"/>
              </w:rPr>
              <w:fldChar w:fldCharType="separate"/>
            </w:r>
            <w:r w:rsidR="007916B3" w:rsidRPr="007916B3">
              <w:rPr>
                <w:rFonts w:cs="Arial"/>
                <w:vertAlign w:val="superscript"/>
              </w:rPr>
              <w:t>22</w:t>
            </w:r>
            <w:r w:rsidR="00D560A5" w:rsidRPr="007916B3">
              <w:rPr>
                <w:rFonts w:cs="Arial"/>
                <w:color w:val="000000"/>
              </w:rPr>
              <w:fldChar w:fldCharType="end"/>
            </w:r>
          </w:p>
        </w:tc>
        <w:tc>
          <w:tcPr>
            <w:tcW w:w="802" w:type="pct"/>
            <w:vAlign w:val="center"/>
            <w:hideMark/>
          </w:tcPr>
          <w:p w14:paraId="66EBBDB7"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Global food-trade network analysis</w:t>
            </w:r>
          </w:p>
        </w:tc>
        <w:tc>
          <w:tcPr>
            <w:tcW w:w="931" w:type="pct"/>
            <w:vAlign w:val="center"/>
            <w:hideMark/>
          </w:tcPr>
          <w:p w14:paraId="7CDA0E56"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Global; wheat and rice; historical networks and disruption experiments</w:t>
            </w:r>
          </w:p>
        </w:tc>
        <w:tc>
          <w:tcPr>
            <w:tcW w:w="1224" w:type="pct"/>
            <w:vAlign w:val="center"/>
            <w:hideMark/>
          </w:tcPr>
          <w:p w14:paraId="5464F8EB"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Vulnerability of global food trade to large supply disruptions</w:t>
            </w:r>
          </w:p>
        </w:tc>
        <w:tc>
          <w:tcPr>
            <w:tcW w:w="1360" w:type="pct"/>
            <w:vAlign w:val="center"/>
            <w:hideMark/>
          </w:tcPr>
          <w:p w14:paraId="40AE3CFE"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Trade connectivity, import dependence, export restrictions</w:t>
            </w:r>
          </w:p>
        </w:tc>
      </w:tr>
      <w:tr w:rsidR="00A637FF" w:rsidRPr="007916B3" w14:paraId="16BC640E" w14:textId="77777777" w:rsidTr="00212A06">
        <w:trPr>
          <w:trHeight w:val="1152"/>
        </w:trPr>
        <w:tc>
          <w:tcPr>
            <w:cnfStyle w:val="001000000000" w:firstRow="0" w:lastRow="0" w:firstColumn="1" w:lastColumn="0" w:oddVBand="0" w:evenVBand="0" w:oddHBand="0" w:evenHBand="0" w:firstRowFirstColumn="0" w:firstRowLastColumn="0" w:lastRowFirstColumn="0" w:lastRowLastColumn="0"/>
            <w:tcW w:w="683" w:type="pct"/>
            <w:vAlign w:val="center"/>
            <w:hideMark/>
          </w:tcPr>
          <w:p w14:paraId="38E6F968" w14:textId="5BF3AABB" w:rsidR="00A637FF" w:rsidRPr="007916B3" w:rsidRDefault="00A637FF" w:rsidP="00212A06">
            <w:pPr>
              <w:rPr>
                <w:rFonts w:cs="Arial"/>
                <w:b w:val="0"/>
                <w:bCs w:val="0"/>
                <w:color w:val="000000"/>
              </w:rPr>
            </w:pPr>
            <w:r w:rsidRPr="007916B3">
              <w:rPr>
                <w:rFonts w:cs="Arial"/>
                <w:b w:val="0"/>
                <w:bCs w:val="0"/>
                <w:color w:val="000000"/>
              </w:rPr>
              <w:t>Janssens et al. (2020)</w:t>
            </w:r>
            <w:r w:rsidR="00D560A5" w:rsidRPr="007916B3">
              <w:rPr>
                <w:rFonts w:cs="Arial"/>
                <w:color w:val="000000"/>
              </w:rPr>
              <w:fldChar w:fldCharType="begin"/>
            </w:r>
            <w:r w:rsidR="007916B3" w:rsidRPr="007916B3">
              <w:rPr>
                <w:rFonts w:cs="Arial"/>
                <w:b w:val="0"/>
                <w:bCs w:val="0"/>
                <w:color w:val="000000"/>
              </w:rPr>
              <w:instrText xml:space="preserve"> ADDIN ZOTERO_ITEM CSL_CITATION {"citationID":"a8lef94o2b","properties":{"unsorted":false,"formattedCitation":"\\super 23\\nosupersub{}","plainCitation":"23","noteIndex":0},"citationItems":[{"id":279,"uris":["http://zotero.org/users/8267882/items/CP5T2R4N"],"itemData":{"id":279,"type":"article-journal","abstract":"International trade enables us to exploit regional differences in climate change impacts and is increasingly regarded as a potential adaptation mechanism. Here, we focus on hunger reduction through international trade under alternative trade scenarios for a wide range of climate futures. Under the current level of trade integration, climate change would lead to up to 55 million people who are undernourished in 2050. Without adaptation through trade, the impacts of global climate change would increase to 73 million people who are undernourished (+33%). Reduction in tariffs as well as institutional and infrastructural barriers would decrease the negative impact to 20 million (−64%) people. We assess the adaptation effect of trade and climate-induced specialization patterns. The adaptation effect is strongest for hunger-affected import-dependent regions. However, in hunger-affected export-oriented regions, partial trade integration can lead to increased exports at the expense of domestic food availability. Although trade integration is a key component of adaptation, it needs sensitive implementation to benefit all regions.","container-title":"Nature Climate Change","DOI":"10.1038/s41558-020-0847-4","ISSN":"1758-6798","issue":"9","journalAbbreviation":"Nat. Clim. Chang.","language":"en","license":"2020 The Author(s), under exclusive licence to Springer Nature Limited","note":"Bandiera_abtest: a\nCg_type: Nature Research Journals\nnumber: 9\nPrimary_atype: Research\nSubject_term: Agriculture;Climate-change impacts;Economics\nSubject_term_id: agriculture;climate-change-impacts;economics","page":"829-835","publisher":"Nature Publishing Group","source":"www.nature.com","title":"Global hunger and climate change adaptation through international trade","URL":"https://www.nature.com/articles/s41558-020-0847-4","volume":"10","author":[{"family":"Janssens","given":"Charlotte"},{"family":"Havlík","given":"Petr"},{"family":"Krisztin","given":"Tamás"},{"family":"Baker","given":"Justin"},{"family":"Frank","given":"Stefan"},{"family":"Hasegawa","given":"Tomoko"},{"family":"Leclère","given":"David"},{"family":"Ohrel","given":"Sara"},{"family":"Ragnauth","given":"Shaun"},{"family":"Schmid","given":"Erwin"},{"family":"Valin","given":"Hugo"},{"family":"Van Lipzig","given":"Nicole"},{"family":"Maertens","given":"Miet"}],"accessed":{"date-parts":[["2021",9,25]]},"issued":{"date-parts":[["2020",9]]}}}],"schema":"https://github.com/citation-style-language/schema/raw/master/csl-citation.json"} </w:instrText>
            </w:r>
            <w:r w:rsidR="00D560A5" w:rsidRPr="007916B3">
              <w:rPr>
                <w:rFonts w:cs="Arial"/>
                <w:color w:val="000000"/>
              </w:rPr>
              <w:fldChar w:fldCharType="separate"/>
            </w:r>
            <w:r w:rsidR="007916B3" w:rsidRPr="007916B3">
              <w:rPr>
                <w:rFonts w:cs="Arial"/>
                <w:vertAlign w:val="superscript"/>
              </w:rPr>
              <w:t>23</w:t>
            </w:r>
            <w:r w:rsidR="00D560A5" w:rsidRPr="007916B3">
              <w:rPr>
                <w:rFonts w:cs="Arial"/>
                <w:color w:val="000000"/>
              </w:rPr>
              <w:fldChar w:fldCharType="end"/>
            </w:r>
          </w:p>
        </w:tc>
        <w:tc>
          <w:tcPr>
            <w:tcW w:w="802" w:type="pct"/>
            <w:vAlign w:val="center"/>
            <w:hideMark/>
          </w:tcPr>
          <w:p w14:paraId="0FFAEF43"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GLOBIOM</w:t>
            </w:r>
          </w:p>
        </w:tc>
        <w:tc>
          <w:tcPr>
            <w:tcW w:w="931" w:type="pct"/>
            <w:vAlign w:val="center"/>
            <w:hideMark/>
          </w:tcPr>
          <w:p w14:paraId="28B9A712"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Global; to 2050</w:t>
            </w:r>
          </w:p>
        </w:tc>
        <w:tc>
          <w:tcPr>
            <w:tcW w:w="1224" w:type="pct"/>
            <w:vAlign w:val="center"/>
            <w:hideMark/>
          </w:tcPr>
          <w:p w14:paraId="754B2D2F"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International trade as adaptation to heterogeneous biophysical yield impacts</w:t>
            </w:r>
          </w:p>
        </w:tc>
        <w:tc>
          <w:tcPr>
            <w:tcW w:w="1360" w:type="pct"/>
            <w:vAlign w:val="center"/>
            <w:hideMark/>
          </w:tcPr>
          <w:p w14:paraId="6011677F"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Production, management/intensification, land allocation, consumption, trade, prices</w:t>
            </w:r>
          </w:p>
        </w:tc>
      </w:tr>
      <w:tr w:rsidR="00A637FF" w:rsidRPr="007916B3" w14:paraId="2D9ADC62" w14:textId="77777777" w:rsidTr="00212A06">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683" w:type="pct"/>
            <w:vAlign w:val="center"/>
            <w:hideMark/>
          </w:tcPr>
          <w:p w14:paraId="54573CA9" w14:textId="15F3FFA2" w:rsidR="00A637FF" w:rsidRPr="007916B3" w:rsidRDefault="00A637FF" w:rsidP="00212A06">
            <w:pPr>
              <w:rPr>
                <w:rFonts w:cs="Arial"/>
                <w:b w:val="0"/>
                <w:bCs w:val="0"/>
                <w:color w:val="000000"/>
              </w:rPr>
            </w:pPr>
            <w:r w:rsidRPr="007916B3">
              <w:rPr>
                <w:rFonts w:cs="Arial"/>
                <w:b w:val="0"/>
                <w:bCs w:val="0"/>
                <w:color w:val="000000"/>
              </w:rPr>
              <w:t>Zhao et al. (2021)</w:t>
            </w:r>
            <w:r w:rsidR="00D560A5" w:rsidRPr="007916B3">
              <w:rPr>
                <w:rFonts w:cs="Arial"/>
                <w:color w:val="000000"/>
              </w:rPr>
              <w:fldChar w:fldCharType="begin"/>
            </w:r>
            <w:r w:rsidR="002F70EA" w:rsidRPr="007916B3">
              <w:rPr>
                <w:rFonts w:cs="Arial"/>
                <w:b w:val="0"/>
                <w:bCs w:val="0"/>
                <w:color w:val="000000"/>
              </w:rPr>
              <w:instrText xml:space="preserve"> ADDIN ZOTERO_ITEM CSL_CITATION {"citationID":"agrv1mho14","properties":{"unsorted":false,"formattedCitation":"\\super 14\\nosupersub{}","plainCitation":"14","noteIndex":0},"citationItems":[{"id":610,"uris":["http://zotero.org/users/8267882/items/N5H43RTC"],"itemData":{"id":610,"type":"article-journal","abstract":"Most studies assessing climate impacts on agriculture have focused on average changes in market-mediated responses (e.g. changes in land use, production, and consumption). However, the response of global agricultural markets to interannual variability (IAV) in climate and biophysical shocks is poorly understood and not well represented in global economic models. Here we show a strong transmission of IAVs in climate-induced biophysical yield shocks to agriculture markets, which is further magnified by endogenous market fluctuations generated due to producers’ imperfect expectations of market and weather conditions. We demonstrate that the volatility of crop prices and consumption could be significantly underestimated (i.e. on average by 55% and 41%, respectively) by assuming perfect foresight, a standard assumption in the economic equilibrium modeling, compared with the relatively more realistic adaptive expectations. We also find heterogeneity in IAV across crops and regions, which is considerably mediated by international trade. Studying IAV provides fundamentally new insights on measuring and understanding climate impacts on global agriculture, and our framework lays the foundation for further investigating the full range of climate impacts on biophysical and human systems.","container-title":"Environmental Research Letters","DOI":"10.1088/1748-9326/ac2965","ISSN":"1748-9326","issue":"10","journalAbbreviation":"Environ. Res. Lett.","language":"en","license":"Creative Commons Attribution-NonCommercial-ShareAlike 4.0 International License (CC-BY-NC-SA)","page":"104037","publisher":"IOP Publishing","source":"Institute of Physics","title":"Global agricultural responses to interannual climate and biophysical variability","URL":"https://doi.org/10.1088/1748-9326/ac2965","volume":"16","author":[{"family":"Zhao","given":"Xin"},{"family":"Calvin","given":"Katherine V."},{"family":"Wise","given":"Marshall A."},{"family":"Patel","given":"Pralit L."},{"family":"Snyder","given":"Abigail C."},{"family":"Waldhoff","given":"Stephanie T."},{"family":"Hejazi","given":"Mohamad I."},{"family":"Edmonds","given":"James A."}],"accessed":{"date-parts":[["2022",8,24]]},"issued":{"date-parts":[["2021",10]]}}}],"schema":"https://github.com/citation-style-language/schema/raw/master/csl-citation.json"} </w:instrText>
            </w:r>
            <w:r w:rsidR="00D560A5" w:rsidRPr="007916B3">
              <w:rPr>
                <w:rFonts w:cs="Arial"/>
                <w:color w:val="000000"/>
              </w:rPr>
              <w:fldChar w:fldCharType="separate"/>
            </w:r>
            <w:r w:rsidR="002F70EA" w:rsidRPr="007916B3">
              <w:rPr>
                <w:rFonts w:cs="Arial"/>
                <w:vertAlign w:val="superscript"/>
              </w:rPr>
              <w:t>14</w:t>
            </w:r>
            <w:r w:rsidR="00D560A5" w:rsidRPr="007916B3">
              <w:rPr>
                <w:rFonts w:cs="Arial"/>
                <w:color w:val="000000"/>
              </w:rPr>
              <w:fldChar w:fldCharType="end"/>
            </w:r>
          </w:p>
        </w:tc>
        <w:tc>
          <w:tcPr>
            <w:tcW w:w="802" w:type="pct"/>
            <w:vAlign w:val="center"/>
            <w:hideMark/>
          </w:tcPr>
          <w:p w14:paraId="31BEF57D" w14:textId="3DDD5848"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GCAM</w:t>
            </w:r>
          </w:p>
        </w:tc>
        <w:tc>
          <w:tcPr>
            <w:tcW w:w="931" w:type="pct"/>
            <w:vAlign w:val="center"/>
            <w:hideMark/>
          </w:tcPr>
          <w:p w14:paraId="42AB150A" w14:textId="77777777" w:rsidR="00A637FF"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Global; multi-crop; interannual</w:t>
            </w:r>
            <w:r w:rsidR="00A90237">
              <w:rPr>
                <w:rFonts w:cs="Arial"/>
                <w:color w:val="000000"/>
              </w:rPr>
              <w:t>;</w:t>
            </w:r>
          </w:p>
          <w:p w14:paraId="05DC8AF0" w14:textId="46714CDD" w:rsidR="00A90237" w:rsidRPr="007916B3" w:rsidRDefault="00A90237"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20</w:t>
            </w:r>
            <w:r>
              <w:rPr>
                <w:rFonts w:cs="Arial"/>
                <w:color w:val="000000"/>
              </w:rPr>
              <w:t>1</w:t>
            </w:r>
            <w:r w:rsidRPr="007916B3">
              <w:rPr>
                <w:rFonts w:cs="Arial"/>
                <w:color w:val="000000"/>
              </w:rPr>
              <w:t>0–2050</w:t>
            </w:r>
          </w:p>
        </w:tc>
        <w:tc>
          <w:tcPr>
            <w:tcW w:w="1224" w:type="pct"/>
            <w:vAlign w:val="center"/>
            <w:hideMark/>
          </w:tcPr>
          <w:p w14:paraId="78CADA72"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Transmission of interannual biophysical yield variability through agricultural markets</w:t>
            </w:r>
          </w:p>
        </w:tc>
        <w:tc>
          <w:tcPr>
            <w:tcW w:w="1360" w:type="pct"/>
            <w:vAlign w:val="center"/>
            <w:hideMark/>
          </w:tcPr>
          <w:p w14:paraId="192B4FA3"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Production, land allocation, consumption, trade, prices</w:t>
            </w:r>
          </w:p>
        </w:tc>
      </w:tr>
      <w:tr w:rsidR="00A637FF" w:rsidRPr="007916B3" w14:paraId="38507652" w14:textId="77777777" w:rsidTr="00212A06">
        <w:trPr>
          <w:trHeight w:val="1152"/>
        </w:trPr>
        <w:tc>
          <w:tcPr>
            <w:cnfStyle w:val="001000000000" w:firstRow="0" w:lastRow="0" w:firstColumn="1" w:lastColumn="0" w:oddVBand="0" w:evenVBand="0" w:oddHBand="0" w:evenHBand="0" w:firstRowFirstColumn="0" w:firstRowLastColumn="0" w:lastRowFirstColumn="0" w:lastRowLastColumn="0"/>
            <w:tcW w:w="683" w:type="pct"/>
            <w:vAlign w:val="center"/>
            <w:hideMark/>
          </w:tcPr>
          <w:p w14:paraId="29056FF9" w14:textId="4C96B92C" w:rsidR="00A637FF" w:rsidRPr="007916B3" w:rsidRDefault="00A637FF" w:rsidP="00212A06">
            <w:pPr>
              <w:rPr>
                <w:rFonts w:cs="Arial"/>
                <w:b w:val="0"/>
                <w:bCs w:val="0"/>
                <w:color w:val="000000"/>
              </w:rPr>
            </w:pPr>
            <w:r w:rsidRPr="007916B3">
              <w:rPr>
                <w:rFonts w:cs="Arial"/>
                <w:b w:val="0"/>
                <w:bCs w:val="0"/>
                <w:color w:val="000000"/>
              </w:rPr>
              <w:t>Hasegawa et al. (2021)</w:t>
            </w:r>
            <w:r w:rsidR="00D560A5" w:rsidRPr="007916B3">
              <w:rPr>
                <w:rFonts w:cs="Arial"/>
                <w:color w:val="000000"/>
              </w:rPr>
              <w:fldChar w:fldCharType="begin"/>
            </w:r>
            <w:r w:rsidR="00905E79">
              <w:rPr>
                <w:rFonts w:cs="Arial"/>
                <w:b w:val="0"/>
                <w:bCs w:val="0"/>
                <w:color w:val="000000"/>
              </w:rPr>
              <w:instrText xml:space="preserve"> ADDIN ZOTERO_ITEM CSL_CITATION {"citationID":"a1vo4cksaes","properties":{"unsorted":false,"formattedCitation":"\\super 18\\nosupersub{}","plainCitation":"18","noteIndex":0},"citationItems":[{"id":204,"uris":["http://zotero.org/users/8267882/items/NVI2RCN9"],"itemData":{"id":204,"type":"article-journal","abstract":"Climate change is expected to increase the frequency, intensity and spatial extent of extreme climate events, and thus is a key concern for food production. However, food insecurity is usually analysed under a mean climate change state. Here we combine crop modelling and climate scenarios to estimate the effects of extreme climate events on future food insecurity. Relative to median-level climate change, we find that an additional 20–36% and 11–33% population may face hunger by 2050 under a once-per-100-yr extreme climate event under high and low emission scenarios, respectively. In some affected regions, such as South Asia, the amount of food required to offset such an effect is triple the region’s current food reserves. Better-targeted food reserves and other adaptation measures could help fill the consumption gap in the face of extreme climate variability.","container-title":"Nature Food","DOI":"10.1038/s43016-021-00335-4","ISSN":"2662-1355","issue":"8","journalAbbreviation":"Nat Food","language":"en","license":"2021 The Author(s), under exclusive licence to Springer Nature Limited","note":"Bandiera_abtest: a\nCg_type: Nature Research Journals\nnumber: 8\nPrimary_atype: Research\nSubject_term: Climate-change impacts;Environmental impact\nSubject_term_id: climate-change-impacts;environmental-impact","page":"587-595","publisher":"Nature Publishing Group","source":"www.nature.com","title":"Extreme climate events increase risk of global food insecurity and adaptation needs","URL":"https://www.nature.com/articles/s43016-021-00335-4","volume":"2","author":[{"family":"Hasegawa","given":"Tomoko"},{"family":"Sakurai","given":"Gen"},{"family":"Fujimori","given":"Shinichiro"},{"family":"Takahashi","given":"Kiyoshi"},{"family":"Hijioka","given":"Yasuaki"},{"family":"Masui","given":"Toshihiko"}],"accessed":{"date-parts":[["2021",10,11]]},"issued":{"date-parts":[["2021",8]]}}}],"schema":"https://github.com/citation-style-language/schema/raw/master/csl-citation.json"} </w:instrText>
            </w:r>
            <w:r w:rsidR="00D560A5" w:rsidRPr="007916B3">
              <w:rPr>
                <w:rFonts w:cs="Arial"/>
                <w:color w:val="000000"/>
              </w:rPr>
              <w:fldChar w:fldCharType="separate"/>
            </w:r>
            <w:r w:rsidR="00905E79" w:rsidRPr="00905E79">
              <w:rPr>
                <w:rFonts w:cs="Arial"/>
                <w:vertAlign w:val="superscript"/>
              </w:rPr>
              <w:t>18</w:t>
            </w:r>
            <w:r w:rsidR="00D560A5" w:rsidRPr="007916B3">
              <w:rPr>
                <w:rFonts w:cs="Arial"/>
                <w:color w:val="000000"/>
              </w:rPr>
              <w:fldChar w:fldCharType="end"/>
            </w:r>
          </w:p>
        </w:tc>
        <w:tc>
          <w:tcPr>
            <w:tcW w:w="802" w:type="pct"/>
            <w:vAlign w:val="center"/>
            <w:hideMark/>
          </w:tcPr>
          <w:p w14:paraId="50A56B2A"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AIM/Hub (AIM/CGE) + crop-model ensemble</w:t>
            </w:r>
          </w:p>
        </w:tc>
        <w:tc>
          <w:tcPr>
            <w:tcW w:w="931" w:type="pct"/>
            <w:vAlign w:val="center"/>
            <w:hideMark/>
          </w:tcPr>
          <w:p w14:paraId="750CFD93" w14:textId="78995F48"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Global; extreme events evaluated for 2020–2050</w:t>
            </w:r>
          </w:p>
        </w:tc>
        <w:tc>
          <w:tcPr>
            <w:tcW w:w="1224" w:type="pct"/>
            <w:vAlign w:val="center"/>
            <w:hideMark/>
          </w:tcPr>
          <w:p w14:paraId="0E68F002"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Food-security consequences of extreme biophysical yield events</w:t>
            </w:r>
          </w:p>
        </w:tc>
        <w:tc>
          <w:tcPr>
            <w:tcW w:w="1360" w:type="pct"/>
            <w:vAlign w:val="center"/>
            <w:hideMark/>
          </w:tcPr>
          <w:p w14:paraId="6ACC3D16"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Production, land, prices, consumption, trade, hunger risk</w:t>
            </w:r>
          </w:p>
        </w:tc>
      </w:tr>
      <w:tr w:rsidR="00A637FF" w:rsidRPr="007916B3" w14:paraId="4B55DEB1" w14:textId="77777777" w:rsidTr="00212A06">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683" w:type="pct"/>
            <w:vAlign w:val="center"/>
            <w:hideMark/>
          </w:tcPr>
          <w:p w14:paraId="01D7EF0D" w14:textId="0EA2AB3D" w:rsidR="00A637FF" w:rsidRPr="007916B3" w:rsidRDefault="00A637FF" w:rsidP="00212A06">
            <w:pPr>
              <w:rPr>
                <w:rFonts w:cs="Arial"/>
                <w:b w:val="0"/>
                <w:bCs w:val="0"/>
                <w:color w:val="000000"/>
              </w:rPr>
            </w:pPr>
            <w:r w:rsidRPr="007916B3">
              <w:rPr>
                <w:rFonts w:cs="Arial"/>
                <w:b w:val="0"/>
                <w:bCs w:val="0"/>
                <w:color w:val="000000"/>
              </w:rPr>
              <w:t>Haqiqi (2024)</w:t>
            </w:r>
            <w:r w:rsidR="002F70EA" w:rsidRPr="007916B3">
              <w:rPr>
                <w:rFonts w:cs="Arial"/>
                <w:color w:val="000000"/>
              </w:rPr>
              <w:fldChar w:fldCharType="begin"/>
            </w:r>
            <w:r w:rsidR="002F70EA" w:rsidRPr="007916B3">
              <w:rPr>
                <w:rFonts w:cs="Arial"/>
                <w:b w:val="0"/>
                <w:bCs w:val="0"/>
                <w:color w:val="000000"/>
              </w:rPr>
              <w:instrText xml:space="preserve"> ADDIN ZOTERO_ITEM CSL_CITATION {"citationID":"anip8cu0rb","properties":{"unsorted":false,"formattedCitation":"\\super 13\\nosupersub{}","plainCitation":"13","noteIndex":0},"citationItems":[{"id":11587,"uris":["http://zotero.org/users/8267882/items/FRMCVW5I"],"itemData":{"id":11587,"type":"article-journal","abstract":"Climate change is intensifying the frequency and severity of extreme events, posing challenges to food security. Corn, a staple crop for billions, is particularly vulnerable to heat stress, a primary driver of yield variability. While many studies have examined the climate impact on average corn yields, little attention has been given to the climate impact on production volatility. This study investigates the future volatility and risks associated with global corn supply under climate change, evaluating the potential benefits of two key adaptation strategies: irrigation and market integration. A statistical model is employed to estimate corn yield response to heat stress and utilize NEX-GDDP-CMIP6 climate data to project future production volatility and risks of substantial yield losses. Three metrics are introduced to quantify these risks: Sigma (σ), the standard deviation of year-on-year yield change, which reflects overall yield volatility; Rho (ρ), the risk of substantial loss, defined as the probability of yield falling below a critical threshold; and beta (β), a relative risk coefficient that captures the volatility of a region’s corn production compared to the globally integrated market. The analysis reveals a concerning trend of increasing year-on-year yield volatility (σ) across most regions and climate models. This volatility increase is significant for key corn-producing regions like Brazil and the United States. While irrigated corn production exhibits a smaller rise in volatility, suggesting irrigation as a potential buffer against climate change impacts, it is not a sustainable option as it can cause groundwater depletion. On the other hand, global market integration reduces overall volatility and market risks significantly with less sustainability concerns. These findings highlight the importance of a multidimensional approach to adaptation in the food sector. While irrigation can benefit individual farmers, promoting global market integration offers a broader solution for fostering resilience and sustainability across the entire food system.","container-title":"Environmental Research: Food Systems","DOI":"10.1088/2976-601X/ad7d12","ISSN":"2976-601X","issue":"2","journalAbbreviation":"Environ. Res.: Food Syst.","language":"en","page":"021004","publisher":"IOP Publishing","source":"Institute of Physics","title":"Trade can buffer climate-induced risks and volatilities in crop supply","URL":"https://dx.doi.org/10.1088/2976-601X/ad7d12","volume":"1","author":[{"family":"Haqiqi","given":"Iman"}],"accessed":{"date-parts":[["2025",6,11]]},"issued":{"date-parts":[["2024",10]]}}}],"schema":"https://github.com/citation-style-language/schema/raw/master/csl-citation.json"} </w:instrText>
            </w:r>
            <w:r w:rsidR="002F70EA" w:rsidRPr="007916B3">
              <w:rPr>
                <w:rFonts w:cs="Arial"/>
                <w:color w:val="000000"/>
              </w:rPr>
              <w:fldChar w:fldCharType="separate"/>
            </w:r>
            <w:r w:rsidR="002F70EA" w:rsidRPr="007916B3">
              <w:rPr>
                <w:rFonts w:cs="Arial"/>
                <w:vertAlign w:val="superscript"/>
              </w:rPr>
              <w:t>13</w:t>
            </w:r>
            <w:r w:rsidR="002F70EA" w:rsidRPr="007916B3">
              <w:rPr>
                <w:rFonts w:cs="Arial"/>
                <w:color w:val="000000"/>
              </w:rPr>
              <w:fldChar w:fldCharType="end"/>
            </w:r>
          </w:p>
        </w:tc>
        <w:tc>
          <w:tcPr>
            <w:tcW w:w="802" w:type="pct"/>
            <w:vAlign w:val="center"/>
            <w:hideMark/>
          </w:tcPr>
          <w:p w14:paraId="53FA6F3B"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Statistical yield-risk and market-integration framework</w:t>
            </w:r>
          </w:p>
        </w:tc>
        <w:tc>
          <w:tcPr>
            <w:tcW w:w="931" w:type="pct"/>
            <w:vAlign w:val="center"/>
            <w:hideMark/>
          </w:tcPr>
          <w:p w14:paraId="498A1C67"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Global maize; future production variability</w:t>
            </w:r>
          </w:p>
        </w:tc>
        <w:tc>
          <w:tcPr>
            <w:tcW w:w="1224" w:type="pct"/>
            <w:vAlign w:val="center"/>
            <w:hideMark/>
          </w:tcPr>
          <w:p w14:paraId="52707076"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Irrigation and market integration as buffers against biophysical production risk</w:t>
            </w:r>
          </w:p>
        </w:tc>
        <w:tc>
          <w:tcPr>
            <w:tcW w:w="1360" w:type="pct"/>
            <w:vAlign w:val="center"/>
            <w:hideMark/>
          </w:tcPr>
          <w:p w14:paraId="3E973EED" w14:textId="77777777" w:rsidR="00A637FF" w:rsidRPr="007916B3" w:rsidRDefault="00A637F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7916B3">
              <w:rPr>
                <w:rFonts w:cs="Arial"/>
                <w:color w:val="000000"/>
              </w:rPr>
              <w:t>Irrigation, spatial market integration, regional and global supply risk</w:t>
            </w:r>
          </w:p>
        </w:tc>
      </w:tr>
      <w:tr w:rsidR="00A637FF" w:rsidRPr="007916B3" w14:paraId="30F993A7" w14:textId="77777777" w:rsidTr="00212A06">
        <w:trPr>
          <w:trHeight w:val="1152"/>
        </w:trPr>
        <w:tc>
          <w:tcPr>
            <w:cnfStyle w:val="001000000000" w:firstRow="0" w:lastRow="0" w:firstColumn="1" w:lastColumn="0" w:oddVBand="0" w:evenVBand="0" w:oddHBand="0" w:evenHBand="0" w:firstRowFirstColumn="0" w:firstRowLastColumn="0" w:lastRowFirstColumn="0" w:lastRowLastColumn="0"/>
            <w:tcW w:w="683" w:type="pct"/>
            <w:vAlign w:val="center"/>
            <w:hideMark/>
          </w:tcPr>
          <w:p w14:paraId="384D08EA" w14:textId="4F00D507" w:rsidR="00A637FF" w:rsidRPr="007916B3" w:rsidRDefault="00A637FF" w:rsidP="00212A06">
            <w:pPr>
              <w:rPr>
                <w:rFonts w:cs="Arial"/>
                <w:b w:val="0"/>
                <w:bCs w:val="0"/>
                <w:color w:val="000000"/>
              </w:rPr>
            </w:pPr>
            <w:r w:rsidRPr="007916B3">
              <w:rPr>
                <w:rFonts w:cs="Arial"/>
                <w:b w:val="0"/>
                <w:bCs w:val="0"/>
                <w:color w:val="000000"/>
              </w:rPr>
              <w:t>Sundiang et al. (2025)</w:t>
            </w:r>
            <w:r w:rsidR="002F70EA" w:rsidRPr="007916B3">
              <w:rPr>
                <w:rFonts w:cs="Arial"/>
                <w:color w:val="000000"/>
              </w:rPr>
              <w:fldChar w:fldCharType="begin"/>
            </w:r>
            <w:r w:rsidR="002F70EA" w:rsidRPr="007916B3">
              <w:rPr>
                <w:rFonts w:cs="Arial"/>
                <w:b w:val="0"/>
                <w:bCs w:val="0"/>
                <w:color w:val="000000"/>
              </w:rPr>
              <w:instrText xml:space="preserve"> ADDIN ZOTERO_ITEM CSL_CITATION {"citationID":"a6tmlrl0ub","properties":{"unsorted":false,"formattedCitation":"\\super 6\\nosupersub{}","plainCitation":"6","noteIndex":0},"citationItems":[{"id":12770,"uris":["http://zotero.org/users/8267882/items/SG3CXFAX"],"itemData":{"id":12770,"type":"article-journal","container-title":"The Lancet Planetary Health","DOI":"10.1016/j.lanplh.2025.101339","ISSN":"2542-5196","issue":"10","journalAbbreviation":"The Lancet Planetary Health","language":"English","license":"CC0 1.0 Universal Public Domain Dedication","publisher":"Elsevier","source":"www.thelancet.com","title":"Bundling measures for food systems transformation: a global, multimodel assessment","title-short":"Bundling measures for food systems transformation","URL":"https://www.thelancet.com/journals/lanplh/article/PIIS2542-5196(25)00217-7/fulltext?rss=yes","volume":"9","author":[{"family":"Sundiang","given":"Marina"},{"family":"Oliveira","given":"Thais Diniz"},{"family":"Mason-D’Croz","given":"Daniel"},{"family":"Gibson","given":"Matthew"},{"family":"Beier","given":"Felicitas"},{"family":"Benavidez","given":"Lauren"},{"family":"Bodirsky","given":"Benjamin Leon"},{"family":"Bos","given":"Astrid"},{"family":"Chepeliev","given":"Maksym"},{"family":"Chen","given":"David Meng-Chuen"},{"family":"Lange","given":"Thijs","dropping-particle":"de"},{"family":"Doelman","given":"Jonathan"},{"family":"Dunston","given":"Shahnila"},{"family":"Frank","given":"Stefan"},{"family":"Fujimori","given":"Shinichiro"},{"family":"Hasegawa","given":"Tomoko"},{"family":"Havlik","given":"Petr"},{"family":"Hristov","given":"Jordan"},{"family":"Jägermeyr","given":"Jonas"},{"family":"Kozicka","given":"Marta"},{"family":"Kuiper","given":"Marijke"},{"family":"Kyle","given":"Page"},{"family":"Lotze-Campen","given":"Hermann"},{"family":"Luchtenbelt","given":"Hermen"},{"family":"Mishra","given":"Abhijeet"},{"family":"Müller","given":"Christoph"},{"family":"Nelson","given":"Gerald"},{"family":"Palazzo","given":"Amanda"},{"family":"Domínguez","given":"Ignacio Pérez"},{"family":"Popp","given":"Alexander"},{"family":"Sands","given":"Ronald"},{"family":"Springmann","given":"Marco"},{"family":"Stehfest","given":"Elke"},{"family":"Sulser","given":"Timothy"},{"family":"Takahashi","given":"Kiyoshi"},{"family":"Tassinari","given":"Gianmaria"},{"family":"Thom","given":"Ferike"},{"family":"Thornton","given":"Philip"},{"family":"Tsuchiya","given":"Kazuaki"},{"family":"Zeist","given":"Willem-Jan","dropping-particle":"van"},{"family":"Meijl","given":"Hans","dropping-particle":"van"},{"family":"Mensbrugghe","given":"Dominique","dropping-particle":"van der"},{"family":"Vuuren","given":"Detlef Van"},{"family":"Zanten","given":"Hannah H. E.","dropping-particle":"van"},{"family":"Weindl","given":"Isabelle"},{"family":"Wiebe","given":"Keith"},{"family":"Zhao","given":"Xin"},{"family":"Herrero","given":"Mario"}],"accessed":{"date-parts":[["2025",11,5]]},"issued":{"date-parts":[["2025",10,1]]}}}],"schema":"https://github.com/citation-style-language/schema/raw/master/csl-citation.json"} </w:instrText>
            </w:r>
            <w:r w:rsidR="002F70EA" w:rsidRPr="007916B3">
              <w:rPr>
                <w:rFonts w:cs="Arial"/>
                <w:color w:val="000000"/>
              </w:rPr>
              <w:fldChar w:fldCharType="separate"/>
            </w:r>
            <w:r w:rsidR="002F70EA" w:rsidRPr="007916B3">
              <w:rPr>
                <w:rFonts w:cs="Arial"/>
                <w:vertAlign w:val="superscript"/>
              </w:rPr>
              <w:t>6</w:t>
            </w:r>
            <w:r w:rsidR="002F70EA" w:rsidRPr="007916B3">
              <w:rPr>
                <w:rFonts w:cs="Arial"/>
                <w:color w:val="000000"/>
              </w:rPr>
              <w:fldChar w:fldCharType="end"/>
            </w:r>
          </w:p>
        </w:tc>
        <w:tc>
          <w:tcPr>
            <w:tcW w:w="802" w:type="pct"/>
            <w:vAlign w:val="center"/>
            <w:hideMark/>
          </w:tcPr>
          <w:p w14:paraId="7E5BBFF6"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Ten global economic models</w:t>
            </w:r>
          </w:p>
        </w:tc>
        <w:tc>
          <w:tcPr>
            <w:tcW w:w="931" w:type="pct"/>
            <w:vAlign w:val="center"/>
            <w:hideMark/>
          </w:tcPr>
          <w:p w14:paraId="20E04119"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Global; 2020–2050</w:t>
            </w:r>
          </w:p>
        </w:tc>
        <w:tc>
          <w:tcPr>
            <w:tcW w:w="1224" w:type="pct"/>
            <w:vAlign w:val="center"/>
            <w:hideMark/>
          </w:tcPr>
          <w:p w14:paraId="562E11F4"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Economic and environmental consequences of food-system transformation</w:t>
            </w:r>
          </w:p>
        </w:tc>
        <w:tc>
          <w:tcPr>
            <w:tcW w:w="1360" w:type="pct"/>
            <w:vAlign w:val="center"/>
            <w:hideMark/>
          </w:tcPr>
          <w:p w14:paraId="4073AE7C" w14:textId="77777777" w:rsidR="00A637FF" w:rsidRPr="007916B3" w:rsidRDefault="00A637F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7916B3">
              <w:rPr>
                <w:rFonts w:cs="Arial"/>
                <w:color w:val="000000"/>
              </w:rPr>
              <w:t>Production, demand, prices, trade, land, water, nutrient use, emissions</w:t>
            </w:r>
          </w:p>
        </w:tc>
      </w:tr>
    </w:tbl>
    <w:p w14:paraId="0EAF2E10" w14:textId="77777777" w:rsidR="009D626F" w:rsidRDefault="009D626F" w:rsidP="0024552C"/>
    <w:p w14:paraId="5EEBA789" w14:textId="77777777" w:rsidR="009D626F" w:rsidRDefault="009D626F">
      <w:r>
        <w:br w:type="page"/>
      </w:r>
    </w:p>
    <w:p w14:paraId="73A0B08F" w14:textId="563636A1" w:rsidR="009D626F" w:rsidRPr="00FD3AD4" w:rsidRDefault="009D626F" w:rsidP="00A210DE">
      <w:pPr>
        <w:pStyle w:val="Caption"/>
      </w:pPr>
      <w:bookmarkStart w:id="4" w:name="_Ref238429082"/>
      <w:bookmarkStart w:id="5" w:name="_Toc241138212"/>
      <w:r w:rsidRPr="00FD3AD4">
        <w:lastRenderedPageBreak/>
        <w:t xml:space="preserve">Supplementary Table </w:t>
      </w:r>
      <w:fldSimple w:instr=" SEQ Table \* ARABIC ">
        <w:r w:rsidR="003E354C">
          <w:rPr>
            <w:noProof/>
          </w:rPr>
          <w:t>2</w:t>
        </w:r>
      </w:fldSimple>
      <w:bookmarkEnd w:id="4"/>
      <w:r w:rsidRPr="00FD3AD4">
        <w:t xml:space="preserve"> | Comparison of agricultural storage representations relevant to global economic </w:t>
      </w:r>
      <w:r w:rsidR="00FD3AD4">
        <w:t>modeling.</w:t>
      </w:r>
      <w:bookmarkEnd w:id="5"/>
    </w:p>
    <w:tbl>
      <w:tblPr>
        <w:tblStyle w:val="GridTable2-Accent3"/>
        <w:tblW w:w="5000" w:type="pct"/>
        <w:tblBorders>
          <w:top w:val="single" w:sz="4" w:space="0" w:color="auto"/>
          <w:bottom w:val="single" w:sz="4" w:space="0" w:color="auto"/>
          <w:insideH w:val="none" w:sz="0" w:space="0" w:color="auto"/>
          <w:insideV w:val="none" w:sz="0" w:space="0" w:color="auto"/>
        </w:tblBorders>
        <w:tblLook w:val="04A0" w:firstRow="1" w:lastRow="0" w:firstColumn="1" w:lastColumn="0" w:noHBand="0" w:noVBand="1"/>
      </w:tblPr>
      <w:tblGrid>
        <w:gridCol w:w="1324"/>
        <w:gridCol w:w="2004"/>
        <w:gridCol w:w="2482"/>
        <w:gridCol w:w="2795"/>
        <w:gridCol w:w="2195"/>
      </w:tblGrid>
      <w:tr w:rsidR="009D626F" w:rsidRPr="009D626F" w14:paraId="133B8CCF" w14:textId="77777777" w:rsidTr="00212A06">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613" w:type="pct"/>
            <w:tcBorders>
              <w:top w:val="none" w:sz="0" w:space="0" w:color="auto"/>
              <w:bottom w:val="single" w:sz="4" w:space="0" w:color="auto"/>
              <w:right w:val="none" w:sz="0" w:space="0" w:color="auto"/>
            </w:tcBorders>
            <w:vAlign w:val="center"/>
            <w:hideMark/>
          </w:tcPr>
          <w:p w14:paraId="34041382" w14:textId="77777777" w:rsidR="009D626F" w:rsidRPr="009D626F" w:rsidRDefault="009D626F" w:rsidP="00212A06">
            <w:pPr>
              <w:jc w:val="center"/>
              <w:rPr>
                <w:rFonts w:cs="Arial"/>
                <w:color w:val="000000"/>
              </w:rPr>
            </w:pPr>
            <w:r w:rsidRPr="009D626F">
              <w:rPr>
                <w:rFonts w:cs="Arial"/>
                <w:color w:val="000000"/>
              </w:rPr>
              <w:t>Study / model</w:t>
            </w:r>
          </w:p>
        </w:tc>
        <w:tc>
          <w:tcPr>
            <w:tcW w:w="928" w:type="pct"/>
            <w:tcBorders>
              <w:top w:val="none" w:sz="0" w:space="0" w:color="auto"/>
              <w:left w:val="none" w:sz="0" w:space="0" w:color="auto"/>
              <w:bottom w:val="single" w:sz="4" w:space="0" w:color="auto"/>
              <w:right w:val="none" w:sz="0" w:space="0" w:color="auto"/>
            </w:tcBorders>
            <w:vAlign w:val="center"/>
            <w:hideMark/>
          </w:tcPr>
          <w:p w14:paraId="1B6D37A6" w14:textId="77777777" w:rsidR="009D626F" w:rsidRPr="009D626F" w:rsidRDefault="009D626F" w:rsidP="00212A06">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Scope</w:t>
            </w:r>
          </w:p>
        </w:tc>
        <w:tc>
          <w:tcPr>
            <w:tcW w:w="1149" w:type="pct"/>
            <w:tcBorders>
              <w:top w:val="none" w:sz="0" w:space="0" w:color="auto"/>
              <w:left w:val="none" w:sz="0" w:space="0" w:color="auto"/>
              <w:bottom w:val="single" w:sz="4" w:space="0" w:color="auto"/>
              <w:right w:val="none" w:sz="0" w:space="0" w:color="auto"/>
            </w:tcBorders>
            <w:vAlign w:val="center"/>
            <w:hideMark/>
          </w:tcPr>
          <w:p w14:paraId="47FC917A" w14:textId="77777777" w:rsidR="009D626F" w:rsidRPr="009D626F" w:rsidRDefault="009D626F" w:rsidP="00212A06">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Inventory structure</w:t>
            </w:r>
          </w:p>
        </w:tc>
        <w:tc>
          <w:tcPr>
            <w:tcW w:w="1294" w:type="pct"/>
            <w:tcBorders>
              <w:top w:val="none" w:sz="0" w:space="0" w:color="auto"/>
              <w:left w:val="none" w:sz="0" w:space="0" w:color="auto"/>
              <w:bottom w:val="single" w:sz="4" w:space="0" w:color="auto"/>
              <w:right w:val="none" w:sz="0" w:space="0" w:color="auto"/>
            </w:tcBorders>
            <w:vAlign w:val="center"/>
            <w:hideMark/>
          </w:tcPr>
          <w:p w14:paraId="6A1A5E74" w14:textId="77777777" w:rsidR="009D626F" w:rsidRDefault="009D626F" w:rsidP="00212A06">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rPr>
            </w:pPr>
            <w:r>
              <w:rPr>
                <w:rFonts w:cs="Arial"/>
                <w:color w:val="000000"/>
              </w:rPr>
              <w:t>B</w:t>
            </w:r>
            <w:r w:rsidRPr="009D626F">
              <w:rPr>
                <w:rFonts w:cs="Arial"/>
                <w:color w:val="000000"/>
              </w:rPr>
              <w:t xml:space="preserve">ehavior </w:t>
            </w:r>
            <w:r>
              <w:rPr>
                <w:rFonts w:cs="Arial"/>
                <w:color w:val="000000"/>
              </w:rPr>
              <w:t>/</w:t>
            </w:r>
          </w:p>
          <w:p w14:paraId="3F65DBAC" w14:textId="7A92BAEF" w:rsidR="009D626F" w:rsidRPr="009D626F" w:rsidRDefault="009D626F" w:rsidP="00212A06">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expectations</w:t>
            </w:r>
          </w:p>
        </w:tc>
        <w:tc>
          <w:tcPr>
            <w:tcW w:w="1017" w:type="pct"/>
            <w:tcBorders>
              <w:top w:val="none" w:sz="0" w:space="0" w:color="auto"/>
              <w:left w:val="none" w:sz="0" w:space="0" w:color="auto"/>
              <w:bottom w:val="single" w:sz="4" w:space="0" w:color="auto"/>
            </w:tcBorders>
            <w:vAlign w:val="center"/>
            <w:hideMark/>
          </w:tcPr>
          <w:p w14:paraId="41A933F8" w14:textId="77777777" w:rsidR="009D626F" w:rsidRPr="009D626F" w:rsidRDefault="009D626F" w:rsidP="00212A06">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System coupling</w:t>
            </w:r>
          </w:p>
        </w:tc>
      </w:tr>
      <w:tr w:rsidR="009D626F" w:rsidRPr="009D626F" w14:paraId="099697BF" w14:textId="77777777" w:rsidTr="00F1417B">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613" w:type="pct"/>
            <w:tcBorders>
              <w:top w:val="single" w:sz="4" w:space="0" w:color="auto"/>
              <w:bottom w:val="nil"/>
            </w:tcBorders>
            <w:vAlign w:val="center"/>
            <w:hideMark/>
          </w:tcPr>
          <w:p w14:paraId="6E95A143" w14:textId="38E5D4B0" w:rsidR="009D626F" w:rsidRPr="009D626F" w:rsidRDefault="009D626F" w:rsidP="00212A06">
            <w:pPr>
              <w:rPr>
                <w:rFonts w:cs="Arial"/>
                <w:b w:val="0"/>
                <w:bCs w:val="0"/>
                <w:color w:val="000000"/>
              </w:rPr>
            </w:pPr>
            <w:r w:rsidRPr="009D626F">
              <w:rPr>
                <w:rFonts w:cs="Arial"/>
                <w:b w:val="0"/>
                <w:bCs w:val="0"/>
                <w:color w:val="000000"/>
              </w:rPr>
              <w:t>Hertel et al. (2005)</w:t>
            </w:r>
            <w:r>
              <w:rPr>
                <w:rFonts w:cs="Arial"/>
                <w:color w:val="000000"/>
              </w:rPr>
              <w:fldChar w:fldCharType="begin"/>
            </w:r>
            <w:r w:rsidR="0056165E">
              <w:rPr>
                <w:rFonts w:cs="Arial"/>
                <w:b w:val="0"/>
                <w:bCs w:val="0"/>
                <w:color w:val="000000"/>
              </w:rPr>
              <w:instrText xml:space="preserve"> ADDIN ZOTERO_ITEM CSL_CITATION {"citationID":"a1v0h6vsvig","properties":{"unsorted":false,"formattedCitation":"\\super 4\\nosupersub{}","plainCitation":"4","noteIndex":0},"citationItems":[{"id":688,"uris":["http://zotero.org/users/8267882/items/NLUW2UEY"],"itemData":{"id":688,"type":"article-journal","abstract":"Applied General Equilibrium (AGE) models are increasingly used for short-run commodity market analysis, although they are generally not designed for such purposes. This study remedies a key shortcoming of such work by incorporating a commodity stockholding model into a short-run global AGE model. An approach to calibrating and validating the model is demonstrated for the staple grains sector. Its historical weather-induced supply shocks form a natural vehicle for reconciling model outcomes with observed behavior. The stockholding model, in conjunction with a Gaussian Quadrature approach to characterizing supply-side uncertainty, will prove useful to researchers seeking to conduct short-run analysis of commodity market policy in an AGE context.","container-title":"Economic Modelling","DOI":"10.1016/j.econmod.2005.02.001","ISSN":"0264-9993","issue":"4","journalAbbreviation":"Economic Modelling","language":"en","page":"646-664","source":"ScienceDirect","title":"Incorporating commodity stockholding into a general equilibrium model of the global economy","URL":"https://www.sciencedirect.com/science/article/pii/S0264999305000210","volume":"22","author":[{"family":"Hertel","given":"Thomas W."},{"family":"Reimer","given":"Jeffrey J."},{"family":"Valenzuela","given":"Ernesto"}],"accessed":{"date-parts":[["2021",9,20]]},"issued":{"date-parts":[["2005",7,1]]}}}],"schema":"https://github.com/citation-style-language/schema/raw/master/csl-citation.json"} </w:instrText>
            </w:r>
            <w:r>
              <w:rPr>
                <w:rFonts w:cs="Arial"/>
                <w:color w:val="000000"/>
              </w:rPr>
              <w:fldChar w:fldCharType="separate"/>
            </w:r>
            <w:r w:rsidR="0056165E" w:rsidRPr="0056165E">
              <w:rPr>
                <w:rFonts w:cs="Arial"/>
                <w:vertAlign w:val="superscript"/>
              </w:rPr>
              <w:t>4</w:t>
            </w:r>
            <w:r>
              <w:rPr>
                <w:rFonts w:cs="Arial"/>
                <w:color w:val="000000"/>
              </w:rPr>
              <w:fldChar w:fldCharType="end"/>
            </w:r>
          </w:p>
        </w:tc>
        <w:tc>
          <w:tcPr>
            <w:tcW w:w="928" w:type="pct"/>
            <w:tcBorders>
              <w:top w:val="single" w:sz="4" w:space="0" w:color="auto"/>
              <w:bottom w:val="nil"/>
            </w:tcBorders>
            <w:vAlign w:val="center"/>
            <w:hideMark/>
          </w:tcPr>
          <w:p w14:paraId="7D586CCA"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Global AGE; staple grains</w:t>
            </w:r>
          </w:p>
        </w:tc>
        <w:tc>
          <w:tcPr>
            <w:tcW w:w="1149" w:type="pct"/>
            <w:tcBorders>
              <w:top w:val="single" w:sz="4" w:space="0" w:color="auto"/>
              <w:bottom w:val="nil"/>
            </w:tcBorders>
            <w:vAlign w:val="center"/>
            <w:hideMark/>
          </w:tcPr>
          <w:p w14:paraId="44527F7D"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Bounded stock variation; no explicit inventory path or physical loss</w:t>
            </w:r>
          </w:p>
        </w:tc>
        <w:tc>
          <w:tcPr>
            <w:tcW w:w="1294" w:type="pct"/>
            <w:tcBorders>
              <w:top w:val="single" w:sz="4" w:space="0" w:color="auto"/>
              <w:bottom w:val="nil"/>
            </w:tcBorders>
            <w:vAlign w:val="center"/>
            <w:hideMark/>
          </w:tcPr>
          <w:p w14:paraId="2BF1ACDD"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Price-responsive stock changes; opportunity cost</w:t>
            </w:r>
          </w:p>
        </w:tc>
        <w:tc>
          <w:tcPr>
            <w:tcW w:w="1017" w:type="pct"/>
            <w:tcBorders>
              <w:top w:val="single" w:sz="4" w:space="0" w:color="auto"/>
              <w:bottom w:val="nil"/>
            </w:tcBorders>
            <w:vAlign w:val="center"/>
            <w:hideMark/>
          </w:tcPr>
          <w:p w14:paraId="71815494"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Economy-wide production, consumption, trade and prices</w:t>
            </w:r>
          </w:p>
        </w:tc>
      </w:tr>
      <w:tr w:rsidR="009D626F" w:rsidRPr="009D626F" w14:paraId="124CC013" w14:textId="77777777" w:rsidTr="00F1417B">
        <w:trPr>
          <w:trHeight w:val="1152"/>
        </w:trPr>
        <w:tc>
          <w:tcPr>
            <w:cnfStyle w:val="001000000000" w:firstRow="0" w:lastRow="0" w:firstColumn="1" w:lastColumn="0" w:oddVBand="0" w:evenVBand="0" w:oddHBand="0" w:evenHBand="0" w:firstRowFirstColumn="0" w:firstRowLastColumn="0" w:lastRowFirstColumn="0" w:lastRowLastColumn="0"/>
            <w:tcW w:w="613" w:type="pct"/>
            <w:tcBorders>
              <w:top w:val="nil"/>
              <w:bottom w:val="nil"/>
            </w:tcBorders>
            <w:vAlign w:val="center"/>
            <w:hideMark/>
          </w:tcPr>
          <w:p w14:paraId="7148361A" w14:textId="4378308D" w:rsidR="009D626F" w:rsidRPr="009D626F" w:rsidRDefault="009D626F" w:rsidP="00212A06">
            <w:pPr>
              <w:rPr>
                <w:rFonts w:cs="Arial"/>
                <w:b w:val="0"/>
                <w:bCs w:val="0"/>
                <w:color w:val="000000"/>
              </w:rPr>
            </w:pPr>
            <w:r w:rsidRPr="009D626F">
              <w:rPr>
                <w:rFonts w:cs="Arial"/>
                <w:b w:val="0"/>
                <w:bCs w:val="0"/>
                <w:color w:val="000000"/>
              </w:rPr>
              <w:t>Aglink-Cosimo</w:t>
            </w:r>
            <w:r w:rsidR="0056165E">
              <w:rPr>
                <w:rFonts w:cs="Arial"/>
                <w:color w:val="000000"/>
              </w:rPr>
              <w:fldChar w:fldCharType="begin"/>
            </w:r>
            <w:r w:rsidR="007916B3">
              <w:rPr>
                <w:rFonts w:cs="Arial"/>
                <w:b w:val="0"/>
                <w:bCs w:val="0"/>
                <w:color w:val="000000"/>
              </w:rPr>
              <w:instrText xml:space="preserve"> ADDIN ZOTERO_ITEM CSL_CITATION {"citationID":"a2fjh6dio3o","properties":{"unsorted":false,"formattedCitation":"\\super 24\\nosupersub{}","plainCitation":"24","noteIndex":0},"citationItems":[{"id":15656,"uris":["http://zotero.org/users/8267882/items/LK3WR47B"],"itemData":{"id":15656,"type":"report","language":"en","title":"THE AGLINK-COSIMO MODEL A PARTIAL EQUILIBRIUM MODEL OF WORLD AGRICULTURAL MARKETS","URL":"https://www.agri-outlook.org/about/","author":[{"family":"OECD-FAO","given":""}],"accessed":{"date-parts":[["2022",3,18]]},"issued":{"date-parts":[["2026"]]}}}],"schema":"https://github.com/citation-style-language/schema/raw/master/csl-citation.json"} </w:instrText>
            </w:r>
            <w:r w:rsidR="0056165E">
              <w:rPr>
                <w:rFonts w:cs="Arial"/>
                <w:color w:val="000000"/>
              </w:rPr>
              <w:fldChar w:fldCharType="separate"/>
            </w:r>
            <w:r w:rsidR="007916B3" w:rsidRPr="007916B3">
              <w:rPr>
                <w:rFonts w:cs="Arial"/>
                <w:vertAlign w:val="superscript"/>
              </w:rPr>
              <w:t>24</w:t>
            </w:r>
            <w:r w:rsidR="0056165E">
              <w:rPr>
                <w:rFonts w:cs="Arial"/>
                <w:color w:val="000000"/>
              </w:rPr>
              <w:fldChar w:fldCharType="end"/>
            </w:r>
          </w:p>
        </w:tc>
        <w:tc>
          <w:tcPr>
            <w:tcW w:w="928" w:type="pct"/>
            <w:tcBorders>
              <w:top w:val="nil"/>
              <w:bottom w:val="nil"/>
            </w:tcBorders>
            <w:vAlign w:val="center"/>
            <w:hideMark/>
          </w:tcPr>
          <w:p w14:paraId="7A507ABA"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Global agricultural PE; multi-commodity; annual</w:t>
            </w:r>
          </w:p>
        </w:tc>
        <w:tc>
          <w:tcPr>
            <w:tcW w:w="1149" w:type="pct"/>
            <w:tcBorders>
              <w:top w:val="nil"/>
              <w:bottom w:val="nil"/>
            </w:tcBorders>
            <w:vAlign w:val="center"/>
            <w:hideMark/>
          </w:tcPr>
          <w:p w14:paraId="7C81385D"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Beginning and ending stocks linked across years; no storage-specific physical loss</w:t>
            </w:r>
          </w:p>
        </w:tc>
        <w:tc>
          <w:tcPr>
            <w:tcW w:w="1294" w:type="pct"/>
            <w:tcBorders>
              <w:top w:val="nil"/>
              <w:bottom w:val="nil"/>
            </w:tcBorders>
            <w:vAlign w:val="center"/>
            <w:hideMark/>
          </w:tcPr>
          <w:p w14:paraId="045C3F4D" w14:textId="0E7083E8"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Reduced-form response to supply, consumption, trend</w:t>
            </w:r>
            <w:r w:rsidR="00F1417B">
              <w:rPr>
                <w:rFonts w:cs="Arial"/>
                <w:color w:val="000000"/>
              </w:rPr>
              <w:t>,</w:t>
            </w:r>
            <w:r w:rsidRPr="009D626F">
              <w:rPr>
                <w:rFonts w:cs="Arial"/>
                <w:color w:val="000000"/>
              </w:rPr>
              <w:t xml:space="preserve"> and relative prices</w:t>
            </w:r>
          </w:p>
        </w:tc>
        <w:tc>
          <w:tcPr>
            <w:tcW w:w="1017" w:type="pct"/>
            <w:tcBorders>
              <w:top w:val="nil"/>
              <w:bottom w:val="nil"/>
            </w:tcBorders>
            <w:vAlign w:val="center"/>
            <w:hideMark/>
          </w:tcPr>
          <w:p w14:paraId="61F515A8"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Agricultural production, consumption, trade and prices</w:t>
            </w:r>
          </w:p>
        </w:tc>
      </w:tr>
      <w:tr w:rsidR="009D626F" w:rsidRPr="009D626F" w14:paraId="73BE0EE9" w14:textId="77777777" w:rsidTr="00F1417B">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613" w:type="pct"/>
            <w:tcBorders>
              <w:top w:val="nil"/>
              <w:bottom w:val="nil"/>
            </w:tcBorders>
            <w:vAlign w:val="center"/>
            <w:hideMark/>
          </w:tcPr>
          <w:p w14:paraId="25715DEA" w14:textId="2B0C2CB8" w:rsidR="009D626F" w:rsidRPr="009D626F" w:rsidRDefault="009D626F" w:rsidP="00212A06">
            <w:pPr>
              <w:rPr>
                <w:rFonts w:cs="Arial"/>
                <w:b w:val="0"/>
                <w:bCs w:val="0"/>
                <w:color w:val="000000"/>
              </w:rPr>
            </w:pPr>
            <w:r w:rsidRPr="009D626F">
              <w:rPr>
                <w:rFonts w:cs="Arial"/>
                <w:b w:val="0"/>
                <w:bCs w:val="0"/>
                <w:color w:val="000000"/>
              </w:rPr>
              <w:t>Mitra &amp; Boussard (2012)</w:t>
            </w:r>
            <w:r>
              <w:rPr>
                <w:rFonts w:cs="Arial"/>
                <w:color w:val="000000"/>
              </w:rPr>
              <w:fldChar w:fldCharType="begin"/>
            </w:r>
            <w:r w:rsidR="007916B3">
              <w:rPr>
                <w:rFonts w:cs="Arial"/>
                <w:b w:val="0"/>
                <w:bCs w:val="0"/>
                <w:color w:val="000000"/>
              </w:rPr>
              <w:instrText xml:space="preserve"> ADDIN ZOTERO_ITEM CSL_CITATION {"citationID":"a1et2o35p0p","properties":{"unsorted":false,"formattedCitation":"\\super 25\\nosupersub{}","plainCitation":"25","noteIndex":0},"citationItems":[{"id":851,"uris":["http://zotero.org/users/8267882/items/ZFSEC5GV"],"itemData":{"id":851,"type":"article-journal","abstract":"A debate has been raging for centuries regarding the effects of interannual storage on commodity prices. Most analysts consider storage to function as a price stabilizer, while others place it at the core of an explanation of intriguing features of commodity price series, such as skewed distributions. Most studies have been developed in the context of the theory of competitive storage where random shocks affect supply or demand. Recently, the endogenous chaotic behavior of markets has become another possible hypothesis regarding the origin of commodity price fluctuations. We develop a nonlinear cobweb model with intra- and interannual storage, risk averse agents, and adaptive expectations. Like the theory of competitive storage, this nonlinear cobweb model with storage can reproduce some of the stylized facts of agricultural commodity prices (autocorrelation of first rank, low kurtosis, and skewness). In addition, the effects of storage on price variation are mixed. In the presence of interannual storage, chaotic price series show less variation compared to a situation without interannual storage but we find that storage contributes to the endogenous volatility of prices by making chaotic dynamics more likely.","container-title":"Agricultural Economics","DOI":"10.1111/j.1574-0862.2011.00561.x","ISSN":"1574-0862","issue":"1","language":"en","license":"© 2011 International Association of Agricultural Economists","note":"_eprint: https://onlinelibrary.wiley.com/doi/pdf/10.1111/j.1574-0862.2011.00561.x","page":"1-15","source":"Wiley Online Library","title":"A simple model of endogenous agricultural commodity price fluctuations with storage","URL":"https://onlinelibrary.wiley.com/doi/abs/10.1111/j.1574-0862.2011.00561.x","volume":"43","author":[{"family":"Mitra","given":"Sophie"},{"family":"Boussard","given":"Jean-Marc"}],"accessed":{"date-parts":[["2023",11,16]]},"issued":{"date-parts":[["2012"]]}}}],"schema":"https://github.com/citation-style-language/schema/raw/master/csl-citation.json"} </w:instrText>
            </w:r>
            <w:r>
              <w:rPr>
                <w:rFonts w:cs="Arial"/>
                <w:color w:val="000000"/>
              </w:rPr>
              <w:fldChar w:fldCharType="separate"/>
            </w:r>
            <w:r w:rsidR="007916B3" w:rsidRPr="007916B3">
              <w:rPr>
                <w:rFonts w:cs="Arial"/>
                <w:vertAlign w:val="superscript"/>
              </w:rPr>
              <w:t>25</w:t>
            </w:r>
            <w:r>
              <w:rPr>
                <w:rFonts w:cs="Arial"/>
                <w:color w:val="000000"/>
              </w:rPr>
              <w:fldChar w:fldCharType="end"/>
            </w:r>
          </w:p>
        </w:tc>
        <w:tc>
          <w:tcPr>
            <w:tcW w:w="928" w:type="pct"/>
            <w:tcBorders>
              <w:top w:val="nil"/>
              <w:bottom w:val="nil"/>
            </w:tcBorders>
            <w:vAlign w:val="center"/>
            <w:hideMark/>
          </w:tcPr>
          <w:p w14:paraId="092C98A7"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Single commodity; seasonal and interannual</w:t>
            </w:r>
          </w:p>
        </w:tc>
        <w:tc>
          <w:tcPr>
            <w:tcW w:w="1149" w:type="pct"/>
            <w:tcBorders>
              <w:top w:val="nil"/>
              <w:bottom w:val="nil"/>
            </w:tcBorders>
            <w:vAlign w:val="center"/>
            <w:hideMark/>
          </w:tcPr>
          <w:p w14:paraId="0EE8EC74"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Explicit inventories; non-negativity and capacity; no physical loss</w:t>
            </w:r>
          </w:p>
        </w:tc>
        <w:tc>
          <w:tcPr>
            <w:tcW w:w="1294" w:type="pct"/>
            <w:tcBorders>
              <w:top w:val="nil"/>
              <w:bottom w:val="nil"/>
            </w:tcBorders>
            <w:vAlign w:val="center"/>
            <w:hideMark/>
          </w:tcPr>
          <w:p w14:paraId="18C3D0F2"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Adaptive expectations, risk aversion, storage cost and interest</w:t>
            </w:r>
          </w:p>
        </w:tc>
        <w:tc>
          <w:tcPr>
            <w:tcW w:w="1017" w:type="pct"/>
            <w:tcBorders>
              <w:top w:val="nil"/>
              <w:bottom w:val="nil"/>
            </w:tcBorders>
            <w:vAlign w:val="center"/>
            <w:hideMark/>
          </w:tcPr>
          <w:p w14:paraId="2B338D3C"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Prices, production and stocks</w:t>
            </w:r>
          </w:p>
        </w:tc>
      </w:tr>
      <w:tr w:rsidR="009D626F" w:rsidRPr="009D626F" w14:paraId="6759ABFA" w14:textId="77777777" w:rsidTr="00F1417B">
        <w:trPr>
          <w:trHeight w:val="1152"/>
        </w:trPr>
        <w:tc>
          <w:tcPr>
            <w:cnfStyle w:val="001000000000" w:firstRow="0" w:lastRow="0" w:firstColumn="1" w:lastColumn="0" w:oddVBand="0" w:evenVBand="0" w:oddHBand="0" w:evenHBand="0" w:firstRowFirstColumn="0" w:firstRowLastColumn="0" w:lastRowFirstColumn="0" w:lastRowLastColumn="0"/>
            <w:tcW w:w="613" w:type="pct"/>
            <w:tcBorders>
              <w:top w:val="nil"/>
              <w:bottom w:val="nil"/>
            </w:tcBorders>
            <w:vAlign w:val="center"/>
            <w:hideMark/>
          </w:tcPr>
          <w:p w14:paraId="5D4EF1DC" w14:textId="7A8E7F5F" w:rsidR="009D626F" w:rsidRPr="009D626F" w:rsidRDefault="009D626F" w:rsidP="00212A06">
            <w:pPr>
              <w:rPr>
                <w:rFonts w:cs="Arial"/>
                <w:b w:val="0"/>
                <w:bCs w:val="0"/>
                <w:color w:val="000000"/>
              </w:rPr>
            </w:pPr>
            <w:r w:rsidRPr="009D626F">
              <w:rPr>
                <w:rFonts w:cs="Arial"/>
                <w:b w:val="0"/>
                <w:bCs w:val="0"/>
                <w:color w:val="000000"/>
              </w:rPr>
              <w:t>Gouel (2013)</w:t>
            </w:r>
            <w:r w:rsidR="0056165E">
              <w:rPr>
                <w:rFonts w:cs="Arial"/>
                <w:color w:val="000000"/>
              </w:rPr>
              <w:fldChar w:fldCharType="begin"/>
            </w:r>
            <w:r w:rsidR="007916B3">
              <w:rPr>
                <w:rFonts w:cs="Arial"/>
                <w:b w:val="0"/>
                <w:bCs w:val="0"/>
                <w:color w:val="000000"/>
              </w:rPr>
              <w:instrText xml:space="preserve"> ADDIN ZOTERO_ITEM CSL_CITATION {"citationID":"as7lj658ue","properties":{"unsorted":false,"formattedCitation":"\\super 26\\nosupersub{}","plainCitation":"26","noteIndex":0},"citationItems":[{"id":134,"uris":["http://zotero.org/users/8267882/items/RJL26E95"],"itemData":{"id":134,"type":"article-journal","abstract":"This article compares various policies in a rational expectations food storage model with risk-averse consumers and missing insurance markets calibrated to represent a developing country. I consider an optimal storage policy under discretion and two optimal simple rules: a constant private storage subsidy and a price band. The storage subsidy achieves welfare gains similar to the discretionary policy. The price band maximizing social welfare is a price-peg scheme: The floor and ceiling prices are the same, and the capacity constraint represents 11% of the steady-state production level. This price band achieves three-quarters of the gains from the optimal policy under discretion.","container-title":"American Journal of Agricultural Economics","DOI":"10.1093/ajae/aat016","ISSN":"1467-8276","issue":"4","language":"en","note":"_eprint: https://onlinelibrary.wiley.com/doi/pdf/10.1093/ajae/aat016","page":"1029-1044","source":"Wiley Online Library","title":"Rules versus Discretion in Food Storage Policies","URL":"https://onlinelibrary.wiley.com/doi/abs/10.1093/ajae/aat016","volume":"95","author":[{"family":"Gouel","given":"Christophe"}],"accessed":{"date-parts":[["2021",9,19]]},"issued":{"date-parts":[["2013"]]}}}],"schema":"https://github.com/citation-style-language/schema/raw/master/csl-citation.json"} </w:instrText>
            </w:r>
            <w:r w:rsidR="0056165E">
              <w:rPr>
                <w:rFonts w:cs="Arial"/>
                <w:color w:val="000000"/>
              </w:rPr>
              <w:fldChar w:fldCharType="separate"/>
            </w:r>
            <w:r w:rsidR="007916B3" w:rsidRPr="007916B3">
              <w:rPr>
                <w:rFonts w:cs="Arial"/>
                <w:vertAlign w:val="superscript"/>
              </w:rPr>
              <w:t>26</w:t>
            </w:r>
            <w:r w:rsidR="0056165E">
              <w:rPr>
                <w:rFonts w:cs="Arial"/>
                <w:color w:val="000000"/>
              </w:rPr>
              <w:fldChar w:fldCharType="end"/>
            </w:r>
          </w:p>
        </w:tc>
        <w:tc>
          <w:tcPr>
            <w:tcW w:w="928" w:type="pct"/>
            <w:tcBorders>
              <w:top w:val="nil"/>
              <w:bottom w:val="nil"/>
            </w:tcBorders>
            <w:vAlign w:val="center"/>
            <w:hideMark/>
          </w:tcPr>
          <w:p w14:paraId="38A17072"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Single cereal market; annual</w:t>
            </w:r>
          </w:p>
        </w:tc>
        <w:tc>
          <w:tcPr>
            <w:tcW w:w="1149" w:type="pct"/>
            <w:tcBorders>
              <w:top w:val="nil"/>
              <w:bottom w:val="nil"/>
            </w:tcBorders>
            <w:vAlign w:val="center"/>
            <w:hideMark/>
          </w:tcPr>
          <w:p w14:paraId="246391FE"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Explicit non-negative inventories; capacity in policy cases; no physical loss</w:t>
            </w:r>
          </w:p>
        </w:tc>
        <w:tc>
          <w:tcPr>
            <w:tcW w:w="1294" w:type="pct"/>
            <w:tcBorders>
              <w:top w:val="nil"/>
              <w:bottom w:val="nil"/>
            </w:tcBorders>
            <w:vAlign w:val="center"/>
            <w:hideMark/>
          </w:tcPr>
          <w:p w14:paraId="1AE4892E"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Rational expectations and arbitrage; storage and financing costs</w:t>
            </w:r>
          </w:p>
        </w:tc>
        <w:tc>
          <w:tcPr>
            <w:tcW w:w="1017" w:type="pct"/>
            <w:tcBorders>
              <w:top w:val="nil"/>
              <w:bottom w:val="nil"/>
            </w:tcBorders>
            <w:vAlign w:val="center"/>
            <w:hideMark/>
          </w:tcPr>
          <w:p w14:paraId="4C6F5D43"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Prices, production, welfare and storage policy</w:t>
            </w:r>
          </w:p>
        </w:tc>
      </w:tr>
      <w:tr w:rsidR="009D626F" w:rsidRPr="009D626F" w14:paraId="13309F79" w14:textId="77777777" w:rsidTr="00F1417B">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613" w:type="pct"/>
            <w:tcBorders>
              <w:top w:val="nil"/>
              <w:bottom w:val="nil"/>
            </w:tcBorders>
            <w:vAlign w:val="center"/>
            <w:hideMark/>
          </w:tcPr>
          <w:p w14:paraId="76279173" w14:textId="4A0F6B24" w:rsidR="009D626F" w:rsidRPr="009D626F" w:rsidRDefault="009D626F" w:rsidP="00212A06">
            <w:pPr>
              <w:rPr>
                <w:rFonts w:cs="Arial"/>
                <w:b w:val="0"/>
                <w:bCs w:val="0"/>
                <w:color w:val="000000"/>
              </w:rPr>
            </w:pPr>
            <w:r w:rsidRPr="009D626F">
              <w:rPr>
                <w:rFonts w:cs="Arial"/>
                <w:b w:val="0"/>
                <w:bCs w:val="0"/>
                <w:color w:val="000000"/>
              </w:rPr>
              <w:t>Schewe et al. (2017)</w:t>
            </w:r>
            <w:r w:rsidR="0056165E">
              <w:rPr>
                <w:rFonts w:cs="Arial"/>
                <w:color w:val="000000"/>
              </w:rPr>
              <w:fldChar w:fldCharType="begin"/>
            </w:r>
            <w:r w:rsidR="007916B3">
              <w:rPr>
                <w:rFonts w:cs="Arial"/>
                <w:b w:val="0"/>
                <w:bCs w:val="0"/>
                <w:color w:val="000000"/>
              </w:rPr>
              <w:instrText xml:space="preserve"> ADDIN ZOTERO_ITEM CSL_CITATION {"citationID":"a283fptae3r","properties":{"unsorted":false,"formattedCitation":"\\super 27\\nosupersub{}","plainCitation":"27","noteIndex":0},"citationItems":[{"id":136,"uris":["http://zotero.org/users/8267882/items/Q235UKRX"],"itemData":{"id":136,"type":"article-journal","abstract":"Identifying the drivers of global crop price fluctuations is essential for estimating the risks of unexpected weather-induced production shortfalls and for designing optimal response measures. Here we show that with a consistent representation of storage dynamics, a simple supply–demand model can explain most of the observed variations in wheat prices over the last 40 yr solely based on time series of annual production and long term demand trends. Even the most recent price peaks in 2007/08 and 2010/11 can be explained by additionally accounting for documented changes in countries’ trade policies and storage strategies, without the need for external drivers such as oil prices or speculation across different commodity or stock markets. This underlines the critical sensitivity of global prices to fluctuations in production. The consistent inclusion of storage into a dynamic supply-demand model closes an important gap when it comes to exploring potential responses to future crop yield variability under climate and land-use change.","container-title":"Environmental Research Letters","DOI":"10.1088/1748-9326/aa678e","ISSN":"1748-9326","issue":"5","journalAbbreviation":"Environ. Res. Lett.","language":"en","page":"054005","publisher":"IOP Publishing","source":"Institute of Physics","title":"The role of storage dynamics in annual wheat prices","URL":"https://doi.org/10.1088/1748-9326/aa678e","volume":"12","author":[{"family":"Schewe","given":"Jacob"},{"family":"Otto","given":"Christian"},{"family":"Frieler","given":"Katja"}],"accessed":{"date-parts":[["2021",9,18]]},"issued":{"date-parts":[["2017",4]]}}}],"schema":"https://github.com/citation-style-language/schema/raw/master/csl-citation.json"} </w:instrText>
            </w:r>
            <w:r w:rsidR="0056165E">
              <w:rPr>
                <w:rFonts w:cs="Arial"/>
                <w:color w:val="000000"/>
              </w:rPr>
              <w:fldChar w:fldCharType="separate"/>
            </w:r>
            <w:r w:rsidR="007916B3" w:rsidRPr="007916B3">
              <w:rPr>
                <w:rFonts w:cs="Arial"/>
                <w:vertAlign w:val="superscript"/>
              </w:rPr>
              <w:t>27</w:t>
            </w:r>
            <w:r w:rsidR="0056165E">
              <w:rPr>
                <w:rFonts w:cs="Arial"/>
                <w:color w:val="000000"/>
              </w:rPr>
              <w:fldChar w:fldCharType="end"/>
            </w:r>
          </w:p>
        </w:tc>
        <w:tc>
          <w:tcPr>
            <w:tcW w:w="928" w:type="pct"/>
            <w:tcBorders>
              <w:top w:val="nil"/>
              <w:bottom w:val="nil"/>
            </w:tcBorders>
            <w:vAlign w:val="center"/>
            <w:hideMark/>
          </w:tcPr>
          <w:p w14:paraId="6703DDBD"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Global wheat; annual</w:t>
            </w:r>
          </w:p>
        </w:tc>
        <w:tc>
          <w:tcPr>
            <w:tcW w:w="1149" w:type="pct"/>
            <w:tcBorders>
              <w:top w:val="nil"/>
              <w:bottom w:val="nil"/>
            </w:tcBorders>
            <w:vAlign w:val="center"/>
            <w:hideMark/>
          </w:tcPr>
          <w:p w14:paraId="1A5E8A55"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Explicit inventories and carryover; no explicit physical loss</w:t>
            </w:r>
          </w:p>
        </w:tc>
        <w:tc>
          <w:tcPr>
            <w:tcW w:w="1294" w:type="pct"/>
            <w:tcBorders>
              <w:top w:val="nil"/>
              <w:bottom w:val="nil"/>
            </w:tcBorders>
            <w:vAlign w:val="center"/>
            <w:hideMark/>
          </w:tcPr>
          <w:p w14:paraId="37ED9D38"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Price-responsive storage dynamics</w:t>
            </w:r>
          </w:p>
        </w:tc>
        <w:tc>
          <w:tcPr>
            <w:tcW w:w="1017" w:type="pct"/>
            <w:tcBorders>
              <w:top w:val="nil"/>
              <w:bottom w:val="nil"/>
            </w:tcBorders>
            <w:vAlign w:val="center"/>
            <w:hideMark/>
          </w:tcPr>
          <w:p w14:paraId="31B54BFB" w14:textId="77777777" w:rsidR="009D626F" w:rsidRPr="009D626F" w:rsidRDefault="009D626F" w:rsidP="00212A06">
            <w:pPr>
              <w:cnfStyle w:val="000000100000" w:firstRow="0" w:lastRow="0" w:firstColumn="0" w:lastColumn="0" w:oddVBand="0" w:evenVBand="0" w:oddHBand="1" w:evenHBand="0" w:firstRowFirstColumn="0" w:firstRowLastColumn="0" w:lastRowFirstColumn="0" w:lastRowLastColumn="0"/>
              <w:rPr>
                <w:rFonts w:cs="Arial"/>
                <w:color w:val="000000"/>
              </w:rPr>
            </w:pPr>
            <w:r w:rsidRPr="009D626F">
              <w:rPr>
                <w:rFonts w:cs="Arial"/>
                <w:color w:val="000000"/>
              </w:rPr>
              <w:t>Wheat production, consumption, stocks and prices</w:t>
            </w:r>
          </w:p>
        </w:tc>
      </w:tr>
      <w:tr w:rsidR="009D626F" w:rsidRPr="009D626F" w14:paraId="4131C06A" w14:textId="77777777" w:rsidTr="00F1417B">
        <w:trPr>
          <w:trHeight w:val="1152"/>
        </w:trPr>
        <w:tc>
          <w:tcPr>
            <w:cnfStyle w:val="001000000000" w:firstRow="0" w:lastRow="0" w:firstColumn="1" w:lastColumn="0" w:oddVBand="0" w:evenVBand="0" w:oddHBand="0" w:evenHBand="0" w:firstRowFirstColumn="0" w:firstRowLastColumn="0" w:lastRowFirstColumn="0" w:lastRowLastColumn="0"/>
            <w:tcW w:w="613" w:type="pct"/>
            <w:tcBorders>
              <w:top w:val="nil"/>
              <w:bottom w:val="single" w:sz="4" w:space="0" w:color="auto"/>
            </w:tcBorders>
            <w:vAlign w:val="center"/>
            <w:hideMark/>
          </w:tcPr>
          <w:p w14:paraId="168B1686" w14:textId="77777777" w:rsidR="009D626F" w:rsidRDefault="009D626F" w:rsidP="00212A06">
            <w:pPr>
              <w:rPr>
                <w:rFonts w:cs="Arial"/>
                <w:color w:val="000000"/>
              </w:rPr>
            </w:pPr>
            <w:r w:rsidRPr="009D626F">
              <w:rPr>
                <w:rFonts w:cs="Arial"/>
                <w:b w:val="0"/>
                <w:bCs w:val="0"/>
                <w:color w:val="000000"/>
              </w:rPr>
              <w:t>Present study</w:t>
            </w:r>
          </w:p>
          <w:p w14:paraId="4B629CC7" w14:textId="50D0112C" w:rsidR="0056165E" w:rsidRPr="009D626F" w:rsidRDefault="0056165E" w:rsidP="00212A06">
            <w:pPr>
              <w:rPr>
                <w:rFonts w:cs="Arial"/>
                <w:b w:val="0"/>
                <w:bCs w:val="0"/>
                <w:color w:val="000000"/>
              </w:rPr>
            </w:pPr>
            <w:r>
              <w:rPr>
                <w:rFonts w:cs="Arial"/>
                <w:b w:val="0"/>
                <w:bCs w:val="0"/>
                <w:color w:val="000000"/>
              </w:rPr>
              <w:t>GCAM v9.1</w:t>
            </w:r>
          </w:p>
        </w:tc>
        <w:tc>
          <w:tcPr>
            <w:tcW w:w="928" w:type="pct"/>
            <w:tcBorders>
              <w:top w:val="nil"/>
              <w:bottom w:val="single" w:sz="4" w:space="0" w:color="auto"/>
            </w:tcBorders>
            <w:vAlign w:val="center"/>
            <w:hideMark/>
          </w:tcPr>
          <w:p w14:paraId="2125647F"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Global multisector; 32 regions; 13 storable crop sectors</w:t>
            </w:r>
          </w:p>
        </w:tc>
        <w:tc>
          <w:tcPr>
            <w:tcW w:w="1149" w:type="pct"/>
            <w:tcBorders>
              <w:top w:val="nil"/>
              <w:bottom w:val="single" w:sz="4" w:space="0" w:color="auto"/>
            </w:tcBorders>
            <w:vAlign w:val="center"/>
            <w:hideMark/>
          </w:tcPr>
          <w:p w14:paraId="328D2CB0"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Opening and closing stocks, carryover and physical storage loss</w:t>
            </w:r>
          </w:p>
        </w:tc>
        <w:tc>
          <w:tcPr>
            <w:tcW w:w="1294" w:type="pct"/>
            <w:tcBorders>
              <w:top w:val="nil"/>
              <w:bottom w:val="single" w:sz="4" w:space="0" w:color="auto"/>
            </w:tcBorders>
            <w:vAlign w:val="center"/>
            <w:hideMark/>
          </w:tcPr>
          <w:p w14:paraId="6CF81987"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Intertemporal allocation based on expected future value, storage cost and discounting</w:t>
            </w:r>
          </w:p>
        </w:tc>
        <w:tc>
          <w:tcPr>
            <w:tcW w:w="1017" w:type="pct"/>
            <w:tcBorders>
              <w:top w:val="nil"/>
              <w:bottom w:val="single" w:sz="4" w:space="0" w:color="auto"/>
            </w:tcBorders>
            <w:vAlign w:val="center"/>
            <w:hideMark/>
          </w:tcPr>
          <w:p w14:paraId="04F835B9" w14:textId="77777777" w:rsidR="009D626F" w:rsidRPr="009D626F" w:rsidRDefault="009D626F" w:rsidP="00212A06">
            <w:pPr>
              <w:cnfStyle w:val="000000000000" w:firstRow="0" w:lastRow="0" w:firstColumn="0" w:lastColumn="0" w:oddVBand="0" w:evenVBand="0" w:oddHBand="0" w:evenHBand="0" w:firstRowFirstColumn="0" w:firstRowLastColumn="0" w:lastRowFirstColumn="0" w:lastRowLastColumn="0"/>
              <w:rPr>
                <w:rFonts w:cs="Arial"/>
                <w:color w:val="000000"/>
              </w:rPr>
            </w:pPr>
            <w:r w:rsidRPr="009D626F">
              <w:rPr>
                <w:rFonts w:cs="Arial"/>
                <w:color w:val="000000"/>
              </w:rPr>
              <w:t>Production, consumption, trade, land, water and emissions</w:t>
            </w:r>
          </w:p>
        </w:tc>
      </w:tr>
    </w:tbl>
    <w:p w14:paraId="0DE75595" w14:textId="64CBA5B3" w:rsidR="003E60EE" w:rsidRDefault="003E60EE" w:rsidP="0024552C">
      <w:r>
        <w:br w:type="page"/>
      </w:r>
    </w:p>
    <w:p w14:paraId="73F8BECA" w14:textId="59DEEF6B" w:rsidR="00983273" w:rsidRPr="008066ED" w:rsidRDefault="00983273" w:rsidP="00983273">
      <w:pPr>
        <w:pStyle w:val="Heading1"/>
        <w:rPr>
          <w:sz w:val="22"/>
        </w:rPr>
      </w:pPr>
      <w:bookmarkStart w:id="6" w:name="_Toc241138204"/>
      <w:r w:rsidRPr="008066ED">
        <w:rPr>
          <w:sz w:val="22"/>
        </w:rPr>
        <w:lastRenderedPageBreak/>
        <w:t xml:space="preserve">Supplementary Section </w:t>
      </w:r>
      <w:r w:rsidR="006E121E">
        <w:rPr>
          <w:sz w:val="22"/>
        </w:rPr>
        <w:t>2</w:t>
      </w:r>
      <w:r w:rsidRPr="008066ED">
        <w:rPr>
          <w:sz w:val="22"/>
        </w:rPr>
        <w:t>. Supplementary description of the methodology</w:t>
      </w:r>
      <w:bookmarkEnd w:id="6"/>
      <w:r w:rsidRPr="008066ED">
        <w:rPr>
          <w:sz w:val="22"/>
        </w:rPr>
        <w:t xml:space="preserve"> </w:t>
      </w:r>
    </w:p>
    <w:p w14:paraId="6E623250" w14:textId="4C07FF94" w:rsidR="00764AE7" w:rsidRDefault="00764AE7" w:rsidP="006E35B2">
      <w:pPr>
        <w:pStyle w:val="Heading2"/>
        <w:spacing w:line="276" w:lineRule="auto"/>
      </w:pPr>
      <w:bookmarkStart w:id="7" w:name="_Toc241138205"/>
      <w:r w:rsidRPr="008066ED">
        <w:t xml:space="preserve">Supplementary Section </w:t>
      </w:r>
      <w:r>
        <w:t>2</w:t>
      </w:r>
      <w:r w:rsidRPr="008066ED">
        <w:t xml:space="preserve">.1. </w:t>
      </w:r>
      <w:r>
        <w:t xml:space="preserve">Structural role </w:t>
      </w:r>
      <w:r w:rsidR="006E35B2">
        <w:t xml:space="preserve">and measurement </w:t>
      </w:r>
      <w:r>
        <w:t xml:space="preserve">of storage in </w:t>
      </w:r>
      <w:r w:rsidR="006E35B2">
        <w:t>the agrifood system</w:t>
      </w:r>
      <w:bookmarkEnd w:id="7"/>
      <w:r w:rsidR="006E35B2">
        <w:t xml:space="preserve"> </w:t>
      </w:r>
    </w:p>
    <w:p w14:paraId="67843CD9" w14:textId="77777777" w:rsidR="003E354C" w:rsidRPr="003E354C" w:rsidRDefault="00F571AD" w:rsidP="003E354C">
      <w:pPr>
        <w:spacing w:line="276" w:lineRule="auto"/>
        <w:rPr>
          <w:rFonts w:eastAsiaTheme="minorEastAsia" w:cs="Arial"/>
          <w:b/>
          <w:bCs/>
        </w:rPr>
      </w:pPr>
      <w:r>
        <w:t xml:space="preserve">Storage-related elements play a key structural role in commodity balances </w:t>
      </w:r>
      <w:r w:rsidRPr="00907015">
        <w:t>(</w:t>
      </w:r>
      <w:r w:rsidRPr="00907015">
        <w:rPr>
          <w:b/>
          <w:bCs/>
        </w:rPr>
        <w:fldChar w:fldCharType="begin"/>
      </w:r>
      <w:r w:rsidRPr="00907015">
        <w:rPr>
          <w:b/>
          <w:bCs/>
        </w:rPr>
        <w:instrText xml:space="preserve"> REF _Ref238418583 \h </w:instrText>
      </w:r>
      <w:r>
        <w:rPr>
          <w:b/>
          <w:bCs/>
        </w:rPr>
        <w:instrText xml:space="preserve"> \* MERGEFORMAT </w:instrText>
      </w:r>
      <w:r w:rsidRPr="00907015">
        <w:rPr>
          <w:b/>
          <w:bCs/>
        </w:rPr>
      </w:r>
      <w:r w:rsidRPr="00907015">
        <w:rPr>
          <w:b/>
          <w:bCs/>
        </w:rPr>
        <w:fldChar w:fldCharType="separate"/>
      </w:r>
      <w:r w:rsidR="003E354C" w:rsidRPr="003E354C">
        <w:rPr>
          <w:b/>
          <w:bCs/>
          <w:noProof/>
        </w:rPr>
        <w:t>Supplementary Fig. 1</w:t>
      </w:r>
      <w:r w:rsidRPr="00907015">
        <w:rPr>
          <w:b/>
          <w:bCs/>
        </w:rPr>
        <w:fldChar w:fldCharType="end"/>
      </w:r>
      <w:r w:rsidRPr="00907015">
        <w:rPr>
          <w:b/>
          <w:bCs/>
        </w:rPr>
        <w:t>)</w:t>
      </w:r>
      <w:r>
        <w:t xml:space="preserve">. </w:t>
      </w:r>
      <w:r w:rsidR="00401791" w:rsidRPr="00401791">
        <w:rPr>
          <w:b/>
          <w:bCs/>
        </w:rPr>
        <w:fldChar w:fldCharType="begin"/>
      </w:r>
      <w:r w:rsidR="00401791" w:rsidRPr="00401791">
        <w:rPr>
          <w:b/>
          <w:bCs/>
        </w:rPr>
        <w:instrText xml:space="preserve"> REF _Ref238416429 \h </w:instrText>
      </w:r>
      <w:r w:rsidR="00401791">
        <w:rPr>
          <w:b/>
          <w:bCs/>
        </w:rPr>
        <w:instrText xml:space="preserve"> \* MERGEFORMAT </w:instrText>
      </w:r>
      <w:r w:rsidR="00401791" w:rsidRPr="00401791">
        <w:rPr>
          <w:b/>
          <w:bCs/>
        </w:rPr>
      </w:r>
      <w:r w:rsidR="00401791" w:rsidRPr="00401791">
        <w:rPr>
          <w:b/>
          <w:bCs/>
        </w:rPr>
        <w:fldChar w:fldCharType="separate"/>
      </w:r>
      <w:r w:rsidR="003E354C" w:rsidRPr="003E354C">
        <w:rPr>
          <w:b/>
          <w:bCs/>
          <w:noProof/>
        </w:rPr>
        <w:t>Supplementary Fig. 2</w:t>
      </w:r>
      <w:r w:rsidR="00401791" w:rsidRPr="00401791">
        <w:rPr>
          <w:b/>
          <w:bCs/>
        </w:rPr>
        <w:fldChar w:fldCharType="end"/>
      </w:r>
      <w:r w:rsidR="00401791">
        <w:t xml:space="preserve"> presents the recompiled traceable Food Balance Sheets (T-FBS) for GCAM commodities at the global level</w:t>
      </w:r>
      <w:r w:rsidR="00401791" w:rsidRPr="00401791">
        <w:t>.</w:t>
      </w:r>
      <w:r w:rsidR="00401791">
        <w:t xml:space="preserve"> </w:t>
      </w:r>
      <w:r w:rsidR="0005712B" w:rsidRPr="0005712B">
        <w:t xml:space="preserve">The mapping from FAO primary commodities to GCAM commodities is provided in </w:t>
      </w:r>
      <w:r w:rsidR="0005712B" w:rsidRPr="0005712B">
        <w:rPr>
          <w:b/>
          <w:bCs/>
        </w:rPr>
        <w:fldChar w:fldCharType="begin"/>
      </w:r>
      <w:r w:rsidR="0005712B" w:rsidRPr="0005712B">
        <w:rPr>
          <w:b/>
          <w:bCs/>
        </w:rPr>
        <w:instrText xml:space="preserve"> REF _Ref134864765 \h  \* MERGEFORMAT </w:instrText>
      </w:r>
      <w:r w:rsidR="0005712B" w:rsidRPr="0005712B">
        <w:rPr>
          <w:b/>
          <w:bCs/>
        </w:rPr>
      </w:r>
      <w:r w:rsidR="0005712B" w:rsidRPr="0005712B">
        <w:rPr>
          <w:b/>
          <w:bCs/>
        </w:rPr>
        <w:fldChar w:fldCharType="separate"/>
      </w:r>
      <w:r w:rsidR="003E354C" w:rsidRPr="003E354C">
        <w:rPr>
          <w:rFonts w:eastAsiaTheme="minorEastAsia" w:cs="Arial"/>
          <w:b/>
          <w:bCs/>
        </w:rPr>
        <w:t xml:space="preserve">Supplementary Table </w:t>
      </w:r>
      <w:r w:rsidR="003E354C" w:rsidRPr="003E354C">
        <w:rPr>
          <w:rFonts w:eastAsiaTheme="minorEastAsia" w:cs="Arial"/>
          <w:b/>
          <w:bCs/>
          <w:noProof/>
        </w:rPr>
        <w:t>3</w:t>
      </w:r>
      <w:r w:rsidR="0005712B" w:rsidRPr="0005712B">
        <w:rPr>
          <w:b/>
          <w:bCs/>
        </w:rPr>
        <w:fldChar w:fldCharType="end"/>
      </w:r>
      <w:r w:rsidR="0005712B" w:rsidRPr="0005712B">
        <w:t xml:space="preserve">; for subsequent regional analyses, GCAM regions are aggregated to the IPCC R10 regions according to </w:t>
      </w:r>
      <w:r w:rsidR="0005712B" w:rsidRPr="0005712B">
        <w:rPr>
          <w:b/>
          <w:bCs/>
        </w:rPr>
        <w:fldChar w:fldCharType="begin"/>
      </w:r>
      <w:r w:rsidR="0005712B" w:rsidRPr="0005712B">
        <w:rPr>
          <w:b/>
          <w:bCs/>
        </w:rPr>
        <w:instrText xml:space="preserve"> REF _Ref162114372 \h  \* MERGEFORMAT </w:instrText>
      </w:r>
      <w:r w:rsidR="0005712B" w:rsidRPr="0005712B">
        <w:rPr>
          <w:b/>
          <w:bCs/>
        </w:rPr>
      </w:r>
      <w:r w:rsidR="0005712B" w:rsidRPr="0005712B">
        <w:rPr>
          <w:b/>
          <w:bCs/>
        </w:rPr>
        <w:fldChar w:fldCharType="separate"/>
      </w:r>
      <w:r w:rsidR="003E354C" w:rsidRPr="003E354C">
        <w:rPr>
          <w:rFonts w:eastAsiaTheme="minorEastAsia" w:cs="Arial"/>
          <w:b/>
          <w:bCs/>
        </w:rPr>
        <w:br w:type="page"/>
      </w:r>
    </w:p>
    <w:p w14:paraId="55BCC0CF" w14:textId="672706E5" w:rsidR="00907015" w:rsidRDefault="003E354C" w:rsidP="00962AB0">
      <w:pPr>
        <w:spacing w:line="276" w:lineRule="auto"/>
      </w:pPr>
      <w:r w:rsidRPr="003E354C">
        <w:rPr>
          <w:rFonts w:eastAsiaTheme="minorEastAsia" w:cs="Arial"/>
          <w:b/>
          <w:bCs/>
        </w:rPr>
        <w:lastRenderedPageBreak/>
        <w:t xml:space="preserve">Supplementary </w:t>
      </w:r>
      <w:r w:rsidRPr="003E354C">
        <w:rPr>
          <w:rFonts w:eastAsiaTheme="minorEastAsia" w:cs="Arial"/>
          <w:b/>
          <w:bCs/>
          <w:noProof/>
        </w:rPr>
        <w:t>Table</w:t>
      </w:r>
      <w:r w:rsidRPr="008066ED">
        <w:rPr>
          <w:rFonts w:eastAsiaTheme="minorEastAsia" w:cs="Arial"/>
          <w:bCs/>
        </w:rPr>
        <w:t xml:space="preserve"> </w:t>
      </w:r>
      <w:r>
        <w:rPr>
          <w:rFonts w:eastAsiaTheme="minorEastAsia" w:cs="Arial"/>
          <w:bCs/>
          <w:noProof/>
        </w:rPr>
        <w:t>4</w:t>
      </w:r>
      <w:r w:rsidR="0005712B" w:rsidRPr="0005712B">
        <w:rPr>
          <w:b/>
          <w:bCs/>
        </w:rPr>
        <w:fldChar w:fldCharType="end"/>
      </w:r>
      <w:r w:rsidR="0005712B">
        <w:rPr>
          <w:b/>
          <w:bCs/>
        </w:rPr>
        <w:t>.</w:t>
      </w:r>
    </w:p>
    <w:p w14:paraId="274DB023" w14:textId="46086353" w:rsidR="00D404E8" w:rsidRDefault="00907015" w:rsidP="00962AB0">
      <w:pPr>
        <w:spacing w:line="276" w:lineRule="auto"/>
      </w:pPr>
      <w:r w:rsidRPr="00907015">
        <w:t xml:space="preserve">A key advantage of the traceable food balance framework is that it extends </w:t>
      </w:r>
      <w:r w:rsidR="00895C44">
        <w:t xml:space="preserve">agricultural storage measurement </w:t>
      </w:r>
      <w:r w:rsidRPr="00907015">
        <w:t>beyond primary commodities while separating storage-related elements</w:t>
      </w:r>
      <w:r w:rsidR="00D404E8" w:rsidRPr="00D404E8">
        <w:t>. By converting processed products to Primary Commodity equivalents (PCe), inventories of products such as flour, milled rice, vegetable oils and refined sugar can be combined consistently with stocks of the corresponding primary commodities while preserving their underlying physical requirements (</w:t>
      </w:r>
      <w:r w:rsidR="00D404E8" w:rsidRPr="00D404E8">
        <w:rPr>
          <w:b/>
          <w:bCs/>
        </w:rPr>
        <w:t>Main Fig. 1C &amp; Fig. 2</w:t>
      </w:r>
      <w:r w:rsidR="00D404E8" w:rsidRPr="00D404E8">
        <w:t>).</w:t>
      </w:r>
      <w:r w:rsidR="00D404E8">
        <w:t xml:space="preserve"> </w:t>
      </w:r>
      <w:r w:rsidR="00D404E8" w:rsidRPr="00D404E8">
        <w:t>This broader accounting boundary is quantitatively important</w:t>
      </w:r>
      <w:r w:rsidR="00D404E8">
        <w:t>, e.g.,</w:t>
      </w:r>
      <w:r w:rsidR="00D404E8" w:rsidRPr="00D404E8">
        <w:t xml:space="preserve"> in 2022, approximately 30% of global cereal-grain stocks were held as processed products</w:t>
      </w:r>
      <w:r w:rsidR="00266C38">
        <w:t xml:space="preserve"> </w:t>
      </w:r>
      <w:r w:rsidR="00D404E8" w:rsidRPr="00D404E8">
        <w:t>(</w:t>
      </w:r>
      <w:r w:rsidR="001512CA" w:rsidRPr="00D404E8">
        <w:rPr>
          <w:b/>
          <w:bCs/>
        </w:rPr>
        <w:t xml:space="preserve">Main </w:t>
      </w:r>
      <w:r w:rsidR="00D404E8" w:rsidRPr="00D404E8">
        <w:rPr>
          <w:b/>
          <w:bCs/>
        </w:rPr>
        <w:t>Fig. 1</w:t>
      </w:r>
      <w:r w:rsidR="00905E79">
        <w:rPr>
          <w:b/>
          <w:bCs/>
        </w:rPr>
        <w:t>D</w:t>
      </w:r>
      <w:r w:rsidR="00D404E8" w:rsidRPr="00D404E8">
        <w:t xml:space="preserve">). Capturing these downstream inventories provides a more comprehensive measure of commodities carried across time and improves their representation in global economic models, in which processing chains are typically represented at coarser sectoral resolution. Such inventories can contribute both to recurring demand for primary commodities and to the capacity of the agrifood system to shift available supply across periods. </w:t>
      </w:r>
    </w:p>
    <w:p w14:paraId="23AA89FF" w14:textId="2D478C72" w:rsidR="00D404E8" w:rsidRDefault="00D404E8" w:rsidP="00962AB0">
      <w:pPr>
        <w:spacing w:line="276" w:lineRule="auto"/>
      </w:pPr>
      <w:r w:rsidRPr="00D404E8">
        <w:t>Beyond expanding the measurement boundary, the reconstructed accounts reveal substantial heterogeneity in storage dynamics across commodities, regions</w:t>
      </w:r>
      <w:r w:rsidR="00401791">
        <w:t>,</w:t>
      </w:r>
      <w:r w:rsidRPr="00D404E8">
        <w:t xml:space="preserve"> and years</w:t>
      </w:r>
      <w:r w:rsidR="00401791">
        <w:t xml:space="preserve"> (</w:t>
      </w:r>
      <w:r w:rsidR="00401791" w:rsidRPr="00401791">
        <w:rPr>
          <w:b/>
          <w:bCs/>
        </w:rPr>
        <w:fldChar w:fldCharType="begin"/>
      </w:r>
      <w:r w:rsidR="00401791" w:rsidRPr="00401791">
        <w:rPr>
          <w:b/>
          <w:bCs/>
        </w:rPr>
        <w:instrText xml:space="preserve"> REF _Ref238416493 \h </w:instrText>
      </w:r>
      <w:r w:rsidR="00401791">
        <w:rPr>
          <w:b/>
          <w:bCs/>
        </w:rPr>
        <w:instrText xml:space="preserve"> \* MERGEFORMAT </w:instrText>
      </w:r>
      <w:r w:rsidR="00401791" w:rsidRPr="00401791">
        <w:rPr>
          <w:b/>
          <w:bCs/>
        </w:rPr>
      </w:r>
      <w:r w:rsidR="00401791" w:rsidRPr="00401791">
        <w:rPr>
          <w:b/>
          <w:bCs/>
        </w:rPr>
        <w:fldChar w:fldCharType="separate"/>
      </w:r>
      <w:r w:rsidR="003E354C" w:rsidRPr="003E354C">
        <w:rPr>
          <w:b/>
          <w:bCs/>
        </w:rPr>
        <w:t xml:space="preserve">Supplementary </w:t>
      </w:r>
      <w:r w:rsidR="003E354C" w:rsidRPr="003E354C">
        <w:rPr>
          <w:b/>
          <w:bCs/>
          <w:noProof/>
        </w:rPr>
        <w:t>Fig. 3</w:t>
      </w:r>
      <w:r w:rsidR="00401791" w:rsidRPr="00401791">
        <w:rPr>
          <w:b/>
          <w:bCs/>
        </w:rPr>
        <w:fldChar w:fldCharType="end"/>
      </w:r>
      <w:r w:rsidR="00401791">
        <w:t>)</w:t>
      </w:r>
      <w:r w:rsidRPr="00D404E8">
        <w:t>. Annual stock changes alternate between accumulation and drawdown, with markedly different magnitudes across regional commodity markets (</w:t>
      </w:r>
      <w:r w:rsidR="004A79E8" w:rsidRPr="00D404E8">
        <w:rPr>
          <w:b/>
          <w:bCs/>
        </w:rPr>
        <w:t>Main Fig. 1C &amp; Fig. 2</w:t>
      </w:r>
      <w:r w:rsidRPr="00D404E8">
        <w:t>). At the same time, storage intensity at the global level is comparatively persistent over 2010–2022 for most storable commodity groups (</w:t>
      </w:r>
      <w:r w:rsidR="00401791" w:rsidRPr="00401791">
        <w:rPr>
          <w:b/>
          <w:bCs/>
        </w:rPr>
        <w:fldChar w:fldCharType="begin"/>
      </w:r>
      <w:r w:rsidR="00401791" w:rsidRPr="00401791">
        <w:rPr>
          <w:b/>
          <w:bCs/>
        </w:rPr>
        <w:instrText xml:space="preserve"> REF _Ref238416502 \h  \* MERGEFORMAT </w:instrText>
      </w:r>
      <w:r w:rsidR="00401791" w:rsidRPr="00401791">
        <w:rPr>
          <w:b/>
          <w:bCs/>
        </w:rPr>
      </w:r>
      <w:r w:rsidR="00401791" w:rsidRPr="00401791">
        <w:rPr>
          <w:b/>
          <w:bCs/>
        </w:rPr>
        <w:fldChar w:fldCharType="separate"/>
      </w:r>
      <w:r w:rsidR="003E354C" w:rsidRPr="003E354C">
        <w:rPr>
          <w:b/>
          <w:bCs/>
        </w:rPr>
        <w:t xml:space="preserve">Supplementary </w:t>
      </w:r>
      <w:r w:rsidR="003E354C" w:rsidRPr="003E354C">
        <w:rPr>
          <w:b/>
          <w:bCs/>
          <w:noProof/>
        </w:rPr>
        <w:t>Fig. 4</w:t>
      </w:r>
      <w:r w:rsidR="00401791" w:rsidRPr="00401791">
        <w:rPr>
          <w:b/>
          <w:bCs/>
        </w:rPr>
        <w:fldChar w:fldCharType="end"/>
      </w:r>
      <w:r w:rsidRPr="00D404E8">
        <w:t>). Grains are a notable exception</w:t>
      </w:r>
      <w:r w:rsidR="001512CA">
        <w:t>, i.e.,</w:t>
      </w:r>
      <w:r w:rsidR="00401791">
        <w:t xml:space="preserve"> their global stock-to-gross-use ratio increased substantially after the 2011 food-price crisis through approximately 2018 before stabilizing</w:t>
      </w:r>
      <w:r w:rsidRPr="00D404E8">
        <w:t>, with much of this increase concentrated in a few major stockholding regions rather than occurring uniformly worldwide. More broadly, stock levels tend to scale with the size of domestic commodity use despite considerable regional variation in accumulation and drawdown. This combination of persistence and heterogeneity is consistent with inventories serving partly as working capital that supports commodity use across time, while also indicating that historical stock ratios should not be treated as fixed.</w:t>
      </w:r>
    </w:p>
    <w:p w14:paraId="1605082E" w14:textId="741E578C" w:rsidR="00D404E8" w:rsidRDefault="003045A0" w:rsidP="00962AB0">
      <w:pPr>
        <w:spacing w:line="276" w:lineRule="auto"/>
      </w:pPr>
      <w:r w:rsidRPr="003045A0">
        <w:t xml:space="preserve">Measures of storage intensity are also sensitive to the accounting boundary used to define the denominator. </w:t>
      </w:r>
      <w:r w:rsidR="001512CA" w:rsidRPr="00401791">
        <w:rPr>
          <w:b/>
          <w:bCs/>
        </w:rPr>
        <w:fldChar w:fldCharType="begin"/>
      </w:r>
      <w:r w:rsidR="001512CA" w:rsidRPr="00401791">
        <w:rPr>
          <w:b/>
          <w:bCs/>
        </w:rPr>
        <w:instrText xml:space="preserve"> REF _Ref238416502 \h  \* MERGEFORMAT </w:instrText>
      </w:r>
      <w:r w:rsidR="001512CA" w:rsidRPr="00401791">
        <w:rPr>
          <w:b/>
          <w:bCs/>
        </w:rPr>
      </w:r>
      <w:r w:rsidR="001512CA" w:rsidRPr="00401791">
        <w:rPr>
          <w:b/>
          <w:bCs/>
        </w:rPr>
        <w:fldChar w:fldCharType="separate"/>
      </w:r>
      <w:r w:rsidR="003E354C" w:rsidRPr="003E354C">
        <w:rPr>
          <w:b/>
          <w:bCs/>
        </w:rPr>
        <w:t xml:space="preserve">Supplementary </w:t>
      </w:r>
      <w:r w:rsidR="003E354C" w:rsidRPr="003E354C">
        <w:rPr>
          <w:b/>
          <w:bCs/>
          <w:noProof/>
        </w:rPr>
        <w:t>Fig. 4</w:t>
      </w:r>
      <w:r w:rsidR="001512CA" w:rsidRPr="00401791">
        <w:rPr>
          <w:b/>
          <w:bCs/>
        </w:rPr>
        <w:fldChar w:fldCharType="end"/>
      </w:r>
      <w:r w:rsidRPr="003045A0">
        <w:t xml:space="preserve"> and</w:t>
      </w:r>
      <w:r w:rsidR="004138F1">
        <w:t xml:space="preserve"> </w:t>
      </w:r>
      <w:r w:rsidR="008C7316" w:rsidRPr="008C7316">
        <w:rPr>
          <w:b/>
          <w:bCs/>
        </w:rPr>
        <w:fldChar w:fldCharType="begin"/>
      </w:r>
      <w:r w:rsidR="008C7316" w:rsidRPr="008C7316">
        <w:rPr>
          <w:b/>
          <w:bCs/>
        </w:rPr>
        <w:instrText xml:space="preserve"> REF _Ref238430574 \h </w:instrText>
      </w:r>
      <w:r w:rsidR="008C7316">
        <w:rPr>
          <w:b/>
          <w:bCs/>
        </w:rPr>
        <w:instrText xml:space="preserve"> \* MERGEFORMAT </w:instrText>
      </w:r>
      <w:r w:rsidR="008C7316" w:rsidRPr="008C7316">
        <w:rPr>
          <w:b/>
          <w:bCs/>
        </w:rPr>
      </w:r>
      <w:r w:rsidR="008C7316" w:rsidRPr="008C7316">
        <w:rPr>
          <w:b/>
          <w:bCs/>
        </w:rPr>
        <w:fldChar w:fldCharType="separate"/>
      </w:r>
      <w:r w:rsidR="003E354C" w:rsidRPr="003E354C">
        <w:rPr>
          <w:b/>
          <w:bCs/>
        </w:rPr>
        <w:t xml:space="preserve">Supplementary Table </w:t>
      </w:r>
      <w:r w:rsidR="003E354C" w:rsidRPr="003E354C">
        <w:rPr>
          <w:b/>
          <w:bCs/>
          <w:noProof/>
        </w:rPr>
        <w:t>5</w:t>
      </w:r>
      <w:r w:rsidR="008C7316" w:rsidRPr="008C7316">
        <w:rPr>
          <w:b/>
          <w:bCs/>
        </w:rPr>
        <w:fldChar w:fldCharType="end"/>
      </w:r>
      <w:r w:rsidRPr="003045A0">
        <w:t xml:space="preserve"> compare closing stocks relative to gross domestic use with opening stocks relative to gross domestic supply, illustrating that alternative but reasonable definitions can yield substantially different ratios, particularly in highly traded regions. In our preferred stock-to-gross-use measure, net closing stocks are compared with current domestic utilization, closing stocks</w:t>
      </w:r>
      <w:r>
        <w:t>,</w:t>
      </w:r>
      <w:r w:rsidRPr="003045A0">
        <w:t xml:space="preserve"> and inferred storage-associated losses; exports are excluded because they are not part of the domestic intertemporal allocation represented in the storage model. Likewise, the stock-to-gross-supply indicator excludes imports and relates opening stocks to domestic production and opening inventories. Including exports as part of use would, for example, mechanically lower measured storage intensity in major exporting regions, while including imports in gross supply would have an analogous effect in import-dependent regions. Treatment of storage loss also matters because closing stocks are observed net of loss, whereas the commodities lost during storage nevertheless required contemporaneous supply. These definitional differences highlight uncertainty in comparing storage ratios across regions and </w:t>
      </w:r>
      <w:r w:rsidR="00F1417B">
        <w:t>in</w:t>
      </w:r>
      <w:r w:rsidRPr="003045A0">
        <w:t xml:space="preserve"> the economic decision </w:t>
      </w:r>
      <w:r w:rsidR="001512CA">
        <w:t>the model represents</w:t>
      </w:r>
      <w:r w:rsidRPr="003045A0">
        <w:t>.</w:t>
      </w:r>
    </w:p>
    <w:p w14:paraId="186D26E6" w14:textId="681F0992" w:rsidR="00E50773" w:rsidRDefault="00E50773" w:rsidP="00962AB0">
      <w:pPr>
        <w:spacing w:line="276" w:lineRule="auto"/>
      </w:pPr>
      <w:r w:rsidRPr="00E50773">
        <w:t>The use-side measure is also more consistent across regions than the corresponding supply-side measure, supporting its use in the storage representation. For cereal grains in the 2021 base year, the closing stock-to-gross-use ratio ranges from 18% to 44% across IPCC R10 regions, compared with a wider range of 15% to 59% for the opening stock-to-gross-supply ratio (</w:t>
      </w:r>
      <w:r w:rsidRPr="00401791">
        <w:rPr>
          <w:b/>
          <w:bCs/>
        </w:rPr>
        <w:fldChar w:fldCharType="begin"/>
      </w:r>
      <w:r w:rsidRPr="00401791">
        <w:rPr>
          <w:b/>
          <w:bCs/>
        </w:rPr>
        <w:instrText xml:space="preserve"> REF _Ref238416502 \h  \* MERGEFORMAT </w:instrText>
      </w:r>
      <w:r w:rsidRPr="00401791">
        <w:rPr>
          <w:b/>
          <w:bCs/>
        </w:rPr>
      </w:r>
      <w:r w:rsidRPr="00401791">
        <w:rPr>
          <w:b/>
          <w:bCs/>
        </w:rPr>
        <w:fldChar w:fldCharType="separate"/>
      </w:r>
      <w:r w:rsidR="003E354C" w:rsidRPr="003E354C">
        <w:rPr>
          <w:b/>
          <w:bCs/>
        </w:rPr>
        <w:t xml:space="preserve">Supplementary </w:t>
      </w:r>
      <w:r w:rsidR="003E354C" w:rsidRPr="003E354C">
        <w:rPr>
          <w:b/>
          <w:bCs/>
          <w:noProof/>
        </w:rPr>
        <w:t>Fig. 4</w:t>
      </w:r>
      <w:r w:rsidRPr="00401791">
        <w:rPr>
          <w:b/>
          <w:bCs/>
        </w:rPr>
        <w:fldChar w:fldCharType="end"/>
      </w:r>
      <w:r w:rsidRPr="00E50773">
        <w:rPr>
          <w:b/>
          <w:bCs/>
        </w:rPr>
        <w:t xml:space="preserve">; </w:t>
      </w:r>
      <w:r w:rsidR="005B7FCC" w:rsidRPr="005B7FCC">
        <w:rPr>
          <w:b/>
          <w:bCs/>
        </w:rPr>
        <w:fldChar w:fldCharType="begin"/>
      </w:r>
      <w:r w:rsidR="005B7FCC" w:rsidRPr="005B7FCC">
        <w:rPr>
          <w:b/>
          <w:bCs/>
        </w:rPr>
        <w:instrText xml:space="preserve"> REF _Ref238430574 \h </w:instrText>
      </w:r>
      <w:r w:rsidR="005B7FCC">
        <w:rPr>
          <w:b/>
          <w:bCs/>
        </w:rPr>
        <w:instrText xml:space="preserve"> \* MERGEFORMAT </w:instrText>
      </w:r>
      <w:r w:rsidR="005B7FCC" w:rsidRPr="005B7FCC">
        <w:rPr>
          <w:b/>
          <w:bCs/>
        </w:rPr>
      </w:r>
      <w:r w:rsidR="005B7FCC" w:rsidRPr="005B7FCC">
        <w:rPr>
          <w:b/>
          <w:bCs/>
        </w:rPr>
        <w:fldChar w:fldCharType="separate"/>
      </w:r>
      <w:r w:rsidR="003E354C" w:rsidRPr="003E354C">
        <w:rPr>
          <w:b/>
          <w:bCs/>
        </w:rPr>
        <w:t xml:space="preserve">Supplementary Table </w:t>
      </w:r>
      <w:r w:rsidR="003E354C" w:rsidRPr="003E354C">
        <w:rPr>
          <w:b/>
          <w:bCs/>
          <w:noProof/>
        </w:rPr>
        <w:t>5</w:t>
      </w:r>
      <w:r w:rsidR="005B7FCC" w:rsidRPr="005B7FCC">
        <w:rPr>
          <w:b/>
          <w:bCs/>
        </w:rPr>
        <w:fldChar w:fldCharType="end"/>
      </w:r>
      <w:r w:rsidRPr="00E50773">
        <w:t xml:space="preserve">). Based on the regional values in </w:t>
      </w:r>
      <w:r w:rsidR="005B7FCC" w:rsidRPr="005B7FCC">
        <w:rPr>
          <w:b/>
          <w:bCs/>
        </w:rPr>
        <w:fldChar w:fldCharType="begin"/>
      </w:r>
      <w:r w:rsidR="005B7FCC" w:rsidRPr="005B7FCC">
        <w:rPr>
          <w:b/>
          <w:bCs/>
        </w:rPr>
        <w:instrText xml:space="preserve"> REF _Ref238430574 \h </w:instrText>
      </w:r>
      <w:r w:rsidR="005B7FCC">
        <w:rPr>
          <w:b/>
          <w:bCs/>
        </w:rPr>
        <w:instrText xml:space="preserve"> \* MERGEFORMAT </w:instrText>
      </w:r>
      <w:r w:rsidR="005B7FCC" w:rsidRPr="005B7FCC">
        <w:rPr>
          <w:b/>
          <w:bCs/>
        </w:rPr>
      </w:r>
      <w:r w:rsidR="005B7FCC" w:rsidRPr="005B7FCC">
        <w:rPr>
          <w:b/>
          <w:bCs/>
        </w:rPr>
        <w:fldChar w:fldCharType="separate"/>
      </w:r>
      <w:r w:rsidR="003E354C" w:rsidRPr="003E354C">
        <w:rPr>
          <w:b/>
          <w:bCs/>
        </w:rPr>
        <w:t xml:space="preserve">Supplementary Table </w:t>
      </w:r>
      <w:r w:rsidR="003E354C" w:rsidRPr="003E354C">
        <w:rPr>
          <w:b/>
          <w:bCs/>
          <w:noProof/>
        </w:rPr>
        <w:t>5</w:t>
      </w:r>
      <w:r w:rsidR="005B7FCC" w:rsidRPr="005B7FCC">
        <w:rPr>
          <w:b/>
          <w:bCs/>
        </w:rPr>
        <w:fldChar w:fldCharType="end"/>
      </w:r>
      <w:r w:rsidRPr="00E50773">
        <w:t xml:space="preserve">, the corresponding cross-regional standard deviations are approximately 8 and 14 percentage points, respectively. The same qualitative pattern is generally evident for the other storable crop groups, although its magnitude varies across commodities. Differences are particularly </w:t>
      </w:r>
      <w:r w:rsidRPr="00E50773">
        <w:lastRenderedPageBreak/>
        <w:t xml:space="preserve">pronounced where domestic production is poorly aligned with domestic use because of trade. For example, the Middle East has an opening stock-to-gross-supply ratio of 59% but a closing stock-to-gross-use ratio of 30%, whereas the corresponding ratios for Reforming Economies are 16% and 32%, respectively. More generally, the greater regularity of stocks relative to domestic use is consistent with inventories functioning as working capital that supports commodity flows through time, rather than being determined primarily by the location of production. </w:t>
      </w:r>
    </w:p>
    <w:p w14:paraId="5BAAC60A" w14:textId="41A321D5" w:rsidR="006D18D2" w:rsidRDefault="006D6FDD" w:rsidP="00962AB0">
      <w:pPr>
        <w:spacing w:line="276" w:lineRule="auto"/>
      </w:pPr>
      <w:r w:rsidRPr="006D6FDD">
        <w:t>Storage-associated losses introduce an additional measurement challenge because reported post-harvest losses do not distinguish losses occurring during storage from those arising during handling, transport, processing</w:t>
      </w:r>
      <w:r w:rsidR="00895B48">
        <w:t>,</w:t>
      </w:r>
      <w:r w:rsidRPr="006D6FDD">
        <w:t xml:space="preserve"> or other supply-chain activities. We therefore infer storage loss rates conservatively from the lower of loss relative to production and loss relative to current domestic utilization, as described in the </w:t>
      </w:r>
      <w:r w:rsidR="00895B48" w:rsidRPr="00895B48">
        <w:rPr>
          <w:b/>
          <w:bCs/>
        </w:rPr>
        <w:t>M</w:t>
      </w:r>
      <w:r w:rsidRPr="00895B48">
        <w:rPr>
          <w:b/>
          <w:bCs/>
        </w:rPr>
        <w:t>ain</w:t>
      </w:r>
      <w:r w:rsidRPr="006D6FDD">
        <w:t xml:space="preserve"> </w:t>
      </w:r>
      <w:r w:rsidRPr="00895B48">
        <w:rPr>
          <w:b/>
          <w:bCs/>
        </w:rPr>
        <w:t>Methods</w:t>
      </w:r>
      <w:r w:rsidRPr="006D6FDD">
        <w:t>. The resulting estimates are comparatively stable at the global level over 2010–2022, with average rates of approximately 5% for grains and higher values for several other storable crop groups, but show greater variation across regions and commodities (</w:t>
      </w:r>
      <w:r w:rsidRPr="006D6FDD">
        <w:rPr>
          <w:b/>
          <w:bCs/>
        </w:rPr>
        <w:t>Supplementary Fig. 5</w:t>
      </w:r>
      <w:r w:rsidRPr="006D6FDD">
        <w:t>). Some regional year-to-year spikes are likely to reflect uncertainty or outliers in the underlying reported loss data as well as genuine differences in storage conditions and supply-chain performance, and should therefore be interpreted cautiously. The alternative loss-to-supply and loss-to-demand indicators further illustrate how trade and the choice of accounting boundary can affect inferred regional rates. Explicitly separating storage-associated loss remains important because, unlike net stock accumulation, these losses generate recurring replacement demand</w:t>
      </w:r>
      <w:r w:rsidR="006D18D2">
        <w:t xml:space="preserve">. </w:t>
      </w:r>
      <w:r w:rsidR="006D18D2" w:rsidRPr="006D18D2">
        <w:t>Together, these reconstructed stock and loss measures provide the empirical basis for calibrating storage and representing it as an explicit intertemporal component of agricultural markets in GCAM.</w:t>
      </w:r>
    </w:p>
    <w:p w14:paraId="39F5535C" w14:textId="77777777" w:rsidR="00E50773" w:rsidRDefault="00E50773" w:rsidP="006E35B2"/>
    <w:p w14:paraId="2B4F7E01" w14:textId="1331C2AD" w:rsidR="00F81F13" w:rsidRDefault="00F81F13">
      <w:r>
        <w:br w:type="page"/>
      </w:r>
    </w:p>
    <w:p w14:paraId="79B8BA51" w14:textId="070C7F05" w:rsidR="00E63B58" w:rsidRPr="008066ED" w:rsidRDefault="00E63B58" w:rsidP="00C47468">
      <w:pPr>
        <w:pStyle w:val="Caption"/>
        <w:jc w:val="both"/>
        <w:rPr>
          <w:rFonts w:eastAsiaTheme="minorEastAsia" w:cs="Arial"/>
          <w:bCs/>
          <w:vanish/>
          <w:szCs w:val="22"/>
          <w:specVanish/>
        </w:rPr>
      </w:pPr>
      <w:bookmarkStart w:id="8" w:name="_Ref134864765"/>
      <w:bookmarkStart w:id="9" w:name="_Ref162476437"/>
      <w:bookmarkStart w:id="10" w:name="_Toc241138213"/>
      <w:bookmarkStart w:id="11" w:name="_Hlk161660416"/>
      <w:r w:rsidRPr="008066ED">
        <w:rPr>
          <w:rFonts w:eastAsiaTheme="minorEastAsia" w:cs="Arial"/>
          <w:bCs/>
          <w:szCs w:val="22"/>
        </w:rPr>
        <w:lastRenderedPageBreak/>
        <w:t xml:space="preserve">Supplementary Table </w:t>
      </w:r>
      <w:r w:rsidRPr="008066ED">
        <w:rPr>
          <w:rFonts w:eastAsiaTheme="minorEastAsia" w:cs="Arial"/>
          <w:bCs/>
          <w:szCs w:val="22"/>
        </w:rPr>
        <w:fldChar w:fldCharType="begin"/>
      </w:r>
      <w:r w:rsidRPr="008066ED">
        <w:rPr>
          <w:rFonts w:eastAsiaTheme="minorEastAsia" w:cs="Arial"/>
          <w:bCs/>
          <w:szCs w:val="22"/>
        </w:rPr>
        <w:instrText xml:space="preserve"> SEQ Table \* ARABIC </w:instrText>
      </w:r>
      <w:r w:rsidRPr="008066ED">
        <w:rPr>
          <w:rFonts w:eastAsiaTheme="minorEastAsia" w:cs="Arial"/>
          <w:bCs/>
          <w:szCs w:val="22"/>
        </w:rPr>
        <w:fldChar w:fldCharType="separate"/>
      </w:r>
      <w:r w:rsidR="003E354C">
        <w:rPr>
          <w:rFonts w:eastAsiaTheme="minorEastAsia" w:cs="Arial"/>
          <w:bCs/>
          <w:noProof/>
          <w:szCs w:val="22"/>
        </w:rPr>
        <w:t>3</w:t>
      </w:r>
      <w:r w:rsidRPr="008066ED">
        <w:rPr>
          <w:rFonts w:eastAsiaTheme="minorEastAsia" w:cs="Arial"/>
          <w:bCs/>
          <w:szCs w:val="22"/>
        </w:rPr>
        <w:fldChar w:fldCharType="end"/>
      </w:r>
      <w:bookmarkEnd w:id="8"/>
      <w:bookmarkEnd w:id="9"/>
      <w:r w:rsidRPr="008066ED">
        <w:rPr>
          <w:rFonts w:eastAsiaTheme="minorEastAsia" w:cs="Arial"/>
          <w:bCs/>
          <w:szCs w:val="22"/>
        </w:rPr>
        <w:t xml:space="preserve"> | Agricultural commodity mapping between GCAM commodit</w:t>
      </w:r>
      <w:r>
        <w:rPr>
          <w:rFonts w:eastAsiaTheme="minorEastAsia" w:cs="Arial"/>
          <w:bCs/>
          <w:szCs w:val="22"/>
        </w:rPr>
        <w:t>ies</w:t>
      </w:r>
      <w:r w:rsidRPr="008066ED">
        <w:rPr>
          <w:rFonts w:eastAsiaTheme="minorEastAsia" w:cs="Arial"/>
          <w:bCs/>
          <w:szCs w:val="22"/>
        </w:rPr>
        <w:t xml:space="preserve"> and FAO</w:t>
      </w:r>
      <w:r>
        <w:rPr>
          <w:rFonts w:eastAsiaTheme="minorEastAsia" w:cs="Arial"/>
          <w:bCs/>
          <w:szCs w:val="22"/>
        </w:rPr>
        <w:t xml:space="preserve"> primary items</w:t>
      </w:r>
      <w:r w:rsidRPr="008066ED">
        <w:rPr>
          <w:rFonts w:eastAsiaTheme="minorEastAsia" w:cs="Arial"/>
          <w:bCs/>
          <w:szCs w:val="22"/>
        </w:rPr>
        <w:t>.</w:t>
      </w:r>
      <w:bookmarkEnd w:id="10"/>
    </w:p>
    <w:bookmarkEnd w:id="11"/>
    <w:p w14:paraId="3ED0AA2A" w14:textId="25FD3460" w:rsidR="00E63B58" w:rsidRPr="008066ED" w:rsidRDefault="00E63B58" w:rsidP="00C47468">
      <w:pPr>
        <w:spacing w:line="240" w:lineRule="auto"/>
        <w:jc w:val="both"/>
        <w:rPr>
          <w:rFonts w:cs="Arial"/>
        </w:rPr>
      </w:pPr>
      <w:r w:rsidRPr="008066ED">
        <w:rPr>
          <w:rFonts w:cs="Arial"/>
        </w:rPr>
        <w:t xml:space="preserve"> </w:t>
      </w:r>
      <w:r w:rsidRPr="00FC18B3">
        <w:rPr>
          <w:rFonts w:cs="Arial"/>
        </w:rPr>
        <w:t>Source: GCAM Core Model Proposal (CMP)-382</w:t>
      </w:r>
      <w:r w:rsidRPr="00FC18B3">
        <w:rPr>
          <w:rFonts w:cs="Arial"/>
        </w:rPr>
        <w:fldChar w:fldCharType="begin"/>
      </w:r>
      <w:r w:rsidR="00BC1514">
        <w:rPr>
          <w:rFonts w:cs="Arial"/>
        </w:rPr>
        <w:instrText xml:space="preserve"> ADDIN ZOTERO_ITEM CSL_CITATION {"citationID":"a2ith7tp9ne","properties":{"unsorted":false,"formattedCitation":"\\super 28\\nosupersub{}","plainCitation":"28","noteIndex":0},"citationItems":[{"id":6444,"uris":["http://zotero.org/users/8267882/items/JUX3DYE9"],"itemData":{"id":6444,"type":"report","DOI":"10.2172/3024073","number":"PNNL-36031","publisher":"Pacific Northwest National Laboratory","publisher-place":"College Park, USA","title":"Core Model Proposal #382: Representing agricultural and food storage","URL":"https://github.com/JGCRI/gcam-doc/blob/gh-pages/cmp/382-AgFoodStorage.pdf","author":[{"family":"Zhao","given":"Xin"},{"family":"Patel","given":"Pralit"},{"family":"Ellie","given":"Lochner"},{"family":"Binsted","given":"Matthew"}],"accessed":{"date-parts":[["2024",7,12]]},"issued":{"date-parts":[["2024"]]}}}],"schema":"https://github.com/citation-style-language/schema/raw/master/csl-citation.json"} </w:instrText>
      </w:r>
      <w:r w:rsidRPr="00FC18B3">
        <w:rPr>
          <w:rFonts w:cs="Arial"/>
        </w:rPr>
        <w:fldChar w:fldCharType="separate"/>
      </w:r>
      <w:r w:rsidR="007916B3" w:rsidRPr="007916B3">
        <w:rPr>
          <w:rFonts w:cs="Arial"/>
          <w:vertAlign w:val="superscript"/>
        </w:rPr>
        <w:t>28</w:t>
      </w:r>
      <w:r w:rsidRPr="00FC18B3">
        <w:rPr>
          <w:rFonts w:cs="Arial"/>
        </w:rPr>
        <w:fldChar w:fldCharType="end"/>
      </w:r>
      <w:r w:rsidRPr="00FC18B3">
        <w:rPr>
          <w:rFonts w:cs="Arial"/>
        </w:rPr>
        <w:t>. GCAM commodities are further aggregated into broader commodity groups for analysis and reporting.</w:t>
      </w:r>
    </w:p>
    <w:tbl>
      <w:tblPr>
        <w:tblStyle w:val="ListTable1Light-Accent3"/>
        <w:tblW w:w="5000" w:type="pct"/>
        <w:tblLook w:val="04A0" w:firstRow="1" w:lastRow="0" w:firstColumn="1" w:lastColumn="0" w:noHBand="0" w:noVBand="1"/>
      </w:tblPr>
      <w:tblGrid>
        <w:gridCol w:w="870"/>
        <w:gridCol w:w="1629"/>
        <w:gridCol w:w="8301"/>
      </w:tblGrid>
      <w:tr w:rsidR="00E63B58" w:rsidRPr="008066ED" w14:paraId="668AE8FA" w14:textId="77777777" w:rsidTr="00D45C6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3" w:type="pct"/>
            <w:tcBorders>
              <w:top w:val="single" w:sz="4" w:space="0" w:color="auto"/>
              <w:bottom w:val="single" w:sz="4" w:space="0" w:color="auto"/>
            </w:tcBorders>
            <w:vAlign w:val="center"/>
          </w:tcPr>
          <w:p w14:paraId="661CE718" w14:textId="77777777" w:rsidR="00E63B58" w:rsidRDefault="00E63B58" w:rsidP="00CB10D4">
            <w:pPr>
              <w:jc w:val="center"/>
              <w:rPr>
                <w:rFonts w:eastAsia="Times New Roman" w:cs="Arial"/>
                <w:color w:val="000000"/>
                <w:sz w:val="20"/>
                <w:szCs w:val="20"/>
              </w:rPr>
            </w:pPr>
            <w:r>
              <w:rPr>
                <w:rFonts w:eastAsia="Times New Roman" w:cs="Arial"/>
                <w:b w:val="0"/>
                <w:bCs w:val="0"/>
                <w:color w:val="000000"/>
                <w:sz w:val="20"/>
                <w:szCs w:val="20"/>
              </w:rPr>
              <w:t>S</w:t>
            </w:r>
            <w:r w:rsidRPr="00E80123">
              <w:rPr>
                <w:rFonts w:eastAsia="Times New Roman" w:cs="Arial"/>
                <w:b w:val="0"/>
                <w:bCs w:val="0"/>
                <w:color w:val="000000"/>
                <w:sz w:val="20"/>
                <w:szCs w:val="20"/>
              </w:rPr>
              <w:t>ector</w:t>
            </w:r>
          </w:p>
          <w:p w14:paraId="7DDA7BC0" w14:textId="77777777" w:rsidR="00E63B58" w:rsidRPr="00E80123" w:rsidRDefault="00E63B58" w:rsidP="00CB10D4">
            <w:pPr>
              <w:jc w:val="center"/>
              <w:rPr>
                <w:rFonts w:eastAsia="Times New Roman" w:cs="Arial"/>
                <w:b w:val="0"/>
                <w:bCs w:val="0"/>
                <w:color w:val="000000"/>
                <w:sz w:val="20"/>
                <w:szCs w:val="20"/>
              </w:rPr>
            </w:pPr>
            <w:r w:rsidRPr="00D94C2C">
              <w:rPr>
                <w:rFonts w:eastAsia="Times New Roman" w:cs="Arial"/>
                <w:b w:val="0"/>
                <w:bCs w:val="0"/>
                <w:color w:val="000000"/>
                <w:sz w:val="18"/>
                <w:szCs w:val="18"/>
              </w:rPr>
              <w:t>(Agg</w:t>
            </w:r>
            <w:r>
              <w:rPr>
                <w:rFonts w:eastAsia="Times New Roman" w:cs="Arial"/>
                <w:b w:val="0"/>
                <w:bCs w:val="0"/>
                <w:color w:val="000000"/>
                <w:sz w:val="18"/>
                <w:szCs w:val="18"/>
              </w:rPr>
              <w:t>.</w:t>
            </w:r>
            <w:r w:rsidRPr="00D94C2C">
              <w:rPr>
                <w:rFonts w:eastAsia="Times New Roman" w:cs="Arial"/>
                <w:b w:val="0"/>
                <w:bCs w:val="0"/>
                <w:color w:val="000000"/>
                <w:sz w:val="18"/>
                <w:szCs w:val="18"/>
              </w:rPr>
              <w:t xml:space="preserve">) </w:t>
            </w:r>
            <w:r>
              <w:rPr>
                <w:rFonts w:eastAsia="Times New Roman" w:cs="Arial"/>
                <w:b w:val="0"/>
                <w:bCs w:val="0"/>
                <w:color w:val="000000"/>
                <w:sz w:val="20"/>
                <w:szCs w:val="20"/>
              </w:rPr>
              <w:t xml:space="preserve">      </w:t>
            </w:r>
          </w:p>
        </w:tc>
        <w:tc>
          <w:tcPr>
            <w:tcW w:w="754" w:type="pct"/>
            <w:tcBorders>
              <w:top w:val="single" w:sz="4" w:space="0" w:color="auto"/>
              <w:bottom w:val="single" w:sz="4" w:space="0" w:color="auto"/>
            </w:tcBorders>
            <w:noWrap/>
            <w:vAlign w:val="center"/>
            <w:hideMark/>
          </w:tcPr>
          <w:p w14:paraId="41CA7481" w14:textId="77777777" w:rsidR="00E63B58" w:rsidRPr="00E80123" w:rsidRDefault="00E63B58" w:rsidP="00CB10D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rPr>
            </w:pPr>
            <w:r w:rsidRPr="00E80123">
              <w:rPr>
                <w:rFonts w:eastAsia="Times New Roman" w:cs="Arial"/>
                <w:b w:val="0"/>
                <w:bCs w:val="0"/>
                <w:color w:val="000000"/>
                <w:sz w:val="20"/>
                <w:szCs w:val="20"/>
              </w:rPr>
              <w:t>GCAM commodity</w:t>
            </w:r>
          </w:p>
        </w:tc>
        <w:tc>
          <w:tcPr>
            <w:tcW w:w="3843" w:type="pct"/>
            <w:tcBorders>
              <w:top w:val="single" w:sz="4" w:space="0" w:color="auto"/>
              <w:bottom w:val="single" w:sz="4" w:space="0" w:color="auto"/>
            </w:tcBorders>
            <w:noWrap/>
            <w:vAlign w:val="center"/>
            <w:hideMark/>
          </w:tcPr>
          <w:p w14:paraId="0EE4472B" w14:textId="77777777" w:rsidR="00E63B58" w:rsidRPr="00E80123" w:rsidRDefault="00E63B58" w:rsidP="00CB10D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20"/>
                <w:szCs w:val="20"/>
              </w:rPr>
            </w:pPr>
            <w:r w:rsidRPr="00E80123">
              <w:rPr>
                <w:rFonts w:eastAsia="Times New Roman" w:cs="Arial"/>
                <w:b w:val="0"/>
                <w:bCs w:val="0"/>
                <w:color w:val="000000"/>
                <w:sz w:val="20"/>
                <w:szCs w:val="20"/>
              </w:rPr>
              <w:t>FAO primary item (240)</w:t>
            </w:r>
          </w:p>
        </w:tc>
      </w:tr>
      <w:tr w:rsidR="00D45C6C" w:rsidRPr="008066ED" w14:paraId="305235CC"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val="restart"/>
            <w:tcBorders>
              <w:top w:val="single" w:sz="4" w:space="0" w:color="auto"/>
            </w:tcBorders>
            <w:shd w:val="clear" w:color="auto" w:fill="D0CECE" w:themeFill="background2" w:themeFillShade="E6"/>
            <w:vAlign w:val="center"/>
          </w:tcPr>
          <w:p w14:paraId="7A18AD09" w14:textId="72A6A095" w:rsidR="00D45C6C" w:rsidRPr="00D45C6C" w:rsidRDefault="00D45C6C" w:rsidP="00D45C6C">
            <w:pPr>
              <w:jc w:val="center"/>
              <w:rPr>
                <w:rFonts w:eastAsia="Times New Roman" w:cs="Arial"/>
                <w:color w:val="000000"/>
                <w:sz w:val="18"/>
                <w:szCs w:val="18"/>
              </w:rPr>
            </w:pPr>
            <w:r w:rsidRPr="00E80123">
              <w:rPr>
                <w:rFonts w:eastAsia="Times New Roman" w:cs="Arial"/>
                <w:b w:val="0"/>
                <w:bCs w:val="0"/>
                <w:color w:val="000000"/>
                <w:sz w:val="18"/>
                <w:szCs w:val="18"/>
              </w:rPr>
              <w:t>Grains</w:t>
            </w:r>
          </w:p>
        </w:tc>
        <w:tc>
          <w:tcPr>
            <w:tcW w:w="754" w:type="pct"/>
            <w:tcBorders>
              <w:top w:val="single" w:sz="4" w:space="0" w:color="auto"/>
            </w:tcBorders>
            <w:noWrap/>
            <w:vAlign w:val="center"/>
            <w:hideMark/>
          </w:tcPr>
          <w:p w14:paraId="1FB339E4"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Wheat</w:t>
            </w:r>
          </w:p>
        </w:tc>
        <w:tc>
          <w:tcPr>
            <w:tcW w:w="3843" w:type="pct"/>
            <w:tcBorders>
              <w:top w:val="single" w:sz="4" w:space="0" w:color="auto"/>
            </w:tcBorders>
            <w:noWrap/>
            <w:vAlign w:val="center"/>
            <w:hideMark/>
          </w:tcPr>
          <w:p w14:paraId="39C0B0FA"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Wheat</w:t>
            </w:r>
          </w:p>
        </w:tc>
      </w:tr>
      <w:tr w:rsidR="00D45C6C" w:rsidRPr="008066ED" w14:paraId="2C051B2B"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D0CECE" w:themeFill="background2" w:themeFillShade="E6"/>
            <w:vAlign w:val="center"/>
          </w:tcPr>
          <w:p w14:paraId="5CE697D1" w14:textId="1ED2CD1C"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155B1C6C"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Rice</w:t>
            </w:r>
          </w:p>
        </w:tc>
        <w:tc>
          <w:tcPr>
            <w:tcW w:w="3843" w:type="pct"/>
            <w:noWrap/>
            <w:vAlign w:val="center"/>
            <w:hideMark/>
          </w:tcPr>
          <w:p w14:paraId="635E197F"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Rice, paddy</w:t>
            </w:r>
          </w:p>
        </w:tc>
      </w:tr>
      <w:tr w:rsidR="00D45C6C" w:rsidRPr="008066ED" w14:paraId="5D76DE06"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D0CECE" w:themeFill="background2" w:themeFillShade="E6"/>
            <w:vAlign w:val="center"/>
          </w:tcPr>
          <w:p w14:paraId="5AF00807" w14:textId="2BE2A916"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4570D25A"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Corn</w:t>
            </w:r>
          </w:p>
        </w:tc>
        <w:tc>
          <w:tcPr>
            <w:tcW w:w="3843" w:type="pct"/>
            <w:noWrap/>
            <w:vAlign w:val="center"/>
            <w:hideMark/>
          </w:tcPr>
          <w:p w14:paraId="1442B06C"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Maize</w:t>
            </w:r>
          </w:p>
        </w:tc>
      </w:tr>
      <w:tr w:rsidR="00D45C6C" w:rsidRPr="008066ED" w14:paraId="67BC9800"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D0CECE" w:themeFill="background2" w:themeFillShade="E6"/>
            <w:vAlign w:val="center"/>
          </w:tcPr>
          <w:p w14:paraId="34306E43" w14:textId="0EE95224"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4102D143"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OtherGrain</w:t>
            </w:r>
          </w:p>
        </w:tc>
        <w:tc>
          <w:tcPr>
            <w:tcW w:w="3843" w:type="pct"/>
            <w:vAlign w:val="center"/>
            <w:hideMark/>
          </w:tcPr>
          <w:p w14:paraId="2422D7C6"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Barley; Buckwheat; Canary seed; Cereals nes; Fonio; Grain, mixed; Oats; Quinoa; Rye; Triticale; Millet; Sorghum</w:t>
            </w:r>
          </w:p>
        </w:tc>
      </w:tr>
      <w:tr w:rsidR="00D45C6C" w:rsidRPr="008066ED" w14:paraId="21A0646F" w14:textId="77777777" w:rsidTr="00D45C6C">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03" w:type="pct"/>
            <w:vMerge w:val="restart"/>
            <w:shd w:val="clear" w:color="auto" w:fill="AEAAAA" w:themeFill="background2" w:themeFillShade="BF"/>
            <w:vAlign w:val="center"/>
          </w:tcPr>
          <w:p w14:paraId="4920265E" w14:textId="5A1F338A" w:rsidR="00D45C6C" w:rsidRPr="00D45C6C" w:rsidRDefault="00D45C6C" w:rsidP="00D45C6C">
            <w:pPr>
              <w:jc w:val="center"/>
              <w:rPr>
                <w:rFonts w:eastAsia="Times New Roman" w:cs="Arial"/>
                <w:color w:val="000000"/>
                <w:sz w:val="18"/>
                <w:szCs w:val="18"/>
              </w:rPr>
            </w:pPr>
            <w:r w:rsidRPr="00E80123">
              <w:rPr>
                <w:rFonts w:eastAsia="Times New Roman" w:cs="Arial"/>
                <w:b w:val="0"/>
                <w:bCs w:val="0"/>
                <w:color w:val="000000"/>
                <w:sz w:val="18"/>
                <w:szCs w:val="18"/>
              </w:rPr>
              <w:t>Oil crops</w:t>
            </w:r>
          </w:p>
        </w:tc>
        <w:tc>
          <w:tcPr>
            <w:tcW w:w="754" w:type="pct"/>
            <w:noWrap/>
            <w:vAlign w:val="center"/>
            <w:hideMark/>
          </w:tcPr>
          <w:p w14:paraId="716CD357"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Soybean</w:t>
            </w:r>
          </w:p>
        </w:tc>
        <w:tc>
          <w:tcPr>
            <w:tcW w:w="3843" w:type="pct"/>
            <w:noWrap/>
            <w:vAlign w:val="center"/>
            <w:hideMark/>
          </w:tcPr>
          <w:p w14:paraId="76F49FB9"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Soybeans</w:t>
            </w:r>
          </w:p>
        </w:tc>
      </w:tr>
      <w:tr w:rsidR="00D45C6C" w:rsidRPr="008066ED" w14:paraId="7A47398B"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vAlign w:val="center"/>
          </w:tcPr>
          <w:p w14:paraId="2139C347" w14:textId="17BF475D"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4005432D"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OilPalm (Tree)</w:t>
            </w:r>
          </w:p>
        </w:tc>
        <w:tc>
          <w:tcPr>
            <w:tcW w:w="3843" w:type="pct"/>
            <w:noWrap/>
            <w:vAlign w:val="center"/>
            <w:hideMark/>
          </w:tcPr>
          <w:p w14:paraId="24EEDAA9"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Oil palm fruit</w:t>
            </w:r>
          </w:p>
        </w:tc>
      </w:tr>
      <w:tr w:rsidR="00D45C6C" w:rsidRPr="008066ED" w14:paraId="39A971F8"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vAlign w:val="center"/>
          </w:tcPr>
          <w:p w14:paraId="19777386" w14:textId="046F3472"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1697900F"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OilCrop</w:t>
            </w:r>
          </w:p>
        </w:tc>
        <w:tc>
          <w:tcPr>
            <w:tcW w:w="3843" w:type="pct"/>
            <w:vAlign w:val="center"/>
            <w:hideMark/>
          </w:tcPr>
          <w:p w14:paraId="4F7E41A7"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Castor oil seed; Hempseed; Jojoba seed; Linseed; Melonseed; Mustard seed; Oilseeds nes; Poppy seed; Rapeseed; Safflower seed; Sesame seed; Sunflower seed</w:t>
            </w:r>
          </w:p>
        </w:tc>
      </w:tr>
      <w:tr w:rsidR="00D45C6C" w:rsidRPr="008066ED" w14:paraId="09B18502"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vAlign w:val="center"/>
          </w:tcPr>
          <w:p w14:paraId="348609D1" w14:textId="2BFE2712"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15335EC9"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OilCrop (Tree)</w:t>
            </w:r>
          </w:p>
        </w:tc>
        <w:tc>
          <w:tcPr>
            <w:tcW w:w="3843" w:type="pct"/>
            <w:vAlign w:val="center"/>
            <w:hideMark/>
          </w:tcPr>
          <w:p w14:paraId="6EC7FFE9"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Coconuts; Kapok fruit; Karite nuts (sheanuts); Olives; Tallowtree seed; Tung nuts</w:t>
            </w:r>
          </w:p>
        </w:tc>
      </w:tr>
      <w:tr w:rsidR="00E63B58" w:rsidRPr="008066ED" w14:paraId="6F247684"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shd w:val="clear" w:color="auto" w:fill="D0CECE" w:themeFill="background2" w:themeFillShade="E6"/>
            <w:vAlign w:val="center"/>
          </w:tcPr>
          <w:p w14:paraId="7A485ED6" w14:textId="77777777" w:rsidR="00E63B58" w:rsidRPr="00E80123" w:rsidRDefault="00E63B58" w:rsidP="00CB10D4">
            <w:pPr>
              <w:jc w:val="center"/>
              <w:rPr>
                <w:rFonts w:eastAsia="Times New Roman" w:cs="Arial"/>
                <w:b w:val="0"/>
                <w:bCs w:val="0"/>
                <w:color w:val="000000"/>
                <w:sz w:val="18"/>
                <w:szCs w:val="18"/>
              </w:rPr>
            </w:pPr>
            <w:r w:rsidRPr="00E80123">
              <w:rPr>
                <w:rFonts w:eastAsia="Times New Roman" w:cs="Arial"/>
                <w:b w:val="0"/>
                <w:bCs w:val="0"/>
                <w:color w:val="000000"/>
                <w:sz w:val="18"/>
                <w:szCs w:val="18"/>
              </w:rPr>
              <w:t>Sugar crops</w:t>
            </w:r>
          </w:p>
        </w:tc>
        <w:tc>
          <w:tcPr>
            <w:tcW w:w="754" w:type="pct"/>
            <w:noWrap/>
            <w:vAlign w:val="center"/>
          </w:tcPr>
          <w:p w14:paraId="456B3206" w14:textId="77777777" w:rsidR="00E63B58" w:rsidRPr="008066ED" w:rsidRDefault="00E63B58"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rPr>
            </w:pPr>
            <w:r w:rsidRPr="008066ED">
              <w:rPr>
                <w:rFonts w:eastAsia="Times New Roman" w:cs="Arial"/>
                <w:color w:val="000000"/>
                <w:sz w:val="18"/>
                <w:szCs w:val="18"/>
              </w:rPr>
              <w:t>SugarCrop</w:t>
            </w:r>
          </w:p>
        </w:tc>
        <w:tc>
          <w:tcPr>
            <w:tcW w:w="3843" w:type="pct"/>
            <w:vAlign w:val="center"/>
          </w:tcPr>
          <w:p w14:paraId="3C6AFACE" w14:textId="77777777" w:rsidR="00E63B58" w:rsidRPr="00D94C2C" w:rsidRDefault="00E63B58"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Sugar cane; Sugar beet; Sugar crops nes</w:t>
            </w:r>
          </w:p>
        </w:tc>
      </w:tr>
      <w:tr w:rsidR="00D45C6C" w:rsidRPr="008066ED" w14:paraId="6C593C91"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val="restart"/>
            <w:shd w:val="clear" w:color="auto" w:fill="AEAAAA" w:themeFill="background2" w:themeFillShade="BF"/>
            <w:vAlign w:val="center"/>
          </w:tcPr>
          <w:p w14:paraId="64E3A34E" w14:textId="68E6AEFD" w:rsidR="00D45C6C" w:rsidRPr="00D45C6C" w:rsidRDefault="00D45C6C" w:rsidP="00D45C6C">
            <w:pPr>
              <w:jc w:val="center"/>
              <w:rPr>
                <w:rFonts w:eastAsia="Times New Roman" w:cs="Arial"/>
                <w:color w:val="000000"/>
                <w:sz w:val="18"/>
                <w:szCs w:val="18"/>
              </w:rPr>
            </w:pPr>
            <w:r w:rsidRPr="00E80123">
              <w:rPr>
                <w:rFonts w:eastAsia="Times New Roman" w:cs="Arial"/>
                <w:b w:val="0"/>
                <w:bCs w:val="0"/>
                <w:color w:val="000000"/>
                <w:sz w:val="18"/>
                <w:szCs w:val="18"/>
              </w:rPr>
              <w:t>Other crops</w:t>
            </w:r>
          </w:p>
        </w:tc>
        <w:tc>
          <w:tcPr>
            <w:tcW w:w="754" w:type="pct"/>
            <w:noWrap/>
            <w:vAlign w:val="center"/>
            <w:hideMark/>
          </w:tcPr>
          <w:p w14:paraId="0BFCE332"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RootTuber</w:t>
            </w:r>
          </w:p>
        </w:tc>
        <w:tc>
          <w:tcPr>
            <w:tcW w:w="3843" w:type="pct"/>
            <w:vAlign w:val="center"/>
            <w:hideMark/>
          </w:tcPr>
          <w:p w14:paraId="7FA4B24D"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 xml:space="preserve">Cassava; Potatoes; Roots and tubers nes; Sweet potatoes; Taro (cocoyam); Yams; Yautia (cocoyam); </w:t>
            </w:r>
          </w:p>
        </w:tc>
      </w:tr>
      <w:tr w:rsidR="00D45C6C" w:rsidRPr="008066ED" w14:paraId="2536F5DC"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tcPr>
          <w:p w14:paraId="3675659C" w14:textId="6B7B8924"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50C7F0E8"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FiberCrop</w:t>
            </w:r>
          </w:p>
        </w:tc>
        <w:tc>
          <w:tcPr>
            <w:tcW w:w="3843" w:type="pct"/>
            <w:vAlign w:val="center"/>
            <w:hideMark/>
          </w:tcPr>
          <w:p w14:paraId="2171C8F4"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Fibre crops nes; Flax fibre and tow; Hemp tow waste; Jute; Manila fibre (abaca); Ramie; Seed cotton; Sisal</w:t>
            </w:r>
          </w:p>
        </w:tc>
      </w:tr>
      <w:tr w:rsidR="00D45C6C" w:rsidRPr="008066ED" w14:paraId="5B988328"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tcPr>
          <w:p w14:paraId="4882BBC2" w14:textId="0935DEF4"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5A69DC37"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NutsSeeds</w:t>
            </w:r>
          </w:p>
        </w:tc>
        <w:tc>
          <w:tcPr>
            <w:tcW w:w="3843" w:type="pct"/>
            <w:noWrap/>
            <w:vAlign w:val="center"/>
            <w:hideMark/>
          </w:tcPr>
          <w:p w14:paraId="2A32028C"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Groundnuts, with shell</w:t>
            </w:r>
          </w:p>
        </w:tc>
      </w:tr>
      <w:tr w:rsidR="00D45C6C" w:rsidRPr="008066ED" w14:paraId="44694503"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tcPr>
          <w:p w14:paraId="04EC8E9F" w14:textId="577B38B8"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02280B42"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NutsSeeds (Tree)</w:t>
            </w:r>
          </w:p>
        </w:tc>
        <w:tc>
          <w:tcPr>
            <w:tcW w:w="3843" w:type="pct"/>
            <w:vAlign w:val="center"/>
            <w:hideMark/>
          </w:tcPr>
          <w:p w14:paraId="55449DDF"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Almonds, with shell; Areca nuts; Brazil nuts, with shell; Cashew nuts, with shell; Chestnut; Hazelnuts, with shell; Kola nuts; Nuts nes; Pistachios; Walnuts, with shell</w:t>
            </w:r>
          </w:p>
        </w:tc>
      </w:tr>
      <w:tr w:rsidR="00D45C6C" w:rsidRPr="008066ED" w14:paraId="57407C62"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tcPr>
          <w:p w14:paraId="15895C22" w14:textId="6A6E76F7"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51A0483C"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Legumes</w:t>
            </w:r>
          </w:p>
        </w:tc>
        <w:tc>
          <w:tcPr>
            <w:tcW w:w="3843" w:type="pct"/>
            <w:vAlign w:val="center"/>
            <w:hideMark/>
          </w:tcPr>
          <w:p w14:paraId="0D00155E"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Bambara beans; Beans, dry; Broad beans, horse beans, dry; Chick peas; Cow peas, dry; Lentils; Lupins; Peas, dry; Pigeon peas; Pulses nes; Vetches</w:t>
            </w:r>
          </w:p>
        </w:tc>
      </w:tr>
      <w:tr w:rsidR="00D45C6C" w:rsidRPr="008066ED" w14:paraId="11B81BF6"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val="restart"/>
            <w:shd w:val="clear" w:color="auto" w:fill="D0CECE" w:themeFill="background2" w:themeFillShade="E6"/>
            <w:vAlign w:val="center"/>
          </w:tcPr>
          <w:p w14:paraId="5FF08F25" w14:textId="77777777" w:rsidR="00D45C6C" w:rsidRDefault="00D45C6C" w:rsidP="00CB10D4">
            <w:pPr>
              <w:jc w:val="center"/>
              <w:rPr>
                <w:rFonts w:eastAsia="Times New Roman" w:cs="Arial"/>
                <w:color w:val="000000"/>
                <w:sz w:val="18"/>
                <w:szCs w:val="18"/>
              </w:rPr>
            </w:pPr>
            <w:r w:rsidRPr="00E80123">
              <w:rPr>
                <w:rFonts w:eastAsia="Times New Roman" w:cs="Arial"/>
                <w:b w:val="0"/>
                <w:bCs w:val="0"/>
                <w:color w:val="000000"/>
                <w:sz w:val="18"/>
                <w:szCs w:val="18"/>
              </w:rPr>
              <w:t>Non</w:t>
            </w:r>
            <w:r>
              <w:rPr>
                <w:rFonts w:eastAsia="Times New Roman" w:cs="Arial"/>
                <w:b w:val="0"/>
                <w:bCs w:val="0"/>
                <w:color w:val="000000"/>
                <w:sz w:val="18"/>
                <w:szCs w:val="18"/>
              </w:rPr>
              <w:t>-</w:t>
            </w:r>
            <w:r w:rsidRPr="00E80123">
              <w:rPr>
                <w:rFonts w:eastAsia="Times New Roman" w:cs="Arial"/>
                <w:b w:val="0"/>
                <w:bCs w:val="0"/>
                <w:color w:val="000000"/>
                <w:sz w:val="18"/>
                <w:szCs w:val="18"/>
              </w:rPr>
              <w:t xml:space="preserve">storable </w:t>
            </w:r>
          </w:p>
          <w:p w14:paraId="2AB06C96" w14:textId="5745C7CD" w:rsidR="00D45C6C" w:rsidRPr="00D45C6C" w:rsidRDefault="00D45C6C" w:rsidP="00D45C6C">
            <w:pPr>
              <w:jc w:val="center"/>
              <w:rPr>
                <w:rFonts w:eastAsia="Times New Roman" w:cs="Arial"/>
                <w:color w:val="000000"/>
                <w:sz w:val="18"/>
                <w:szCs w:val="18"/>
              </w:rPr>
            </w:pPr>
            <w:r w:rsidRPr="00E80123">
              <w:rPr>
                <w:rFonts w:eastAsia="Times New Roman" w:cs="Arial"/>
                <w:b w:val="0"/>
                <w:bCs w:val="0"/>
                <w:color w:val="000000"/>
                <w:sz w:val="18"/>
                <w:szCs w:val="18"/>
              </w:rPr>
              <w:t>crops</w:t>
            </w:r>
          </w:p>
        </w:tc>
        <w:tc>
          <w:tcPr>
            <w:tcW w:w="754" w:type="pct"/>
            <w:noWrap/>
            <w:vAlign w:val="center"/>
            <w:hideMark/>
          </w:tcPr>
          <w:p w14:paraId="4D4290C8"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Vegetables</w:t>
            </w:r>
          </w:p>
        </w:tc>
        <w:tc>
          <w:tcPr>
            <w:tcW w:w="3843" w:type="pct"/>
            <w:vAlign w:val="center"/>
            <w:hideMark/>
          </w:tcPr>
          <w:p w14:paraId="0DB91DC7"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Artichokes; Asparagus; Beans, green; Cabbages and other brassicas; Carobs; Carrots and turnips; Cassava leaves; Cauliflowers and broccoli; Chicory roots; Chillies and peppers, dry; Chillies and peppers, green; Cucumbers and gherkins; Eggplants (aubergines); Garlic; Leeks, other alliaceous vegetables; Lettuce and chicory; Maize, green; Melons, other (inc.cantaloupes); Mushrooms and truffles; Okra; Onions, dry; Onions, shallots, green; Peas, green; Pumpkins, squash and gourds; Spinach; String beans; Tomatoes; Vegetables, fresh nes; Vegetables, leguminous nes; Watermelons</w:t>
            </w:r>
          </w:p>
        </w:tc>
      </w:tr>
      <w:tr w:rsidR="00D45C6C" w:rsidRPr="008066ED" w14:paraId="44CE4CEB"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D0CECE" w:themeFill="background2" w:themeFillShade="E6"/>
            <w:vAlign w:val="center"/>
          </w:tcPr>
          <w:p w14:paraId="50A3634E" w14:textId="0CBDA810"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27259123"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Fruits</w:t>
            </w:r>
          </w:p>
        </w:tc>
        <w:tc>
          <w:tcPr>
            <w:tcW w:w="3843" w:type="pct"/>
            <w:vAlign w:val="center"/>
            <w:hideMark/>
          </w:tcPr>
          <w:p w14:paraId="673DB179"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Berries nes; Blueberries; Cranberries; Currants; Gooseberries; Grapes; Pineapples; Raspberries; Strawberries</w:t>
            </w:r>
          </w:p>
        </w:tc>
      </w:tr>
      <w:tr w:rsidR="00D45C6C" w:rsidRPr="008066ED" w14:paraId="626B89B7"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D0CECE" w:themeFill="background2" w:themeFillShade="E6"/>
            <w:vAlign w:val="center"/>
          </w:tcPr>
          <w:p w14:paraId="24DF1109" w14:textId="0FD729DD"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1C9D42BD"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Fruits (Tree)</w:t>
            </w:r>
          </w:p>
        </w:tc>
        <w:tc>
          <w:tcPr>
            <w:tcW w:w="3843" w:type="pct"/>
            <w:vAlign w:val="center"/>
            <w:hideMark/>
          </w:tcPr>
          <w:p w14:paraId="5816168A"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Apples; Apricots; Avocados; Bananas; Cashewapple; Cherries; Cherries, sour; Dates; Figs; Fruit, citrus nes; Fruit, fresh nes; Fruit, pome nes; Fruit, stone nes; Fruit, tropical fresh nes; Grapefruit (inc. pomelos); Kiwi fruit; Lemons and limes; Mangoes, mangosteens, guavas; Oranges; Papayas; Peaches and nectarines; Pears; Persimmons; Plantains and others; Plums and sloes; Quinces; Tangerines, mandarins, clementines, satsumas</w:t>
            </w:r>
          </w:p>
        </w:tc>
      </w:tr>
      <w:tr w:rsidR="00D45C6C" w:rsidRPr="008066ED" w14:paraId="1C0DEE6F"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val="restart"/>
            <w:shd w:val="clear" w:color="auto" w:fill="AEAAAA" w:themeFill="background2" w:themeFillShade="BF"/>
            <w:vAlign w:val="center"/>
          </w:tcPr>
          <w:p w14:paraId="528F2CA9" w14:textId="686C314E" w:rsidR="00D45C6C" w:rsidRPr="00D45C6C" w:rsidRDefault="00D45C6C" w:rsidP="00D45C6C">
            <w:pPr>
              <w:jc w:val="center"/>
              <w:rPr>
                <w:rFonts w:eastAsia="Times New Roman" w:cs="Arial"/>
                <w:color w:val="000000"/>
                <w:sz w:val="18"/>
                <w:szCs w:val="18"/>
              </w:rPr>
            </w:pPr>
            <w:r w:rsidRPr="00E80123">
              <w:rPr>
                <w:rFonts w:eastAsia="Times New Roman" w:cs="Arial"/>
                <w:b w:val="0"/>
                <w:bCs w:val="0"/>
                <w:color w:val="000000"/>
                <w:sz w:val="18"/>
                <w:szCs w:val="18"/>
              </w:rPr>
              <w:t>Other crops</w:t>
            </w:r>
          </w:p>
        </w:tc>
        <w:tc>
          <w:tcPr>
            <w:tcW w:w="754" w:type="pct"/>
            <w:noWrap/>
            <w:vAlign w:val="center"/>
            <w:hideMark/>
          </w:tcPr>
          <w:p w14:paraId="59B140E9"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MiscCrop</w:t>
            </w:r>
          </w:p>
        </w:tc>
        <w:tc>
          <w:tcPr>
            <w:tcW w:w="3843" w:type="pct"/>
            <w:vAlign w:val="center"/>
            <w:hideMark/>
          </w:tcPr>
          <w:p w14:paraId="00140B9B"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Anise, badian, fennel, coriander; Ginger; Hops; Pepper (piper spp.); Peppermint; Pyrethrum, dried; Spices nes; Tea; Tobacco, unmanufactured; Vanilla</w:t>
            </w:r>
          </w:p>
        </w:tc>
      </w:tr>
      <w:tr w:rsidR="00D45C6C" w:rsidRPr="008066ED" w14:paraId="6F794803"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vAlign w:val="center"/>
          </w:tcPr>
          <w:p w14:paraId="5D80E9D9" w14:textId="5CC88ECE"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359802EC"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MiscCrop (Tree)</w:t>
            </w:r>
          </w:p>
        </w:tc>
        <w:tc>
          <w:tcPr>
            <w:tcW w:w="3843" w:type="pct"/>
            <w:vAlign w:val="center"/>
            <w:hideMark/>
          </w:tcPr>
          <w:p w14:paraId="23B4F074"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 xml:space="preserve">Cinnamon (cannella); Cloves; Cocoa, beans; Coffee, green; Mate; Nutmeg, mace and cardamoms; Rubber, natural; </w:t>
            </w:r>
          </w:p>
        </w:tc>
      </w:tr>
      <w:tr w:rsidR="00D45C6C" w:rsidRPr="008066ED" w14:paraId="70C07647"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vAlign w:val="center"/>
          </w:tcPr>
          <w:p w14:paraId="1ACC8BEF" w14:textId="7C372454"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34211895"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FodderGrass</w:t>
            </w:r>
          </w:p>
        </w:tc>
        <w:tc>
          <w:tcPr>
            <w:tcW w:w="3843" w:type="pct"/>
            <w:vAlign w:val="center"/>
            <w:hideMark/>
          </w:tcPr>
          <w:p w14:paraId="74B8CDEA"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forage Products; Grasses Nes for forage; Grasses Nes for forage; Rye grass for forage &amp; silage</w:t>
            </w:r>
          </w:p>
        </w:tc>
      </w:tr>
      <w:tr w:rsidR="00D45C6C" w:rsidRPr="008066ED" w14:paraId="2553D0BA"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AEAAAA" w:themeFill="background2" w:themeFillShade="BF"/>
            <w:vAlign w:val="center"/>
          </w:tcPr>
          <w:p w14:paraId="22866DC4" w14:textId="2D9AB52B"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1A2DC84E"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FodderHerb</w:t>
            </w:r>
          </w:p>
        </w:tc>
        <w:tc>
          <w:tcPr>
            <w:tcW w:w="3843" w:type="pct"/>
            <w:vAlign w:val="center"/>
            <w:hideMark/>
          </w:tcPr>
          <w:p w14:paraId="696A127A"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Alfalfa for forage and silage; Beets for Fodder; Cabbage for Fodder; Carrots for Fodder; Clover for forage and silage; Green Oilseeds for Silage; Leguminous for Silage; Swedes for Fodder; Turnips for Fodder; Vegetables Roots Fodder; Maize for forage and silage; Sorghum for forage and silage</w:t>
            </w:r>
          </w:p>
        </w:tc>
      </w:tr>
      <w:tr w:rsidR="00D45C6C" w:rsidRPr="008066ED" w14:paraId="5822E73D"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val="restart"/>
            <w:shd w:val="clear" w:color="auto" w:fill="D0CECE" w:themeFill="background2" w:themeFillShade="E6"/>
            <w:vAlign w:val="center"/>
          </w:tcPr>
          <w:p w14:paraId="1B7B3375" w14:textId="500A581E" w:rsidR="00D45C6C" w:rsidRPr="00D45C6C" w:rsidRDefault="00D45C6C" w:rsidP="00D45C6C">
            <w:pPr>
              <w:jc w:val="center"/>
              <w:rPr>
                <w:rFonts w:eastAsia="Times New Roman" w:cs="Arial"/>
                <w:color w:val="000000"/>
                <w:sz w:val="18"/>
                <w:szCs w:val="18"/>
              </w:rPr>
            </w:pPr>
            <w:r w:rsidRPr="00E80123">
              <w:rPr>
                <w:rFonts w:eastAsia="Times New Roman" w:cs="Arial"/>
                <w:b w:val="0"/>
                <w:bCs w:val="0"/>
                <w:color w:val="000000"/>
                <w:sz w:val="18"/>
                <w:szCs w:val="18"/>
              </w:rPr>
              <w:t>Livestock</w:t>
            </w:r>
          </w:p>
        </w:tc>
        <w:tc>
          <w:tcPr>
            <w:tcW w:w="754" w:type="pct"/>
            <w:noWrap/>
            <w:vAlign w:val="center"/>
            <w:hideMark/>
          </w:tcPr>
          <w:p w14:paraId="6071D8B5"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Beef</w:t>
            </w:r>
          </w:p>
        </w:tc>
        <w:tc>
          <w:tcPr>
            <w:tcW w:w="3843" w:type="pct"/>
            <w:noWrap/>
            <w:vAlign w:val="center"/>
            <w:hideMark/>
          </w:tcPr>
          <w:p w14:paraId="0A93835B"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Meat, cattle; Meat, buffalo</w:t>
            </w:r>
          </w:p>
        </w:tc>
      </w:tr>
      <w:tr w:rsidR="00D45C6C" w:rsidRPr="008066ED" w14:paraId="4343AF8D"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D0CECE" w:themeFill="background2" w:themeFillShade="E6"/>
            <w:vAlign w:val="center"/>
          </w:tcPr>
          <w:p w14:paraId="4E0DFD4E" w14:textId="1B116634"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09BB73A1"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Dairy</w:t>
            </w:r>
          </w:p>
        </w:tc>
        <w:tc>
          <w:tcPr>
            <w:tcW w:w="3843" w:type="pct"/>
            <w:vAlign w:val="center"/>
            <w:hideMark/>
          </w:tcPr>
          <w:p w14:paraId="774F963E"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Milk, whole fresh cow; Milk, whole fresh camel; Milk, whole fresh buffalo; Milk, whole fresh goat; Milk, whole fresh sheep</w:t>
            </w:r>
          </w:p>
        </w:tc>
      </w:tr>
      <w:tr w:rsidR="00D45C6C" w:rsidRPr="008066ED" w14:paraId="04DFA8C6"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D0CECE" w:themeFill="background2" w:themeFillShade="E6"/>
            <w:vAlign w:val="center"/>
          </w:tcPr>
          <w:p w14:paraId="16B284C6" w14:textId="3ECE8C30"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599C5D85"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Pork</w:t>
            </w:r>
          </w:p>
        </w:tc>
        <w:tc>
          <w:tcPr>
            <w:tcW w:w="3843" w:type="pct"/>
            <w:noWrap/>
            <w:vAlign w:val="center"/>
            <w:hideMark/>
          </w:tcPr>
          <w:p w14:paraId="5EBC9CFE"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Meat, pig</w:t>
            </w:r>
          </w:p>
        </w:tc>
      </w:tr>
      <w:tr w:rsidR="00D45C6C" w:rsidRPr="008066ED" w14:paraId="0CD50242"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D0CECE" w:themeFill="background2" w:themeFillShade="E6"/>
            <w:vAlign w:val="center"/>
          </w:tcPr>
          <w:p w14:paraId="135A6802" w14:textId="4FEA2A27"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0E54D16C"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Poultry</w:t>
            </w:r>
          </w:p>
        </w:tc>
        <w:tc>
          <w:tcPr>
            <w:tcW w:w="3843" w:type="pct"/>
            <w:noWrap/>
            <w:vAlign w:val="center"/>
            <w:hideMark/>
          </w:tcPr>
          <w:p w14:paraId="66F2D4A7"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 xml:space="preserve">Meat, duck; Meat, goose and guinea fowl; Meat, turkey; Meat, chicken; Meat, chicken; Eggs, other bird, in shell; Eggs, hen, in shell; </w:t>
            </w:r>
          </w:p>
        </w:tc>
      </w:tr>
      <w:tr w:rsidR="00D45C6C" w:rsidRPr="008066ED" w14:paraId="0AC12853" w14:textId="77777777" w:rsidTr="00D45C6C">
        <w:trPr>
          <w:trHeight w:val="259"/>
        </w:trPr>
        <w:tc>
          <w:tcPr>
            <w:cnfStyle w:val="001000000000" w:firstRow="0" w:lastRow="0" w:firstColumn="1" w:lastColumn="0" w:oddVBand="0" w:evenVBand="0" w:oddHBand="0" w:evenHBand="0" w:firstRowFirstColumn="0" w:firstRowLastColumn="0" w:lastRowFirstColumn="0" w:lastRowLastColumn="0"/>
            <w:tcW w:w="403" w:type="pct"/>
            <w:vMerge/>
            <w:shd w:val="clear" w:color="auto" w:fill="D0CECE" w:themeFill="background2" w:themeFillShade="E6"/>
            <w:vAlign w:val="center"/>
          </w:tcPr>
          <w:p w14:paraId="62C44D8E" w14:textId="5BFE0F48" w:rsidR="00D45C6C" w:rsidRPr="00E80123" w:rsidRDefault="00D45C6C" w:rsidP="00CB10D4">
            <w:pPr>
              <w:jc w:val="center"/>
              <w:rPr>
                <w:rFonts w:eastAsia="Times New Roman" w:cs="Arial"/>
                <w:b w:val="0"/>
                <w:bCs w:val="0"/>
                <w:color w:val="000000"/>
                <w:sz w:val="18"/>
                <w:szCs w:val="18"/>
              </w:rPr>
            </w:pPr>
          </w:p>
        </w:tc>
        <w:tc>
          <w:tcPr>
            <w:tcW w:w="754" w:type="pct"/>
            <w:noWrap/>
            <w:vAlign w:val="center"/>
            <w:hideMark/>
          </w:tcPr>
          <w:p w14:paraId="1FE0278A" w14:textId="77777777" w:rsidR="00D45C6C" w:rsidRPr="008066ED"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SheepGoat</w:t>
            </w:r>
          </w:p>
        </w:tc>
        <w:tc>
          <w:tcPr>
            <w:tcW w:w="3843" w:type="pct"/>
            <w:noWrap/>
            <w:vAlign w:val="center"/>
            <w:hideMark/>
          </w:tcPr>
          <w:p w14:paraId="7559A2A2" w14:textId="77777777" w:rsidR="00D45C6C" w:rsidRPr="00D94C2C" w:rsidRDefault="00D45C6C" w:rsidP="00CB10D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Meat, sheep; Meat, goat</w:t>
            </w:r>
          </w:p>
        </w:tc>
      </w:tr>
      <w:tr w:rsidR="00D45C6C" w:rsidRPr="008066ED" w14:paraId="1AB130E5" w14:textId="77777777" w:rsidTr="00D45C6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403" w:type="pct"/>
            <w:vMerge/>
            <w:tcBorders>
              <w:bottom w:val="single" w:sz="4" w:space="0" w:color="auto"/>
            </w:tcBorders>
            <w:shd w:val="clear" w:color="auto" w:fill="D0CECE" w:themeFill="background2" w:themeFillShade="E6"/>
            <w:vAlign w:val="center"/>
          </w:tcPr>
          <w:p w14:paraId="2F34BB37" w14:textId="24ED577A" w:rsidR="00D45C6C" w:rsidRPr="00E80123" w:rsidRDefault="00D45C6C" w:rsidP="00CB10D4">
            <w:pPr>
              <w:jc w:val="center"/>
              <w:rPr>
                <w:rFonts w:eastAsia="Times New Roman" w:cs="Arial"/>
                <w:b w:val="0"/>
                <w:bCs w:val="0"/>
                <w:color w:val="000000"/>
                <w:sz w:val="18"/>
                <w:szCs w:val="18"/>
              </w:rPr>
            </w:pPr>
          </w:p>
        </w:tc>
        <w:tc>
          <w:tcPr>
            <w:tcW w:w="754" w:type="pct"/>
            <w:tcBorders>
              <w:bottom w:val="single" w:sz="4" w:space="0" w:color="auto"/>
            </w:tcBorders>
            <w:noWrap/>
            <w:vAlign w:val="center"/>
            <w:hideMark/>
          </w:tcPr>
          <w:p w14:paraId="14FEF643"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OtherMeat</w:t>
            </w:r>
          </w:p>
          <w:p w14:paraId="143A348B" w14:textId="77777777" w:rsidR="00D45C6C" w:rsidRPr="008066ED"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rPr>
            </w:pPr>
            <w:r w:rsidRPr="008066ED">
              <w:rPr>
                <w:rFonts w:eastAsia="Times New Roman" w:cs="Arial"/>
                <w:color w:val="000000"/>
                <w:sz w:val="18"/>
                <w:szCs w:val="18"/>
              </w:rPr>
              <w:t>&amp;Fish</w:t>
            </w:r>
          </w:p>
        </w:tc>
        <w:tc>
          <w:tcPr>
            <w:tcW w:w="3843" w:type="pct"/>
            <w:tcBorders>
              <w:bottom w:val="single" w:sz="4" w:space="0" w:color="auto"/>
            </w:tcBorders>
            <w:vAlign w:val="center"/>
            <w:hideMark/>
          </w:tcPr>
          <w:p w14:paraId="17FE87EC" w14:textId="77777777" w:rsidR="00D45C6C" w:rsidRPr="00D94C2C" w:rsidRDefault="00D45C6C" w:rsidP="00CB10D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rPr>
            </w:pPr>
            <w:r w:rsidRPr="00D94C2C">
              <w:rPr>
                <w:rFonts w:eastAsia="Times New Roman" w:cs="Arial"/>
                <w:color w:val="000000"/>
                <w:sz w:val="16"/>
                <w:szCs w:val="16"/>
              </w:rPr>
              <w:t>Freshwater Fish; Fish, Body Oil; Fish, Liver Oil; Demersal Fish; Pelagic Fish; Marine Fish, Other; Crustaceans; Cephalopods; Molluscs, Other; Aquatic Animals, Others; Aquatic Plants; Meat, Aquatic Mammals; Meat, rabbit; Meat, camel; Meat, other camelids; Meat, horse; Meat, ass; Meat, mule; Meat, other rodents; Meat, bird nes; Meat, game; Meat nes; Offals, edible, cattle; Offals, edible, buffaloes; Offals, pigs, edible; Offals, sheep,edible; Offals, edible, goats; Offals, horses; Offals, edible, camels; Offals, liver chicken; Offals, liver geese; Offals, liver duck; Offals, liver turkeys; Offals nes; Liver prep.; Fat, cattle; Fat, buffaloes; Fat, sheep; Fat, goats; Fat, pigs; Fat, camels; Fat, other camelids; Oils, fats of animal nes; Degras; Grease incl. lanolin wool; Fat nes, prepared; Honey, natural; Snails, not sea</w:t>
            </w:r>
          </w:p>
        </w:tc>
      </w:tr>
    </w:tbl>
    <w:p w14:paraId="1AAD7199" w14:textId="77777777" w:rsidR="00E63B58" w:rsidRDefault="00E63B58" w:rsidP="00E63B58">
      <w:pPr>
        <w:spacing w:line="240" w:lineRule="auto"/>
        <w:rPr>
          <w:b/>
          <w:bCs/>
        </w:rPr>
      </w:pPr>
    </w:p>
    <w:p w14:paraId="624E1BAE" w14:textId="77777777" w:rsidR="000B7477" w:rsidRDefault="000B7477">
      <w:pPr>
        <w:rPr>
          <w:rFonts w:eastAsiaTheme="minorEastAsia" w:cs="Arial"/>
          <w:b/>
          <w:bCs/>
          <w:iCs/>
        </w:rPr>
      </w:pPr>
      <w:bookmarkStart w:id="12" w:name="_Ref162114372"/>
      <w:bookmarkStart w:id="13" w:name="_Ref162555959"/>
      <w:r>
        <w:rPr>
          <w:rFonts w:eastAsiaTheme="minorEastAsia" w:cs="Arial"/>
          <w:bCs/>
        </w:rPr>
        <w:br w:type="page"/>
      </w:r>
    </w:p>
    <w:p w14:paraId="0AEBBB19" w14:textId="7FDEA22A" w:rsidR="00E63B58" w:rsidRPr="008066ED" w:rsidRDefault="00E63B58" w:rsidP="00C47468">
      <w:pPr>
        <w:pStyle w:val="Caption"/>
        <w:jc w:val="both"/>
        <w:rPr>
          <w:rFonts w:eastAsiaTheme="minorEastAsia" w:cs="Arial"/>
          <w:bCs/>
          <w:vanish/>
          <w:szCs w:val="22"/>
          <w:specVanish/>
        </w:rPr>
      </w:pPr>
      <w:bookmarkStart w:id="14" w:name="_Toc241138214"/>
      <w:r w:rsidRPr="008066ED">
        <w:rPr>
          <w:rFonts w:eastAsiaTheme="minorEastAsia" w:cs="Arial"/>
          <w:bCs/>
          <w:szCs w:val="22"/>
        </w:rPr>
        <w:lastRenderedPageBreak/>
        <w:t xml:space="preserve">Supplementary Table </w:t>
      </w:r>
      <w:r w:rsidRPr="008066ED">
        <w:rPr>
          <w:rFonts w:eastAsiaTheme="minorEastAsia" w:cs="Arial"/>
          <w:bCs/>
          <w:szCs w:val="22"/>
        </w:rPr>
        <w:fldChar w:fldCharType="begin"/>
      </w:r>
      <w:r w:rsidRPr="008066ED">
        <w:rPr>
          <w:rFonts w:eastAsiaTheme="minorEastAsia" w:cs="Arial"/>
          <w:bCs/>
          <w:szCs w:val="22"/>
        </w:rPr>
        <w:instrText xml:space="preserve"> SEQ Table \* ARABIC </w:instrText>
      </w:r>
      <w:r w:rsidRPr="008066ED">
        <w:rPr>
          <w:rFonts w:eastAsiaTheme="minorEastAsia" w:cs="Arial"/>
          <w:bCs/>
          <w:szCs w:val="22"/>
        </w:rPr>
        <w:fldChar w:fldCharType="separate"/>
      </w:r>
      <w:r w:rsidR="003E354C">
        <w:rPr>
          <w:rFonts w:eastAsiaTheme="minorEastAsia" w:cs="Arial"/>
          <w:bCs/>
          <w:noProof/>
          <w:szCs w:val="22"/>
        </w:rPr>
        <w:t>4</w:t>
      </w:r>
      <w:r w:rsidRPr="008066ED">
        <w:rPr>
          <w:rFonts w:eastAsiaTheme="minorEastAsia" w:cs="Arial"/>
          <w:bCs/>
          <w:szCs w:val="22"/>
        </w:rPr>
        <w:fldChar w:fldCharType="end"/>
      </w:r>
      <w:bookmarkEnd w:id="12"/>
      <w:bookmarkEnd w:id="13"/>
      <w:r w:rsidRPr="008066ED">
        <w:rPr>
          <w:rFonts w:eastAsiaTheme="minorEastAsia" w:cs="Arial"/>
          <w:bCs/>
          <w:szCs w:val="22"/>
        </w:rPr>
        <w:t xml:space="preserve"> | Mapping between GCAM (v9.</w:t>
      </w:r>
      <w:r>
        <w:rPr>
          <w:rFonts w:eastAsiaTheme="minorEastAsia" w:cs="Arial"/>
          <w:bCs/>
          <w:szCs w:val="22"/>
        </w:rPr>
        <w:t>1</w:t>
      </w:r>
      <w:r w:rsidRPr="008066ED">
        <w:rPr>
          <w:rFonts w:eastAsiaTheme="minorEastAsia" w:cs="Arial"/>
          <w:bCs/>
          <w:szCs w:val="22"/>
        </w:rPr>
        <w:t>) regions and IPCC R10 regions.</w:t>
      </w:r>
      <w:bookmarkEnd w:id="14"/>
    </w:p>
    <w:p w14:paraId="1075709F" w14:textId="737049F3" w:rsidR="00E63B58" w:rsidRPr="008066ED" w:rsidRDefault="00E63B58" w:rsidP="00C47468">
      <w:pPr>
        <w:pStyle w:val="Caption"/>
        <w:jc w:val="both"/>
        <w:rPr>
          <w:rFonts w:cs="Arial"/>
        </w:rPr>
      </w:pPr>
      <w:r w:rsidRPr="008066ED">
        <w:rPr>
          <w:rFonts w:eastAsiaTheme="minorEastAsia" w:cs="Arial"/>
          <w:b w:val="0"/>
          <w:szCs w:val="22"/>
        </w:rPr>
        <w:t xml:space="preserve"> Note that Ukraine has been treated as an independent GCAM region since GCAM v8.1. The mapping of countries to GCAM 32 regions is available at </w:t>
      </w:r>
      <w:hyperlink r:id="rId10" w:history="1">
        <w:r w:rsidRPr="00886FEB">
          <w:rPr>
            <w:rStyle w:val="Hyperlink"/>
            <w:rFonts w:eastAsiaTheme="minorEastAsia" w:cs="Arial"/>
            <w:b w:val="0"/>
            <w:szCs w:val="22"/>
          </w:rPr>
          <w:t>https://jgcri.github.io/gcam-doc/common_assumptions.html</w:t>
        </w:r>
      </w:hyperlink>
      <w:r>
        <w:rPr>
          <w:rFonts w:eastAsiaTheme="minorEastAsia" w:cs="Arial"/>
          <w:b w:val="0"/>
          <w:szCs w:val="22"/>
        </w:rPr>
        <w:t>.</w:t>
      </w:r>
    </w:p>
    <w:tbl>
      <w:tblPr>
        <w:tblW w:w="5000" w:type="pct"/>
        <w:tblLook w:val="04A0" w:firstRow="1" w:lastRow="0" w:firstColumn="1" w:lastColumn="0" w:noHBand="0" w:noVBand="1"/>
      </w:tblPr>
      <w:tblGrid>
        <w:gridCol w:w="3159"/>
        <w:gridCol w:w="1704"/>
        <w:gridCol w:w="5937"/>
      </w:tblGrid>
      <w:tr w:rsidR="00E63B58" w:rsidRPr="00CF1857" w14:paraId="6012969C" w14:textId="77777777" w:rsidTr="00CB10D4">
        <w:trPr>
          <w:trHeight w:val="288"/>
        </w:trPr>
        <w:tc>
          <w:tcPr>
            <w:tcW w:w="1463" w:type="pct"/>
            <w:tcBorders>
              <w:top w:val="single" w:sz="4" w:space="0" w:color="auto"/>
              <w:left w:val="nil"/>
              <w:bottom w:val="single" w:sz="4" w:space="0" w:color="auto"/>
              <w:right w:val="nil"/>
            </w:tcBorders>
            <w:noWrap/>
            <w:vAlign w:val="center"/>
            <w:hideMark/>
          </w:tcPr>
          <w:p w14:paraId="046E42A1" w14:textId="77777777" w:rsidR="00E63B58" w:rsidRPr="00CF1857" w:rsidRDefault="00E63B58" w:rsidP="00CB10D4">
            <w:pPr>
              <w:spacing w:after="0" w:line="240" w:lineRule="auto"/>
              <w:jc w:val="center"/>
              <w:rPr>
                <w:rFonts w:eastAsia="Times New Roman" w:cs="Arial"/>
                <w:color w:val="000000"/>
                <w:sz w:val="20"/>
                <w:szCs w:val="20"/>
              </w:rPr>
            </w:pPr>
            <w:r w:rsidRPr="00CF1857">
              <w:rPr>
                <w:rFonts w:eastAsia="Times New Roman" w:cs="Arial"/>
                <w:color w:val="000000"/>
                <w:sz w:val="20"/>
                <w:szCs w:val="20"/>
              </w:rPr>
              <w:t>GCAM region</w:t>
            </w:r>
          </w:p>
        </w:tc>
        <w:tc>
          <w:tcPr>
            <w:tcW w:w="789" w:type="pct"/>
            <w:tcBorders>
              <w:top w:val="single" w:sz="4" w:space="0" w:color="auto"/>
              <w:left w:val="nil"/>
              <w:bottom w:val="single" w:sz="4" w:space="0" w:color="auto"/>
              <w:right w:val="nil"/>
            </w:tcBorders>
            <w:noWrap/>
            <w:vAlign w:val="center"/>
            <w:hideMark/>
          </w:tcPr>
          <w:p w14:paraId="14FEDD2D" w14:textId="77777777" w:rsidR="00E63B58" w:rsidRPr="00CF1857" w:rsidRDefault="00E63B58" w:rsidP="00CB10D4">
            <w:pPr>
              <w:spacing w:after="0" w:line="240" w:lineRule="auto"/>
              <w:jc w:val="center"/>
              <w:rPr>
                <w:rFonts w:eastAsia="Times New Roman" w:cs="Arial"/>
                <w:color w:val="000000"/>
                <w:sz w:val="20"/>
                <w:szCs w:val="20"/>
              </w:rPr>
            </w:pPr>
            <w:r w:rsidRPr="00CF1857">
              <w:rPr>
                <w:rFonts w:eastAsia="Times New Roman" w:cs="Arial"/>
                <w:color w:val="000000"/>
                <w:sz w:val="20"/>
                <w:szCs w:val="20"/>
              </w:rPr>
              <w:t>IPCC R10 region</w:t>
            </w:r>
          </w:p>
        </w:tc>
        <w:tc>
          <w:tcPr>
            <w:tcW w:w="2749" w:type="pct"/>
            <w:tcBorders>
              <w:top w:val="single" w:sz="4" w:space="0" w:color="auto"/>
              <w:left w:val="nil"/>
              <w:bottom w:val="single" w:sz="4" w:space="0" w:color="auto"/>
              <w:right w:val="nil"/>
            </w:tcBorders>
            <w:noWrap/>
            <w:vAlign w:val="center"/>
            <w:hideMark/>
          </w:tcPr>
          <w:p w14:paraId="1077D427" w14:textId="77777777" w:rsidR="00E63B58" w:rsidRPr="00CF1857" w:rsidRDefault="00E63B58" w:rsidP="00CB10D4">
            <w:pPr>
              <w:spacing w:after="0" w:line="240" w:lineRule="auto"/>
              <w:jc w:val="center"/>
              <w:rPr>
                <w:rFonts w:eastAsia="Times New Roman" w:cs="Arial"/>
                <w:color w:val="000000"/>
                <w:sz w:val="20"/>
                <w:szCs w:val="20"/>
              </w:rPr>
            </w:pPr>
            <w:r w:rsidRPr="00CF1857">
              <w:rPr>
                <w:rFonts w:eastAsia="Times New Roman" w:cs="Arial"/>
                <w:color w:val="000000"/>
                <w:sz w:val="20"/>
                <w:szCs w:val="20"/>
              </w:rPr>
              <w:t xml:space="preserve">IPCC R10 region </w:t>
            </w:r>
            <w:r>
              <w:rPr>
                <w:rFonts w:eastAsia="Times New Roman" w:cs="Arial"/>
                <w:color w:val="000000"/>
                <w:sz w:val="20"/>
                <w:szCs w:val="20"/>
              </w:rPr>
              <w:t>definition</w:t>
            </w:r>
          </w:p>
        </w:tc>
      </w:tr>
      <w:tr w:rsidR="00E63B58" w:rsidRPr="00CF1857" w14:paraId="2ED534CC"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4428D296"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Africa_Eastern</w:t>
            </w:r>
          </w:p>
        </w:tc>
        <w:tc>
          <w:tcPr>
            <w:tcW w:w="789" w:type="pct"/>
            <w:vMerge w:val="restart"/>
            <w:tcBorders>
              <w:top w:val="nil"/>
              <w:left w:val="nil"/>
              <w:bottom w:val="nil"/>
              <w:right w:val="nil"/>
            </w:tcBorders>
            <w:shd w:val="clear" w:color="auto" w:fill="E7E6E6" w:themeFill="background2"/>
            <w:noWrap/>
            <w:vAlign w:val="center"/>
            <w:hideMark/>
          </w:tcPr>
          <w:p w14:paraId="6D239E41"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A</w:t>
            </w:r>
            <w:r>
              <w:rPr>
                <w:rFonts w:eastAsia="Times New Roman" w:cs="Arial"/>
                <w:color w:val="000000"/>
                <w:sz w:val="20"/>
                <w:szCs w:val="20"/>
              </w:rPr>
              <w:t>frica</w:t>
            </w:r>
          </w:p>
        </w:tc>
        <w:tc>
          <w:tcPr>
            <w:tcW w:w="2749" w:type="pct"/>
            <w:vMerge w:val="restart"/>
            <w:tcBorders>
              <w:top w:val="nil"/>
              <w:left w:val="nil"/>
              <w:bottom w:val="nil"/>
              <w:right w:val="nil"/>
            </w:tcBorders>
            <w:shd w:val="clear" w:color="auto" w:fill="E7E6E6" w:themeFill="background2"/>
            <w:noWrap/>
            <w:vAlign w:val="center"/>
            <w:hideMark/>
          </w:tcPr>
          <w:p w14:paraId="0A7B14AF"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Countries of Sub-Saharan Africa</w:t>
            </w:r>
            <w:r>
              <w:rPr>
                <w:rFonts w:eastAsia="Times New Roman" w:cs="Arial"/>
                <w:color w:val="000000"/>
                <w:sz w:val="20"/>
                <w:szCs w:val="20"/>
              </w:rPr>
              <w:t xml:space="preserve"> (</w:t>
            </w:r>
            <w:r w:rsidRPr="00CF1857">
              <w:rPr>
                <w:rFonts w:eastAsia="Times New Roman" w:cs="Arial"/>
                <w:color w:val="000000"/>
                <w:sz w:val="20"/>
                <w:szCs w:val="20"/>
              </w:rPr>
              <w:t>AFRICA</w:t>
            </w:r>
            <w:r>
              <w:rPr>
                <w:rFonts w:eastAsia="Times New Roman" w:cs="Arial"/>
                <w:color w:val="000000"/>
                <w:sz w:val="20"/>
                <w:szCs w:val="20"/>
              </w:rPr>
              <w:t>)</w:t>
            </w:r>
          </w:p>
        </w:tc>
      </w:tr>
      <w:tr w:rsidR="00E63B58" w:rsidRPr="00CF1857" w14:paraId="4EA7A5C3"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44574AEE"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Africa_Northern</w:t>
            </w:r>
          </w:p>
        </w:tc>
        <w:tc>
          <w:tcPr>
            <w:tcW w:w="789" w:type="pct"/>
            <w:vMerge/>
            <w:tcBorders>
              <w:top w:val="nil"/>
              <w:left w:val="nil"/>
              <w:bottom w:val="nil"/>
              <w:right w:val="nil"/>
            </w:tcBorders>
            <w:shd w:val="clear" w:color="auto" w:fill="E7E6E6" w:themeFill="background2"/>
            <w:vAlign w:val="center"/>
            <w:hideMark/>
          </w:tcPr>
          <w:p w14:paraId="63E2579D"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7D4802FD"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2977C7B2"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108EFB71"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Africa_Southern</w:t>
            </w:r>
          </w:p>
        </w:tc>
        <w:tc>
          <w:tcPr>
            <w:tcW w:w="789" w:type="pct"/>
            <w:vMerge/>
            <w:tcBorders>
              <w:top w:val="nil"/>
              <w:left w:val="nil"/>
              <w:bottom w:val="nil"/>
              <w:right w:val="nil"/>
            </w:tcBorders>
            <w:shd w:val="clear" w:color="auto" w:fill="E7E6E6" w:themeFill="background2"/>
            <w:vAlign w:val="center"/>
            <w:hideMark/>
          </w:tcPr>
          <w:p w14:paraId="5850CA1C"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2E666685"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4C11DF23"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7334C729"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Africa_Western</w:t>
            </w:r>
          </w:p>
        </w:tc>
        <w:tc>
          <w:tcPr>
            <w:tcW w:w="789" w:type="pct"/>
            <w:vMerge/>
            <w:tcBorders>
              <w:top w:val="nil"/>
              <w:left w:val="nil"/>
              <w:bottom w:val="nil"/>
              <w:right w:val="nil"/>
            </w:tcBorders>
            <w:shd w:val="clear" w:color="auto" w:fill="E7E6E6" w:themeFill="background2"/>
            <w:vAlign w:val="center"/>
            <w:hideMark/>
          </w:tcPr>
          <w:p w14:paraId="4AC96562"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2B433340"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0CF8F4AE"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64AA2717"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South Africa</w:t>
            </w:r>
          </w:p>
        </w:tc>
        <w:tc>
          <w:tcPr>
            <w:tcW w:w="789" w:type="pct"/>
            <w:vMerge/>
            <w:tcBorders>
              <w:top w:val="nil"/>
              <w:left w:val="nil"/>
              <w:bottom w:val="nil"/>
              <w:right w:val="nil"/>
            </w:tcBorders>
            <w:shd w:val="clear" w:color="auto" w:fill="E7E6E6" w:themeFill="background2"/>
            <w:vAlign w:val="center"/>
            <w:hideMark/>
          </w:tcPr>
          <w:p w14:paraId="6EAA9457"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2109B888"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7AEC687F" w14:textId="77777777" w:rsidTr="00CB10D4">
        <w:trPr>
          <w:trHeight w:val="432"/>
        </w:trPr>
        <w:tc>
          <w:tcPr>
            <w:tcW w:w="1463" w:type="pct"/>
            <w:tcBorders>
              <w:top w:val="nil"/>
              <w:left w:val="nil"/>
              <w:bottom w:val="nil"/>
              <w:right w:val="nil"/>
            </w:tcBorders>
            <w:noWrap/>
            <w:vAlign w:val="center"/>
            <w:hideMark/>
          </w:tcPr>
          <w:p w14:paraId="45CF5E53"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China</w:t>
            </w:r>
          </w:p>
        </w:tc>
        <w:tc>
          <w:tcPr>
            <w:tcW w:w="789" w:type="pct"/>
            <w:vMerge w:val="restart"/>
            <w:tcBorders>
              <w:top w:val="nil"/>
              <w:left w:val="nil"/>
              <w:bottom w:val="nil"/>
              <w:right w:val="nil"/>
            </w:tcBorders>
            <w:noWrap/>
            <w:vAlign w:val="center"/>
            <w:hideMark/>
          </w:tcPr>
          <w:p w14:paraId="3F6268F3"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China</w:t>
            </w:r>
          </w:p>
        </w:tc>
        <w:tc>
          <w:tcPr>
            <w:tcW w:w="2749" w:type="pct"/>
            <w:vMerge w:val="restart"/>
            <w:tcBorders>
              <w:top w:val="nil"/>
              <w:left w:val="nil"/>
              <w:bottom w:val="nil"/>
              <w:right w:val="nil"/>
            </w:tcBorders>
            <w:noWrap/>
            <w:vAlign w:val="center"/>
            <w:hideMark/>
          </w:tcPr>
          <w:p w14:paraId="3D61011A"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 xml:space="preserve">Countries of centrally-planned Asia; </w:t>
            </w:r>
          </w:p>
          <w:p w14:paraId="4D741F95"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primarily China</w:t>
            </w:r>
            <w:r>
              <w:rPr>
                <w:rFonts w:eastAsia="Times New Roman" w:cs="Arial"/>
                <w:color w:val="000000"/>
                <w:sz w:val="20"/>
                <w:szCs w:val="20"/>
              </w:rPr>
              <w:t xml:space="preserve"> (</w:t>
            </w:r>
            <w:r w:rsidRPr="00CF1857">
              <w:rPr>
                <w:rFonts w:eastAsia="Times New Roman" w:cs="Arial"/>
                <w:color w:val="000000"/>
                <w:sz w:val="20"/>
                <w:szCs w:val="20"/>
              </w:rPr>
              <w:t>CHINA+</w:t>
            </w:r>
            <w:r>
              <w:rPr>
                <w:rFonts w:eastAsia="Times New Roman" w:cs="Arial"/>
                <w:color w:val="000000"/>
                <w:sz w:val="20"/>
                <w:szCs w:val="20"/>
              </w:rPr>
              <w:t>)</w:t>
            </w:r>
          </w:p>
        </w:tc>
      </w:tr>
      <w:tr w:rsidR="00E63B58" w:rsidRPr="00CF1857" w14:paraId="7917AA5C" w14:textId="77777777" w:rsidTr="00CB10D4">
        <w:trPr>
          <w:trHeight w:val="288"/>
        </w:trPr>
        <w:tc>
          <w:tcPr>
            <w:tcW w:w="1463" w:type="pct"/>
            <w:tcBorders>
              <w:top w:val="nil"/>
              <w:left w:val="nil"/>
              <w:bottom w:val="nil"/>
              <w:right w:val="nil"/>
            </w:tcBorders>
            <w:noWrap/>
            <w:vAlign w:val="center"/>
            <w:hideMark/>
          </w:tcPr>
          <w:p w14:paraId="5A71DA61"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Taiwan</w:t>
            </w:r>
          </w:p>
        </w:tc>
        <w:tc>
          <w:tcPr>
            <w:tcW w:w="789" w:type="pct"/>
            <w:vMerge/>
            <w:tcBorders>
              <w:top w:val="nil"/>
              <w:left w:val="nil"/>
              <w:bottom w:val="nil"/>
              <w:right w:val="nil"/>
            </w:tcBorders>
            <w:vAlign w:val="center"/>
            <w:hideMark/>
          </w:tcPr>
          <w:p w14:paraId="5CD39A05"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vAlign w:val="center"/>
            <w:hideMark/>
          </w:tcPr>
          <w:p w14:paraId="3CC8A967"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20E7352D"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1BEF7260"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EU-12</w:t>
            </w:r>
          </w:p>
        </w:tc>
        <w:tc>
          <w:tcPr>
            <w:tcW w:w="789" w:type="pct"/>
            <w:vMerge w:val="restart"/>
            <w:tcBorders>
              <w:top w:val="nil"/>
              <w:left w:val="nil"/>
              <w:bottom w:val="nil"/>
              <w:right w:val="nil"/>
            </w:tcBorders>
            <w:shd w:val="clear" w:color="auto" w:fill="E7E6E6" w:themeFill="background2"/>
            <w:noWrap/>
            <w:vAlign w:val="center"/>
            <w:hideMark/>
          </w:tcPr>
          <w:p w14:paraId="4C039687"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Europe</w:t>
            </w:r>
          </w:p>
        </w:tc>
        <w:tc>
          <w:tcPr>
            <w:tcW w:w="2749" w:type="pct"/>
            <w:vMerge w:val="restart"/>
            <w:tcBorders>
              <w:top w:val="nil"/>
              <w:left w:val="nil"/>
              <w:bottom w:val="nil"/>
              <w:right w:val="nil"/>
            </w:tcBorders>
            <w:shd w:val="clear" w:color="auto" w:fill="E7E6E6" w:themeFill="background2"/>
            <w:noWrap/>
            <w:vAlign w:val="center"/>
            <w:hideMark/>
          </w:tcPr>
          <w:p w14:paraId="40B2A816"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Eastern and Western Europe (i.e., the EU28)</w:t>
            </w:r>
            <w:r>
              <w:rPr>
                <w:rFonts w:eastAsia="Times New Roman" w:cs="Arial"/>
                <w:color w:val="000000"/>
                <w:sz w:val="20"/>
                <w:szCs w:val="20"/>
              </w:rPr>
              <w:t xml:space="preserve"> (</w:t>
            </w:r>
            <w:r w:rsidRPr="00CF1857">
              <w:rPr>
                <w:rFonts w:eastAsia="Times New Roman" w:cs="Arial"/>
                <w:color w:val="000000"/>
                <w:sz w:val="20"/>
                <w:szCs w:val="20"/>
              </w:rPr>
              <w:t>EUROPE</w:t>
            </w:r>
            <w:r>
              <w:rPr>
                <w:rFonts w:eastAsia="Times New Roman" w:cs="Arial"/>
                <w:color w:val="000000"/>
                <w:sz w:val="20"/>
                <w:szCs w:val="20"/>
              </w:rPr>
              <w:t>)</w:t>
            </w:r>
          </w:p>
        </w:tc>
      </w:tr>
      <w:tr w:rsidR="00E63B58" w:rsidRPr="00CF1857" w14:paraId="2733DEC1"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60EFC960"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EU-15</w:t>
            </w:r>
          </w:p>
        </w:tc>
        <w:tc>
          <w:tcPr>
            <w:tcW w:w="789" w:type="pct"/>
            <w:vMerge/>
            <w:tcBorders>
              <w:top w:val="nil"/>
              <w:left w:val="nil"/>
              <w:bottom w:val="nil"/>
              <w:right w:val="nil"/>
            </w:tcBorders>
            <w:vAlign w:val="center"/>
            <w:hideMark/>
          </w:tcPr>
          <w:p w14:paraId="6A0D5365"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vAlign w:val="center"/>
            <w:hideMark/>
          </w:tcPr>
          <w:p w14:paraId="1C453CA2"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3BB74792"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0BF56C08"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Europe_Non_EU</w:t>
            </w:r>
          </w:p>
        </w:tc>
        <w:tc>
          <w:tcPr>
            <w:tcW w:w="789" w:type="pct"/>
            <w:vMerge/>
            <w:tcBorders>
              <w:top w:val="nil"/>
              <w:left w:val="nil"/>
              <w:bottom w:val="nil"/>
              <w:right w:val="nil"/>
            </w:tcBorders>
            <w:vAlign w:val="center"/>
            <w:hideMark/>
          </w:tcPr>
          <w:p w14:paraId="613E212E"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vAlign w:val="center"/>
            <w:hideMark/>
          </w:tcPr>
          <w:p w14:paraId="278BDD58"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6A720CCE"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01417446"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European Free Trade Association</w:t>
            </w:r>
          </w:p>
        </w:tc>
        <w:tc>
          <w:tcPr>
            <w:tcW w:w="789" w:type="pct"/>
            <w:vMerge/>
            <w:tcBorders>
              <w:top w:val="nil"/>
              <w:left w:val="nil"/>
              <w:bottom w:val="nil"/>
              <w:right w:val="nil"/>
            </w:tcBorders>
            <w:vAlign w:val="center"/>
            <w:hideMark/>
          </w:tcPr>
          <w:p w14:paraId="471658CD"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vAlign w:val="center"/>
            <w:hideMark/>
          </w:tcPr>
          <w:p w14:paraId="3F59933B"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34DD9264" w14:textId="77777777" w:rsidTr="00CB10D4">
        <w:trPr>
          <w:trHeight w:val="288"/>
        </w:trPr>
        <w:tc>
          <w:tcPr>
            <w:tcW w:w="1463" w:type="pct"/>
            <w:tcBorders>
              <w:top w:val="nil"/>
              <w:left w:val="nil"/>
              <w:bottom w:val="nil"/>
              <w:right w:val="nil"/>
            </w:tcBorders>
            <w:noWrap/>
            <w:vAlign w:val="center"/>
          </w:tcPr>
          <w:p w14:paraId="34623AE4"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India</w:t>
            </w:r>
          </w:p>
        </w:tc>
        <w:tc>
          <w:tcPr>
            <w:tcW w:w="789" w:type="pct"/>
            <w:vMerge w:val="restart"/>
            <w:tcBorders>
              <w:top w:val="nil"/>
              <w:left w:val="nil"/>
              <w:right w:val="nil"/>
            </w:tcBorders>
            <w:vAlign w:val="center"/>
          </w:tcPr>
          <w:p w14:paraId="377A0090"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South Asia</w:t>
            </w:r>
          </w:p>
        </w:tc>
        <w:tc>
          <w:tcPr>
            <w:tcW w:w="2749" w:type="pct"/>
            <w:tcBorders>
              <w:top w:val="nil"/>
              <w:left w:val="nil"/>
              <w:bottom w:val="nil"/>
              <w:right w:val="nil"/>
            </w:tcBorders>
            <w:vAlign w:val="center"/>
          </w:tcPr>
          <w:p w14:paraId="5E7475F1"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7F17C160" w14:textId="77777777" w:rsidTr="00CB10D4">
        <w:trPr>
          <w:trHeight w:val="288"/>
        </w:trPr>
        <w:tc>
          <w:tcPr>
            <w:tcW w:w="1463" w:type="pct"/>
            <w:tcBorders>
              <w:top w:val="nil"/>
              <w:left w:val="nil"/>
              <w:bottom w:val="nil"/>
              <w:right w:val="nil"/>
            </w:tcBorders>
            <w:noWrap/>
            <w:vAlign w:val="center"/>
          </w:tcPr>
          <w:p w14:paraId="3345D920"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South Asia</w:t>
            </w:r>
          </w:p>
        </w:tc>
        <w:tc>
          <w:tcPr>
            <w:tcW w:w="789" w:type="pct"/>
            <w:vMerge/>
            <w:tcBorders>
              <w:left w:val="nil"/>
              <w:right w:val="nil"/>
            </w:tcBorders>
            <w:vAlign w:val="center"/>
          </w:tcPr>
          <w:p w14:paraId="19A76F74" w14:textId="77777777" w:rsidR="00E63B58" w:rsidRPr="00CF1857" w:rsidRDefault="00E63B58" w:rsidP="00CB10D4">
            <w:pPr>
              <w:spacing w:after="0" w:line="240" w:lineRule="auto"/>
              <w:rPr>
                <w:rFonts w:eastAsia="Times New Roman" w:cs="Arial"/>
                <w:color w:val="000000"/>
                <w:sz w:val="20"/>
                <w:szCs w:val="20"/>
              </w:rPr>
            </w:pPr>
          </w:p>
        </w:tc>
        <w:tc>
          <w:tcPr>
            <w:tcW w:w="2749" w:type="pct"/>
            <w:tcBorders>
              <w:top w:val="nil"/>
              <w:left w:val="nil"/>
              <w:bottom w:val="nil"/>
              <w:right w:val="nil"/>
            </w:tcBorders>
            <w:vAlign w:val="center"/>
          </w:tcPr>
          <w:p w14:paraId="476B6BEA"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Countries of South Asia;</w:t>
            </w:r>
            <w:r>
              <w:rPr>
                <w:rFonts w:eastAsia="Times New Roman" w:cs="Arial"/>
                <w:color w:val="000000"/>
                <w:sz w:val="20"/>
                <w:szCs w:val="20"/>
              </w:rPr>
              <w:t xml:space="preserve"> </w:t>
            </w:r>
            <w:r w:rsidRPr="00CF1857">
              <w:rPr>
                <w:rFonts w:eastAsia="Times New Roman" w:cs="Arial"/>
                <w:color w:val="000000"/>
                <w:sz w:val="20"/>
                <w:szCs w:val="20"/>
              </w:rPr>
              <w:t>primarily India</w:t>
            </w:r>
            <w:r>
              <w:rPr>
                <w:rFonts w:eastAsia="Times New Roman" w:cs="Arial"/>
                <w:color w:val="000000"/>
                <w:sz w:val="20"/>
                <w:szCs w:val="20"/>
              </w:rPr>
              <w:t xml:space="preserve"> (</w:t>
            </w:r>
            <w:r w:rsidRPr="00CF1857">
              <w:rPr>
                <w:rFonts w:eastAsia="Times New Roman" w:cs="Arial"/>
                <w:color w:val="000000"/>
                <w:sz w:val="20"/>
                <w:szCs w:val="20"/>
              </w:rPr>
              <w:t>INDIA+</w:t>
            </w:r>
            <w:r>
              <w:rPr>
                <w:rFonts w:eastAsia="Times New Roman" w:cs="Arial"/>
                <w:color w:val="000000"/>
                <w:sz w:val="20"/>
                <w:szCs w:val="20"/>
              </w:rPr>
              <w:t>)</w:t>
            </w:r>
          </w:p>
        </w:tc>
      </w:tr>
      <w:tr w:rsidR="00E63B58" w:rsidRPr="00CF1857" w14:paraId="75DDC10D" w14:textId="77777777" w:rsidTr="00CB10D4">
        <w:trPr>
          <w:trHeight w:val="288"/>
        </w:trPr>
        <w:tc>
          <w:tcPr>
            <w:tcW w:w="1463" w:type="pct"/>
            <w:tcBorders>
              <w:top w:val="nil"/>
              <w:left w:val="nil"/>
              <w:bottom w:val="nil"/>
              <w:right w:val="nil"/>
            </w:tcBorders>
            <w:noWrap/>
            <w:vAlign w:val="center"/>
          </w:tcPr>
          <w:p w14:paraId="4D628A1E"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Pakistan</w:t>
            </w:r>
          </w:p>
        </w:tc>
        <w:tc>
          <w:tcPr>
            <w:tcW w:w="789" w:type="pct"/>
            <w:vMerge/>
            <w:tcBorders>
              <w:left w:val="nil"/>
              <w:bottom w:val="nil"/>
              <w:right w:val="nil"/>
            </w:tcBorders>
            <w:vAlign w:val="center"/>
          </w:tcPr>
          <w:p w14:paraId="58597FAE" w14:textId="77777777" w:rsidR="00E63B58" w:rsidRPr="00CF1857" w:rsidRDefault="00E63B58" w:rsidP="00CB10D4">
            <w:pPr>
              <w:spacing w:after="0" w:line="240" w:lineRule="auto"/>
              <w:rPr>
                <w:rFonts w:eastAsia="Times New Roman" w:cs="Arial"/>
                <w:color w:val="000000"/>
                <w:sz w:val="20"/>
                <w:szCs w:val="20"/>
              </w:rPr>
            </w:pPr>
          </w:p>
        </w:tc>
        <w:tc>
          <w:tcPr>
            <w:tcW w:w="2749" w:type="pct"/>
            <w:tcBorders>
              <w:top w:val="nil"/>
              <w:left w:val="nil"/>
              <w:bottom w:val="nil"/>
              <w:right w:val="nil"/>
            </w:tcBorders>
            <w:vAlign w:val="center"/>
          </w:tcPr>
          <w:p w14:paraId="7C842DCB"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3D9F4E68"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5743F6BF"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Argentina</w:t>
            </w:r>
          </w:p>
        </w:tc>
        <w:tc>
          <w:tcPr>
            <w:tcW w:w="789" w:type="pct"/>
            <w:vMerge w:val="restart"/>
            <w:tcBorders>
              <w:top w:val="nil"/>
              <w:left w:val="nil"/>
              <w:bottom w:val="nil"/>
              <w:right w:val="nil"/>
            </w:tcBorders>
            <w:shd w:val="clear" w:color="auto" w:fill="E7E6E6" w:themeFill="background2"/>
            <w:noWrap/>
            <w:vAlign w:val="center"/>
            <w:hideMark/>
          </w:tcPr>
          <w:p w14:paraId="655DF44C"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Latin America</w:t>
            </w:r>
          </w:p>
        </w:tc>
        <w:tc>
          <w:tcPr>
            <w:tcW w:w="2749" w:type="pct"/>
            <w:vMerge w:val="restart"/>
            <w:tcBorders>
              <w:top w:val="nil"/>
              <w:left w:val="nil"/>
              <w:bottom w:val="nil"/>
              <w:right w:val="nil"/>
            </w:tcBorders>
            <w:shd w:val="clear" w:color="auto" w:fill="E7E6E6" w:themeFill="background2"/>
            <w:noWrap/>
            <w:vAlign w:val="center"/>
            <w:hideMark/>
          </w:tcPr>
          <w:p w14:paraId="6071EB90" w14:textId="77777777" w:rsidR="00E63B58"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Countries of Latin America and the Caribbean</w:t>
            </w:r>
            <w:r>
              <w:rPr>
                <w:rFonts w:eastAsia="Times New Roman" w:cs="Arial"/>
                <w:color w:val="000000"/>
                <w:sz w:val="20"/>
                <w:szCs w:val="20"/>
              </w:rPr>
              <w:t xml:space="preserve"> </w:t>
            </w:r>
          </w:p>
          <w:p w14:paraId="0D66D8FE"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w:t>
            </w:r>
            <w:r w:rsidRPr="00CF1857">
              <w:rPr>
                <w:rFonts w:eastAsia="Times New Roman" w:cs="Arial"/>
                <w:color w:val="000000"/>
                <w:sz w:val="20"/>
                <w:szCs w:val="20"/>
              </w:rPr>
              <w:t>LATIN_AM</w:t>
            </w:r>
            <w:r>
              <w:rPr>
                <w:rFonts w:eastAsia="Times New Roman" w:cs="Arial"/>
                <w:color w:val="000000"/>
                <w:sz w:val="20"/>
                <w:szCs w:val="20"/>
              </w:rPr>
              <w:t>)</w:t>
            </w:r>
          </w:p>
        </w:tc>
      </w:tr>
      <w:tr w:rsidR="00E63B58" w:rsidRPr="00CF1857" w14:paraId="4ACFD154"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238FC639"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Brazil</w:t>
            </w:r>
          </w:p>
        </w:tc>
        <w:tc>
          <w:tcPr>
            <w:tcW w:w="789" w:type="pct"/>
            <w:vMerge/>
            <w:tcBorders>
              <w:top w:val="nil"/>
              <w:left w:val="nil"/>
              <w:bottom w:val="nil"/>
              <w:right w:val="nil"/>
            </w:tcBorders>
            <w:shd w:val="clear" w:color="auto" w:fill="E7E6E6" w:themeFill="background2"/>
            <w:vAlign w:val="center"/>
            <w:hideMark/>
          </w:tcPr>
          <w:p w14:paraId="5DB43566"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657168D6"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41B4DBD5"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219E5976"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Central America and Caribbean</w:t>
            </w:r>
          </w:p>
        </w:tc>
        <w:tc>
          <w:tcPr>
            <w:tcW w:w="789" w:type="pct"/>
            <w:vMerge/>
            <w:tcBorders>
              <w:top w:val="nil"/>
              <w:left w:val="nil"/>
              <w:bottom w:val="nil"/>
              <w:right w:val="nil"/>
            </w:tcBorders>
            <w:shd w:val="clear" w:color="auto" w:fill="E7E6E6" w:themeFill="background2"/>
            <w:vAlign w:val="center"/>
            <w:hideMark/>
          </w:tcPr>
          <w:p w14:paraId="52DAC474"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2DAF8603"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7C0DCADE"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526263CD"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Colombia</w:t>
            </w:r>
          </w:p>
        </w:tc>
        <w:tc>
          <w:tcPr>
            <w:tcW w:w="789" w:type="pct"/>
            <w:vMerge/>
            <w:tcBorders>
              <w:top w:val="nil"/>
              <w:left w:val="nil"/>
              <w:bottom w:val="nil"/>
              <w:right w:val="nil"/>
            </w:tcBorders>
            <w:shd w:val="clear" w:color="auto" w:fill="E7E6E6" w:themeFill="background2"/>
            <w:vAlign w:val="center"/>
            <w:hideMark/>
          </w:tcPr>
          <w:p w14:paraId="239B9F1E"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24340E1A"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730147E5"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382C952B"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Mexico</w:t>
            </w:r>
          </w:p>
        </w:tc>
        <w:tc>
          <w:tcPr>
            <w:tcW w:w="789" w:type="pct"/>
            <w:vMerge/>
            <w:tcBorders>
              <w:top w:val="nil"/>
              <w:left w:val="nil"/>
              <w:bottom w:val="nil"/>
              <w:right w:val="nil"/>
            </w:tcBorders>
            <w:shd w:val="clear" w:color="auto" w:fill="E7E6E6" w:themeFill="background2"/>
            <w:vAlign w:val="center"/>
            <w:hideMark/>
          </w:tcPr>
          <w:p w14:paraId="21636977"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7DD1C1B5"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4E4B33AF"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133001DF"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South America_Northern</w:t>
            </w:r>
          </w:p>
        </w:tc>
        <w:tc>
          <w:tcPr>
            <w:tcW w:w="789" w:type="pct"/>
            <w:vMerge/>
            <w:tcBorders>
              <w:top w:val="nil"/>
              <w:left w:val="nil"/>
              <w:bottom w:val="nil"/>
              <w:right w:val="nil"/>
            </w:tcBorders>
            <w:shd w:val="clear" w:color="auto" w:fill="E7E6E6" w:themeFill="background2"/>
            <w:vAlign w:val="center"/>
            <w:hideMark/>
          </w:tcPr>
          <w:p w14:paraId="33C48E38"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1690DBC1"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548D4E11"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360A9FBC"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South America_Southern</w:t>
            </w:r>
          </w:p>
        </w:tc>
        <w:tc>
          <w:tcPr>
            <w:tcW w:w="789" w:type="pct"/>
            <w:vMerge/>
            <w:tcBorders>
              <w:top w:val="nil"/>
              <w:left w:val="nil"/>
              <w:bottom w:val="nil"/>
              <w:right w:val="nil"/>
            </w:tcBorders>
            <w:shd w:val="clear" w:color="auto" w:fill="E7E6E6" w:themeFill="background2"/>
            <w:vAlign w:val="center"/>
            <w:hideMark/>
          </w:tcPr>
          <w:p w14:paraId="509EBCFF"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74C56A56"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2A3DE41B" w14:textId="77777777" w:rsidTr="00CB10D4">
        <w:trPr>
          <w:trHeight w:val="720"/>
        </w:trPr>
        <w:tc>
          <w:tcPr>
            <w:tcW w:w="1463" w:type="pct"/>
            <w:tcBorders>
              <w:top w:val="nil"/>
              <w:left w:val="nil"/>
              <w:bottom w:val="nil"/>
              <w:right w:val="nil"/>
            </w:tcBorders>
            <w:noWrap/>
            <w:vAlign w:val="center"/>
            <w:hideMark/>
          </w:tcPr>
          <w:p w14:paraId="4BF8C083"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Middle East</w:t>
            </w:r>
          </w:p>
        </w:tc>
        <w:tc>
          <w:tcPr>
            <w:tcW w:w="789" w:type="pct"/>
            <w:tcBorders>
              <w:top w:val="nil"/>
              <w:left w:val="nil"/>
              <w:bottom w:val="nil"/>
              <w:right w:val="nil"/>
            </w:tcBorders>
            <w:noWrap/>
            <w:vAlign w:val="center"/>
            <w:hideMark/>
          </w:tcPr>
          <w:p w14:paraId="20FE2F5E"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Middle Ease</w:t>
            </w:r>
          </w:p>
        </w:tc>
        <w:tc>
          <w:tcPr>
            <w:tcW w:w="2749" w:type="pct"/>
            <w:tcBorders>
              <w:top w:val="nil"/>
              <w:left w:val="nil"/>
              <w:bottom w:val="nil"/>
              <w:right w:val="nil"/>
            </w:tcBorders>
            <w:noWrap/>
            <w:vAlign w:val="center"/>
            <w:hideMark/>
          </w:tcPr>
          <w:p w14:paraId="526BF174"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 xml:space="preserve">Countries of the Middle East; </w:t>
            </w:r>
          </w:p>
          <w:p w14:paraId="121AD3D9"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Iran, Iraq, Israel, Saudi Arabia, Qatar, etc.</w:t>
            </w:r>
            <w:r>
              <w:rPr>
                <w:rFonts w:eastAsia="Times New Roman" w:cs="Arial"/>
                <w:color w:val="000000"/>
                <w:sz w:val="20"/>
                <w:szCs w:val="20"/>
              </w:rPr>
              <w:t xml:space="preserve"> (</w:t>
            </w:r>
            <w:r w:rsidRPr="00CF1857">
              <w:rPr>
                <w:rFonts w:eastAsia="Times New Roman" w:cs="Arial"/>
                <w:color w:val="000000"/>
                <w:sz w:val="20"/>
                <w:szCs w:val="20"/>
              </w:rPr>
              <w:t>MIDDLE_EAST</w:t>
            </w:r>
            <w:r>
              <w:rPr>
                <w:rFonts w:eastAsia="Times New Roman" w:cs="Arial"/>
                <w:color w:val="000000"/>
                <w:sz w:val="20"/>
                <w:szCs w:val="20"/>
              </w:rPr>
              <w:t>)</w:t>
            </w:r>
          </w:p>
        </w:tc>
      </w:tr>
      <w:tr w:rsidR="00E63B58" w:rsidRPr="00CF1857" w14:paraId="58E46F27" w14:textId="77777777" w:rsidTr="00CB10D4">
        <w:trPr>
          <w:trHeight w:val="576"/>
        </w:trPr>
        <w:tc>
          <w:tcPr>
            <w:tcW w:w="1463" w:type="pct"/>
            <w:tcBorders>
              <w:top w:val="nil"/>
              <w:left w:val="nil"/>
              <w:bottom w:val="nil"/>
              <w:right w:val="nil"/>
            </w:tcBorders>
            <w:shd w:val="clear" w:color="auto" w:fill="E7E6E6" w:themeFill="background2"/>
            <w:noWrap/>
            <w:vAlign w:val="center"/>
            <w:hideMark/>
          </w:tcPr>
          <w:p w14:paraId="2364A319"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Canada</w:t>
            </w:r>
          </w:p>
        </w:tc>
        <w:tc>
          <w:tcPr>
            <w:tcW w:w="789" w:type="pct"/>
            <w:vMerge w:val="restart"/>
            <w:tcBorders>
              <w:top w:val="nil"/>
              <w:left w:val="nil"/>
              <w:bottom w:val="nil"/>
              <w:right w:val="nil"/>
            </w:tcBorders>
            <w:shd w:val="clear" w:color="auto" w:fill="E7E6E6" w:themeFill="background2"/>
            <w:noWrap/>
            <w:vAlign w:val="center"/>
            <w:hideMark/>
          </w:tcPr>
          <w:p w14:paraId="66D1ADE7"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North America</w:t>
            </w:r>
          </w:p>
        </w:tc>
        <w:tc>
          <w:tcPr>
            <w:tcW w:w="2749" w:type="pct"/>
            <w:vMerge w:val="restart"/>
            <w:tcBorders>
              <w:top w:val="nil"/>
              <w:left w:val="nil"/>
              <w:bottom w:val="nil"/>
              <w:right w:val="nil"/>
            </w:tcBorders>
            <w:shd w:val="clear" w:color="auto" w:fill="E7E6E6" w:themeFill="background2"/>
            <w:noWrap/>
            <w:vAlign w:val="center"/>
            <w:hideMark/>
          </w:tcPr>
          <w:p w14:paraId="15095D20"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 xml:space="preserve">North America; </w:t>
            </w:r>
          </w:p>
          <w:p w14:paraId="23463ED0"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primarily the United States of America and Canada</w:t>
            </w:r>
            <w:r>
              <w:rPr>
                <w:rFonts w:eastAsia="Times New Roman" w:cs="Arial"/>
                <w:color w:val="000000"/>
                <w:sz w:val="20"/>
                <w:szCs w:val="20"/>
              </w:rPr>
              <w:t xml:space="preserve"> (</w:t>
            </w:r>
            <w:r w:rsidRPr="00CF1857">
              <w:rPr>
                <w:rFonts w:eastAsia="Times New Roman" w:cs="Arial"/>
                <w:color w:val="000000"/>
                <w:sz w:val="20"/>
                <w:szCs w:val="20"/>
              </w:rPr>
              <w:t>NORTH_AM</w:t>
            </w:r>
            <w:r>
              <w:rPr>
                <w:rFonts w:eastAsia="Times New Roman" w:cs="Arial"/>
                <w:color w:val="000000"/>
                <w:sz w:val="20"/>
                <w:szCs w:val="20"/>
              </w:rPr>
              <w:t>)</w:t>
            </w:r>
          </w:p>
        </w:tc>
      </w:tr>
      <w:tr w:rsidR="00E63B58" w:rsidRPr="00CF1857" w14:paraId="2C8364C1"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4E8910D8"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USA</w:t>
            </w:r>
          </w:p>
        </w:tc>
        <w:tc>
          <w:tcPr>
            <w:tcW w:w="789" w:type="pct"/>
            <w:vMerge/>
            <w:tcBorders>
              <w:top w:val="nil"/>
              <w:left w:val="nil"/>
              <w:bottom w:val="nil"/>
              <w:right w:val="nil"/>
            </w:tcBorders>
            <w:shd w:val="clear" w:color="auto" w:fill="E7E6E6" w:themeFill="background2"/>
            <w:vAlign w:val="center"/>
            <w:hideMark/>
          </w:tcPr>
          <w:p w14:paraId="7B581AF6"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7E0F502A"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445315FE" w14:textId="77777777" w:rsidTr="00CB10D4">
        <w:trPr>
          <w:trHeight w:val="288"/>
        </w:trPr>
        <w:tc>
          <w:tcPr>
            <w:tcW w:w="1463" w:type="pct"/>
            <w:tcBorders>
              <w:top w:val="nil"/>
              <w:left w:val="nil"/>
              <w:bottom w:val="nil"/>
              <w:right w:val="nil"/>
            </w:tcBorders>
            <w:noWrap/>
            <w:vAlign w:val="center"/>
            <w:hideMark/>
          </w:tcPr>
          <w:p w14:paraId="47BCFF94"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Australia_NZ</w:t>
            </w:r>
          </w:p>
        </w:tc>
        <w:tc>
          <w:tcPr>
            <w:tcW w:w="789" w:type="pct"/>
            <w:vMerge w:val="restart"/>
            <w:tcBorders>
              <w:top w:val="nil"/>
              <w:left w:val="nil"/>
              <w:bottom w:val="nil"/>
              <w:right w:val="nil"/>
            </w:tcBorders>
            <w:noWrap/>
            <w:vAlign w:val="center"/>
            <w:hideMark/>
          </w:tcPr>
          <w:p w14:paraId="38A5A4D6"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Pacific OECD</w:t>
            </w:r>
          </w:p>
        </w:tc>
        <w:tc>
          <w:tcPr>
            <w:tcW w:w="2749" w:type="pct"/>
            <w:vMerge w:val="restart"/>
            <w:tcBorders>
              <w:top w:val="nil"/>
              <w:left w:val="nil"/>
              <w:bottom w:val="nil"/>
              <w:right w:val="nil"/>
            </w:tcBorders>
            <w:noWrap/>
            <w:vAlign w:val="center"/>
            <w:hideMark/>
          </w:tcPr>
          <w:p w14:paraId="45B177F0"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Pacific OECD</w:t>
            </w:r>
            <w:r>
              <w:rPr>
                <w:rFonts w:eastAsia="Times New Roman" w:cs="Arial"/>
                <w:color w:val="000000"/>
                <w:sz w:val="20"/>
                <w:szCs w:val="20"/>
              </w:rPr>
              <w:t xml:space="preserve"> (</w:t>
            </w:r>
            <w:r w:rsidRPr="00CF1857">
              <w:rPr>
                <w:rFonts w:eastAsia="Times New Roman" w:cs="Arial"/>
                <w:color w:val="000000"/>
                <w:sz w:val="20"/>
                <w:szCs w:val="20"/>
              </w:rPr>
              <w:t>PAC_OECD</w:t>
            </w:r>
            <w:r>
              <w:rPr>
                <w:rFonts w:eastAsia="Times New Roman" w:cs="Arial"/>
                <w:color w:val="000000"/>
                <w:sz w:val="20"/>
                <w:szCs w:val="20"/>
              </w:rPr>
              <w:t>)</w:t>
            </w:r>
          </w:p>
        </w:tc>
      </w:tr>
      <w:tr w:rsidR="00E63B58" w:rsidRPr="00CF1857" w14:paraId="6FE7D57D" w14:textId="77777777" w:rsidTr="00CB10D4">
        <w:trPr>
          <w:trHeight w:val="288"/>
        </w:trPr>
        <w:tc>
          <w:tcPr>
            <w:tcW w:w="1463" w:type="pct"/>
            <w:tcBorders>
              <w:top w:val="nil"/>
              <w:left w:val="nil"/>
              <w:bottom w:val="nil"/>
              <w:right w:val="nil"/>
            </w:tcBorders>
            <w:noWrap/>
            <w:vAlign w:val="center"/>
            <w:hideMark/>
          </w:tcPr>
          <w:p w14:paraId="427F8904"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Japan</w:t>
            </w:r>
          </w:p>
        </w:tc>
        <w:tc>
          <w:tcPr>
            <w:tcW w:w="789" w:type="pct"/>
            <w:vMerge/>
            <w:tcBorders>
              <w:top w:val="nil"/>
              <w:left w:val="nil"/>
              <w:bottom w:val="nil"/>
              <w:right w:val="nil"/>
            </w:tcBorders>
            <w:vAlign w:val="center"/>
            <w:hideMark/>
          </w:tcPr>
          <w:p w14:paraId="31B82CD4"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vAlign w:val="center"/>
            <w:hideMark/>
          </w:tcPr>
          <w:p w14:paraId="019C9AB5"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6CBFBCFD" w14:textId="77777777" w:rsidTr="00CB10D4">
        <w:trPr>
          <w:trHeight w:val="288"/>
        </w:trPr>
        <w:tc>
          <w:tcPr>
            <w:tcW w:w="1463" w:type="pct"/>
            <w:tcBorders>
              <w:top w:val="nil"/>
              <w:left w:val="nil"/>
              <w:bottom w:val="nil"/>
              <w:right w:val="nil"/>
            </w:tcBorders>
            <w:noWrap/>
            <w:vAlign w:val="center"/>
            <w:hideMark/>
          </w:tcPr>
          <w:p w14:paraId="2BF5FE0B"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South Korea</w:t>
            </w:r>
          </w:p>
        </w:tc>
        <w:tc>
          <w:tcPr>
            <w:tcW w:w="789" w:type="pct"/>
            <w:vMerge/>
            <w:tcBorders>
              <w:top w:val="nil"/>
              <w:left w:val="nil"/>
              <w:bottom w:val="nil"/>
              <w:right w:val="nil"/>
            </w:tcBorders>
            <w:vAlign w:val="center"/>
            <w:hideMark/>
          </w:tcPr>
          <w:p w14:paraId="171FC517"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vAlign w:val="center"/>
            <w:hideMark/>
          </w:tcPr>
          <w:p w14:paraId="38D8B5B5"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56945122"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12C226C1"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Central Asia</w:t>
            </w:r>
          </w:p>
        </w:tc>
        <w:tc>
          <w:tcPr>
            <w:tcW w:w="789" w:type="pct"/>
            <w:vMerge w:val="restart"/>
            <w:tcBorders>
              <w:top w:val="nil"/>
              <w:left w:val="nil"/>
              <w:bottom w:val="nil"/>
              <w:right w:val="nil"/>
            </w:tcBorders>
            <w:shd w:val="clear" w:color="auto" w:fill="E7E6E6" w:themeFill="background2"/>
            <w:noWrap/>
            <w:vAlign w:val="center"/>
            <w:hideMark/>
          </w:tcPr>
          <w:p w14:paraId="3D5582DF"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Reforming</w:t>
            </w:r>
          </w:p>
        </w:tc>
        <w:tc>
          <w:tcPr>
            <w:tcW w:w="2749" w:type="pct"/>
            <w:vMerge w:val="restart"/>
            <w:tcBorders>
              <w:top w:val="nil"/>
              <w:left w:val="nil"/>
              <w:bottom w:val="nil"/>
              <w:right w:val="nil"/>
            </w:tcBorders>
            <w:shd w:val="clear" w:color="auto" w:fill="E7E6E6" w:themeFill="background2"/>
            <w:noWrap/>
            <w:vAlign w:val="center"/>
            <w:hideMark/>
          </w:tcPr>
          <w:p w14:paraId="148A66CD"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 xml:space="preserve">Reforming Economies of Eastern Europe and </w:t>
            </w:r>
          </w:p>
          <w:p w14:paraId="1C968C62"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the Former Soviet Union; primarily Russia</w:t>
            </w:r>
            <w:r>
              <w:rPr>
                <w:rFonts w:eastAsia="Times New Roman" w:cs="Arial"/>
                <w:color w:val="000000"/>
                <w:sz w:val="20"/>
                <w:szCs w:val="20"/>
              </w:rPr>
              <w:t xml:space="preserve"> (</w:t>
            </w:r>
            <w:r w:rsidRPr="00CF1857">
              <w:rPr>
                <w:rFonts w:eastAsia="Times New Roman" w:cs="Arial"/>
                <w:color w:val="000000"/>
                <w:sz w:val="20"/>
                <w:szCs w:val="20"/>
              </w:rPr>
              <w:t>REF_ECON</w:t>
            </w:r>
            <w:r>
              <w:rPr>
                <w:rFonts w:eastAsia="Times New Roman" w:cs="Arial"/>
                <w:color w:val="000000"/>
                <w:sz w:val="20"/>
                <w:szCs w:val="20"/>
              </w:rPr>
              <w:t>)</w:t>
            </w:r>
          </w:p>
        </w:tc>
      </w:tr>
      <w:tr w:rsidR="00E63B58" w:rsidRPr="00CF1857" w14:paraId="7EA799F3" w14:textId="77777777" w:rsidTr="00CB10D4">
        <w:trPr>
          <w:trHeight w:val="288"/>
        </w:trPr>
        <w:tc>
          <w:tcPr>
            <w:tcW w:w="1463" w:type="pct"/>
            <w:tcBorders>
              <w:top w:val="nil"/>
              <w:left w:val="nil"/>
              <w:bottom w:val="nil"/>
              <w:right w:val="nil"/>
            </w:tcBorders>
            <w:shd w:val="clear" w:color="auto" w:fill="E7E6E6" w:themeFill="background2"/>
            <w:noWrap/>
            <w:vAlign w:val="center"/>
          </w:tcPr>
          <w:p w14:paraId="12F974C6"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Ukraine</w:t>
            </w:r>
          </w:p>
        </w:tc>
        <w:tc>
          <w:tcPr>
            <w:tcW w:w="789" w:type="pct"/>
            <w:vMerge/>
            <w:tcBorders>
              <w:top w:val="nil"/>
              <w:left w:val="nil"/>
              <w:bottom w:val="nil"/>
              <w:right w:val="nil"/>
            </w:tcBorders>
            <w:shd w:val="clear" w:color="auto" w:fill="E7E6E6" w:themeFill="background2"/>
            <w:noWrap/>
            <w:vAlign w:val="center"/>
          </w:tcPr>
          <w:p w14:paraId="0701873B"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noWrap/>
            <w:vAlign w:val="center"/>
          </w:tcPr>
          <w:p w14:paraId="60AD97DB"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2E30EF0B" w14:textId="77777777" w:rsidTr="00CB10D4">
        <w:trPr>
          <w:trHeight w:val="288"/>
        </w:trPr>
        <w:tc>
          <w:tcPr>
            <w:tcW w:w="1463" w:type="pct"/>
            <w:tcBorders>
              <w:top w:val="nil"/>
              <w:left w:val="nil"/>
              <w:bottom w:val="nil"/>
              <w:right w:val="nil"/>
            </w:tcBorders>
            <w:shd w:val="clear" w:color="auto" w:fill="E7E6E6" w:themeFill="background2"/>
            <w:noWrap/>
            <w:vAlign w:val="center"/>
            <w:hideMark/>
          </w:tcPr>
          <w:p w14:paraId="7ECA06F8"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Russia</w:t>
            </w:r>
          </w:p>
        </w:tc>
        <w:tc>
          <w:tcPr>
            <w:tcW w:w="789" w:type="pct"/>
            <w:vMerge/>
            <w:tcBorders>
              <w:top w:val="nil"/>
              <w:left w:val="nil"/>
              <w:bottom w:val="nil"/>
              <w:right w:val="nil"/>
            </w:tcBorders>
            <w:shd w:val="clear" w:color="auto" w:fill="E7E6E6" w:themeFill="background2"/>
            <w:vAlign w:val="center"/>
            <w:hideMark/>
          </w:tcPr>
          <w:p w14:paraId="277A5680"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nil"/>
              <w:right w:val="nil"/>
            </w:tcBorders>
            <w:shd w:val="clear" w:color="auto" w:fill="E7E6E6" w:themeFill="background2"/>
            <w:vAlign w:val="center"/>
            <w:hideMark/>
          </w:tcPr>
          <w:p w14:paraId="1B553076" w14:textId="77777777" w:rsidR="00E63B58" w:rsidRPr="00CF1857" w:rsidRDefault="00E63B58" w:rsidP="00CB10D4">
            <w:pPr>
              <w:spacing w:after="0" w:line="240" w:lineRule="auto"/>
              <w:rPr>
                <w:rFonts w:eastAsia="Times New Roman" w:cs="Arial"/>
                <w:color w:val="000000"/>
                <w:sz w:val="20"/>
                <w:szCs w:val="20"/>
              </w:rPr>
            </w:pPr>
          </w:p>
        </w:tc>
      </w:tr>
      <w:tr w:rsidR="00E63B58" w:rsidRPr="00CF1857" w14:paraId="1C73A6DF" w14:textId="77777777" w:rsidTr="00CB10D4">
        <w:trPr>
          <w:trHeight w:val="432"/>
        </w:trPr>
        <w:tc>
          <w:tcPr>
            <w:tcW w:w="1463" w:type="pct"/>
            <w:tcBorders>
              <w:top w:val="nil"/>
              <w:left w:val="nil"/>
              <w:bottom w:val="nil"/>
              <w:right w:val="nil"/>
            </w:tcBorders>
            <w:noWrap/>
            <w:vAlign w:val="center"/>
            <w:hideMark/>
          </w:tcPr>
          <w:p w14:paraId="264F3A1C"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Indonesia</w:t>
            </w:r>
          </w:p>
        </w:tc>
        <w:tc>
          <w:tcPr>
            <w:tcW w:w="789" w:type="pct"/>
            <w:vMerge w:val="restart"/>
            <w:tcBorders>
              <w:top w:val="nil"/>
              <w:left w:val="nil"/>
              <w:bottom w:val="single" w:sz="4" w:space="0" w:color="000000"/>
              <w:right w:val="nil"/>
            </w:tcBorders>
            <w:noWrap/>
            <w:vAlign w:val="center"/>
            <w:hideMark/>
          </w:tcPr>
          <w:p w14:paraId="48751817" w14:textId="77777777" w:rsidR="00E63B58" w:rsidRPr="00CF1857" w:rsidRDefault="00E63B58" w:rsidP="00CB10D4">
            <w:pPr>
              <w:spacing w:after="0" w:line="240" w:lineRule="auto"/>
              <w:rPr>
                <w:rFonts w:eastAsia="Times New Roman" w:cs="Arial"/>
                <w:color w:val="000000"/>
                <w:sz w:val="20"/>
                <w:szCs w:val="20"/>
              </w:rPr>
            </w:pPr>
            <w:r>
              <w:rPr>
                <w:rFonts w:eastAsia="Times New Roman" w:cs="Arial"/>
                <w:color w:val="000000"/>
                <w:sz w:val="20"/>
                <w:szCs w:val="20"/>
              </w:rPr>
              <w:t>Rest of Asia</w:t>
            </w:r>
          </w:p>
        </w:tc>
        <w:tc>
          <w:tcPr>
            <w:tcW w:w="2749" w:type="pct"/>
            <w:vMerge w:val="restart"/>
            <w:tcBorders>
              <w:top w:val="nil"/>
              <w:left w:val="nil"/>
              <w:bottom w:val="single" w:sz="4" w:space="0" w:color="000000"/>
              <w:right w:val="nil"/>
            </w:tcBorders>
            <w:noWrap/>
            <w:vAlign w:val="center"/>
            <w:hideMark/>
          </w:tcPr>
          <w:p w14:paraId="4F2A14FA"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Other countries of Asia</w:t>
            </w:r>
            <w:r>
              <w:rPr>
                <w:rFonts w:eastAsia="Times New Roman" w:cs="Arial"/>
                <w:color w:val="000000"/>
                <w:sz w:val="20"/>
                <w:szCs w:val="20"/>
              </w:rPr>
              <w:t xml:space="preserve"> (</w:t>
            </w:r>
            <w:r w:rsidRPr="00CF1857">
              <w:rPr>
                <w:rFonts w:eastAsia="Times New Roman" w:cs="Arial"/>
                <w:color w:val="000000"/>
                <w:sz w:val="20"/>
                <w:szCs w:val="20"/>
              </w:rPr>
              <w:t>REST_ASIA</w:t>
            </w:r>
            <w:r>
              <w:rPr>
                <w:rFonts w:eastAsia="Times New Roman" w:cs="Arial"/>
                <w:color w:val="000000"/>
                <w:sz w:val="20"/>
                <w:szCs w:val="20"/>
              </w:rPr>
              <w:t>)</w:t>
            </w:r>
          </w:p>
        </w:tc>
      </w:tr>
      <w:tr w:rsidR="00E63B58" w:rsidRPr="00CF1857" w14:paraId="67CD1A56" w14:textId="77777777" w:rsidTr="00CB10D4">
        <w:trPr>
          <w:trHeight w:val="288"/>
        </w:trPr>
        <w:tc>
          <w:tcPr>
            <w:tcW w:w="1463" w:type="pct"/>
            <w:tcBorders>
              <w:top w:val="nil"/>
              <w:left w:val="nil"/>
              <w:bottom w:val="single" w:sz="4" w:space="0" w:color="auto"/>
              <w:right w:val="nil"/>
            </w:tcBorders>
            <w:noWrap/>
            <w:vAlign w:val="center"/>
            <w:hideMark/>
          </w:tcPr>
          <w:p w14:paraId="1BD569A5" w14:textId="77777777" w:rsidR="00E63B58" w:rsidRPr="00CF1857" w:rsidRDefault="00E63B58" w:rsidP="00CB10D4">
            <w:pPr>
              <w:spacing w:after="0" w:line="240" w:lineRule="auto"/>
              <w:rPr>
                <w:rFonts w:eastAsia="Times New Roman" w:cs="Arial"/>
                <w:color w:val="000000"/>
                <w:sz w:val="20"/>
                <w:szCs w:val="20"/>
              </w:rPr>
            </w:pPr>
            <w:r w:rsidRPr="00CF1857">
              <w:rPr>
                <w:rFonts w:eastAsia="Times New Roman" w:cs="Arial"/>
                <w:color w:val="000000"/>
                <w:sz w:val="20"/>
                <w:szCs w:val="20"/>
              </w:rPr>
              <w:t>Southeast Asia</w:t>
            </w:r>
          </w:p>
        </w:tc>
        <w:tc>
          <w:tcPr>
            <w:tcW w:w="789" w:type="pct"/>
            <w:vMerge/>
            <w:tcBorders>
              <w:top w:val="nil"/>
              <w:left w:val="nil"/>
              <w:bottom w:val="single" w:sz="4" w:space="0" w:color="000000"/>
              <w:right w:val="nil"/>
            </w:tcBorders>
            <w:vAlign w:val="center"/>
            <w:hideMark/>
          </w:tcPr>
          <w:p w14:paraId="65428DFF" w14:textId="77777777" w:rsidR="00E63B58" w:rsidRPr="00CF1857" w:rsidRDefault="00E63B58" w:rsidP="00CB10D4">
            <w:pPr>
              <w:spacing w:after="0" w:line="240" w:lineRule="auto"/>
              <w:rPr>
                <w:rFonts w:eastAsia="Times New Roman" w:cs="Arial"/>
                <w:color w:val="000000"/>
                <w:sz w:val="20"/>
                <w:szCs w:val="20"/>
              </w:rPr>
            </w:pPr>
          </w:p>
        </w:tc>
        <w:tc>
          <w:tcPr>
            <w:tcW w:w="2749" w:type="pct"/>
            <w:vMerge/>
            <w:tcBorders>
              <w:top w:val="nil"/>
              <w:left w:val="nil"/>
              <w:bottom w:val="single" w:sz="4" w:space="0" w:color="000000"/>
              <w:right w:val="nil"/>
            </w:tcBorders>
            <w:vAlign w:val="center"/>
            <w:hideMark/>
          </w:tcPr>
          <w:p w14:paraId="454E4C2C" w14:textId="77777777" w:rsidR="00E63B58" w:rsidRPr="00CF1857" w:rsidRDefault="00E63B58" w:rsidP="00CB10D4">
            <w:pPr>
              <w:spacing w:after="0" w:line="240" w:lineRule="auto"/>
              <w:rPr>
                <w:rFonts w:eastAsia="Times New Roman" w:cs="Arial"/>
                <w:color w:val="000000"/>
                <w:sz w:val="20"/>
                <w:szCs w:val="20"/>
              </w:rPr>
            </w:pPr>
          </w:p>
        </w:tc>
      </w:tr>
    </w:tbl>
    <w:p w14:paraId="427833BA" w14:textId="77777777" w:rsidR="00E63B58" w:rsidRPr="008066ED" w:rsidRDefault="00E63B58" w:rsidP="00E63B58">
      <w:pPr>
        <w:rPr>
          <w:rFonts w:cs="Arial"/>
        </w:rPr>
      </w:pPr>
    </w:p>
    <w:p w14:paraId="5CBBB9B1" w14:textId="18654249" w:rsidR="00F81F13" w:rsidRDefault="00F81F13" w:rsidP="00F81F13">
      <w:r>
        <w:rPr>
          <w:noProof/>
        </w:rPr>
        <w:lastRenderedPageBreak/>
        <w:drawing>
          <wp:inline distT="0" distB="0" distL="0" distR="0" wp14:anchorId="2D2478EE" wp14:editId="6B400CA3">
            <wp:extent cx="6858000" cy="2809875"/>
            <wp:effectExtent l="0" t="0" r="0" b="9525"/>
            <wp:docPr id="9839157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2809875"/>
                    </a:xfrm>
                    <a:prstGeom prst="rect">
                      <a:avLst/>
                    </a:prstGeom>
                    <a:noFill/>
                    <a:ln>
                      <a:noFill/>
                    </a:ln>
                  </pic:spPr>
                </pic:pic>
              </a:graphicData>
            </a:graphic>
          </wp:inline>
        </w:drawing>
      </w:r>
    </w:p>
    <w:p w14:paraId="28CFA3AD" w14:textId="1B628497" w:rsidR="00F81F13" w:rsidRPr="00F81F13" w:rsidRDefault="00F81F13" w:rsidP="00C47468">
      <w:pPr>
        <w:pStyle w:val="Caption"/>
        <w:jc w:val="both"/>
        <w:rPr>
          <w:vanish/>
          <w:specVanish/>
        </w:rPr>
      </w:pPr>
      <w:bookmarkStart w:id="15" w:name="_Ref238418583"/>
      <w:bookmarkStart w:id="16" w:name="_Toc241138220"/>
      <w:r w:rsidRPr="002D22A0">
        <w:rPr>
          <w:noProof/>
        </w:rPr>
        <w:t xml:space="preserve">Supplementary Fig. </w:t>
      </w:r>
      <w:r w:rsidRPr="002D22A0">
        <w:rPr>
          <w:szCs w:val="22"/>
        </w:rPr>
        <w:fldChar w:fldCharType="begin"/>
      </w:r>
      <w:r w:rsidRPr="002D22A0">
        <w:rPr>
          <w:szCs w:val="22"/>
        </w:rPr>
        <w:instrText xml:space="preserve"> SEQ Figure \* ARABIC </w:instrText>
      </w:r>
      <w:r w:rsidRPr="002D22A0">
        <w:rPr>
          <w:szCs w:val="22"/>
        </w:rPr>
        <w:fldChar w:fldCharType="separate"/>
      </w:r>
      <w:r w:rsidR="003E354C">
        <w:rPr>
          <w:noProof/>
          <w:szCs w:val="22"/>
        </w:rPr>
        <w:t>1</w:t>
      </w:r>
      <w:r w:rsidRPr="002D22A0">
        <w:rPr>
          <w:szCs w:val="22"/>
        </w:rPr>
        <w:fldChar w:fldCharType="end"/>
      </w:r>
      <w:bookmarkEnd w:id="15"/>
      <w:r w:rsidRPr="002D22A0">
        <w:rPr>
          <w:noProof/>
        </w:rPr>
        <w:t xml:space="preserve"> | </w:t>
      </w:r>
      <w:r w:rsidRPr="00F81F13">
        <w:rPr>
          <w:bCs/>
        </w:rPr>
        <w:t>Structural representation of storage-related elements in agricultural supply utilization accounts.</w:t>
      </w:r>
      <w:bookmarkEnd w:id="16"/>
      <w:r w:rsidRPr="00F81F13">
        <w:t xml:space="preserve"> </w:t>
      </w:r>
    </w:p>
    <w:p w14:paraId="1FD134FA" w14:textId="77777777" w:rsidR="00E63B58" w:rsidRDefault="00F81F13" w:rsidP="00C47468">
      <w:pPr>
        <w:spacing w:line="240" w:lineRule="auto"/>
      </w:pPr>
      <w:r>
        <w:t xml:space="preserve"> </w:t>
      </w:r>
      <w:r w:rsidRPr="00F81F13">
        <w:t>Schematic illustrating the restructuring of GCAM agricultural supply utilization accounts (SUA) to represent storage explicitly. In the original representation (left), stock variation and post-harvest losses are embedded within aggregate “other uses.” The reconstructed accounts (</w:t>
      </w:r>
      <w:r>
        <w:t>center</w:t>
      </w:r>
      <w:r w:rsidRPr="00F81F13">
        <w:t>) separate opening and closing stocks and infer the portion of reported post-harvest loss associated with storage. In the updated representation (right), opening stocks enter regional supply alongside production and imports, whereas closing stocks and storage-associated losses are represented explicitly on the use side alongside current consumption, other uses and exports. The restructuring preserves the underlying commodity balance while establishing the intertemporal linkage between closing stocks in one period and opening stocks in the next.</w:t>
      </w:r>
    </w:p>
    <w:p w14:paraId="52E65A69" w14:textId="77777777" w:rsidR="00E63B58" w:rsidRDefault="00E63B58" w:rsidP="00F81F13"/>
    <w:p w14:paraId="19D3C181" w14:textId="4A9A62E8" w:rsidR="00972A6E" w:rsidRDefault="003E7BBD" w:rsidP="00F81F13">
      <w:pPr>
        <w:rPr>
          <w:rFonts w:cs="Arial"/>
        </w:rPr>
      </w:pPr>
      <w:r>
        <w:rPr>
          <w:noProof/>
        </w:rPr>
        <w:lastRenderedPageBreak/>
        <w:drawing>
          <wp:inline distT="0" distB="0" distL="0" distR="0" wp14:anchorId="0C5C62A3" wp14:editId="62FFFEB8">
            <wp:extent cx="6858000" cy="6858000"/>
            <wp:effectExtent l="0" t="0" r="0" b="0"/>
            <wp:docPr id="2808763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pic:spPr>
                </pic:pic>
              </a:graphicData>
            </a:graphic>
          </wp:inline>
        </w:drawing>
      </w:r>
    </w:p>
    <w:p w14:paraId="51040DE2" w14:textId="5A84A49B" w:rsidR="00972A6E" w:rsidRPr="00903381" w:rsidRDefault="00972A6E" w:rsidP="00C47468">
      <w:pPr>
        <w:pStyle w:val="Caption"/>
        <w:jc w:val="both"/>
        <w:rPr>
          <w:noProof/>
          <w:vanish/>
          <w:specVanish/>
        </w:rPr>
      </w:pPr>
      <w:bookmarkStart w:id="17" w:name="_Ref238416429"/>
      <w:bookmarkStart w:id="18" w:name="_Toc241138221"/>
      <w:r w:rsidRPr="00930585">
        <w:rPr>
          <w:noProof/>
        </w:rPr>
        <w:t xml:space="preserve">Supplementary Fig. </w:t>
      </w:r>
      <w:r w:rsidR="003275B2" w:rsidRPr="00930585">
        <w:rPr>
          <w:szCs w:val="22"/>
        </w:rPr>
        <w:fldChar w:fldCharType="begin"/>
      </w:r>
      <w:r w:rsidR="003275B2" w:rsidRPr="00930585">
        <w:rPr>
          <w:szCs w:val="22"/>
        </w:rPr>
        <w:instrText xml:space="preserve"> SEQ Figure \* ARABIC </w:instrText>
      </w:r>
      <w:r w:rsidR="003275B2" w:rsidRPr="00930585">
        <w:rPr>
          <w:szCs w:val="22"/>
        </w:rPr>
        <w:fldChar w:fldCharType="separate"/>
      </w:r>
      <w:r w:rsidR="003E354C">
        <w:rPr>
          <w:noProof/>
          <w:szCs w:val="22"/>
        </w:rPr>
        <w:t>2</w:t>
      </w:r>
      <w:r w:rsidR="003275B2" w:rsidRPr="00930585">
        <w:rPr>
          <w:szCs w:val="22"/>
        </w:rPr>
        <w:fldChar w:fldCharType="end"/>
      </w:r>
      <w:bookmarkEnd w:id="17"/>
      <w:r w:rsidRPr="00930585">
        <w:rPr>
          <w:noProof/>
        </w:rPr>
        <w:t xml:space="preserve"> | </w:t>
      </w:r>
      <w:r>
        <w:rPr>
          <w:noProof/>
        </w:rPr>
        <w:t>Global traceable food balance sheets</w:t>
      </w:r>
      <w:r w:rsidR="00903381">
        <w:rPr>
          <w:noProof/>
        </w:rPr>
        <w:t>, 2010 – 2022</w:t>
      </w:r>
      <w:r w:rsidRPr="00972A6E">
        <w:rPr>
          <w:bCs/>
          <w:noProof/>
        </w:rPr>
        <w:t>.</w:t>
      </w:r>
      <w:bookmarkEnd w:id="18"/>
      <w:r>
        <w:rPr>
          <w:noProof/>
        </w:rPr>
        <w:t xml:space="preserve"> </w:t>
      </w:r>
    </w:p>
    <w:p w14:paraId="1ED8A6C7" w14:textId="77777777" w:rsidR="003E354C" w:rsidRPr="003E354C" w:rsidRDefault="00903381" w:rsidP="003E354C">
      <w:pPr>
        <w:spacing w:line="240" w:lineRule="auto"/>
        <w:jc w:val="both"/>
        <w:rPr>
          <w:rFonts w:eastAsiaTheme="minorEastAsia" w:cs="Arial"/>
          <w:b/>
          <w:bCs/>
        </w:rPr>
      </w:pPr>
      <w:r>
        <w:rPr>
          <w:noProof/>
        </w:rPr>
        <w:t xml:space="preserve"> </w:t>
      </w:r>
      <w:r w:rsidRPr="00903381">
        <w:rPr>
          <w:noProof/>
        </w:rPr>
        <w:t xml:space="preserve">Global supply (positive values) and demand (negative values) are shown for 21 aggregated GCAM commodities from 2010 to 2022 in Primary Commodity equivalents (PCe), expressed in million tonnes (Mt). Stacked bars distinguish individual supply and utilization elements; commodity mappings are provided in </w:t>
      </w:r>
      <w:r w:rsidRPr="00972A6E">
        <w:rPr>
          <w:b/>
          <w:bCs/>
          <w:noProof/>
        </w:rPr>
        <w:fldChar w:fldCharType="begin"/>
      </w:r>
      <w:r w:rsidRPr="00972A6E">
        <w:rPr>
          <w:b/>
          <w:bCs/>
          <w:noProof/>
        </w:rPr>
        <w:instrText xml:space="preserve"> REF _Ref134864765 \h </w:instrText>
      </w:r>
      <w:r>
        <w:rPr>
          <w:b/>
          <w:bCs/>
          <w:noProof/>
        </w:rPr>
        <w:instrText xml:space="preserve"> \* MERGEFORMAT </w:instrText>
      </w:r>
      <w:r w:rsidRPr="00972A6E">
        <w:rPr>
          <w:b/>
          <w:bCs/>
          <w:noProof/>
        </w:rPr>
      </w:r>
      <w:r w:rsidRPr="00972A6E">
        <w:rPr>
          <w:b/>
          <w:bCs/>
          <w:noProof/>
        </w:rPr>
        <w:fldChar w:fldCharType="separate"/>
      </w:r>
      <w:r w:rsidR="003E354C" w:rsidRPr="003E354C">
        <w:rPr>
          <w:rFonts w:eastAsiaTheme="minorEastAsia" w:cs="Arial"/>
          <w:b/>
          <w:bCs/>
        </w:rPr>
        <w:t xml:space="preserve">Supplementary Table </w:t>
      </w:r>
      <w:r w:rsidR="003E354C" w:rsidRPr="003E354C">
        <w:rPr>
          <w:rFonts w:eastAsiaTheme="minorEastAsia" w:cs="Arial"/>
          <w:b/>
          <w:bCs/>
          <w:noProof/>
        </w:rPr>
        <w:t>3</w:t>
      </w:r>
      <w:r w:rsidRPr="00972A6E">
        <w:rPr>
          <w:b/>
          <w:bCs/>
          <w:noProof/>
        </w:rPr>
        <w:fldChar w:fldCharType="end"/>
      </w:r>
      <w:r w:rsidRPr="00903381">
        <w:rPr>
          <w:noProof/>
        </w:rPr>
        <w:t>. “Loss” denotes total post-harvest loss, including storage-associated losses. Gross imports and exports are aggregated across 32 GCAM regions</w:t>
      </w:r>
      <w:r>
        <w:rPr>
          <w:noProof/>
        </w:rPr>
        <w:t xml:space="preserve"> (</w:t>
      </w:r>
      <w:r w:rsidRPr="004A79E8">
        <w:rPr>
          <w:b/>
          <w:bCs/>
          <w:noProof/>
        </w:rPr>
        <w:fldChar w:fldCharType="begin"/>
      </w:r>
      <w:r w:rsidRPr="004A79E8">
        <w:rPr>
          <w:b/>
          <w:bCs/>
          <w:noProof/>
        </w:rPr>
        <w:instrText xml:space="preserve"> REF _Ref162114372 \h </w:instrText>
      </w:r>
      <w:r w:rsidR="003E7BBD" w:rsidRPr="004A79E8">
        <w:rPr>
          <w:b/>
          <w:bCs/>
          <w:noProof/>
        </w:rPr>
        <w:instrText xml:space="preserve"> \* MERGEFORMAT </w:instrText>
      </w:r>
      <w:r w:rsidRPr="004A79E8">
        <w:rPr>
          <w:b/>
          <w:bCs/>
          <w:noProof/>
        </w:rPr>
      </w:r>
      <w:r w:rsidRPr="004A79E8">
        <w:rPr>
          <w:b/>
          <w:bCs/>
          <w:noProof/>
        </w:rPr>
        <w:fldChar w:fldCharType="separate"/>
      </w:r>
      <w:r w:rsidR="003E354C" w:rsidRPr="003E354C">
        <w:rPr>
          <w:rFonts w:eastAsiaTheme="minorEastAsia" w:cs="Arial"/>
          <w:b/>
          <w:bCs/>
        </w:rPr>
        <w:br w:type="page"/>
      </w:r>
    </w:p>
    <w:p w14:paraId="324B4C09" w14:textId="513ED8FE" w:rsidR="00903381" w:rsidRPr="000733C6" w:rsidRDefault="003E354C" w:rsidP="00C47468">
      <w:pPr>
        <w:spacing w:line="240" w:lineRule="auto"/>
        <w:jc w:val="both"/>
        <w:rPr>
          <w:noProof/>
          <w:vanish/>
        </w:rPr>
      </w:pPr>
      <w:r w:rsidRPr="003E354C">
        <w:rPr>
          <w:rFonts w:eastAsiaTheme="minorEastAsia" w:cs="Arial"/>
          <w:b/>
          <w:bCs/>
        </w:rPr>
        <w:lastRenderedPageBreak/>
        <w:t xml:space="preserve">Supplementary </w:t>
      </w:r>
      <w:r w:rsidRPr="003E354C">
        <w:rPr>
          <w:rFonts w:eastAsiaTheme="minorEastAsia" w:cs="Arial"/>
          <w:b/>
          <w:bCs/>
          <w:noProof/>
        </w:rPr>
        <w:t>Table</w:t>
      </w:r>
      <w:r w:rsidRPr="008066ED">
        <w:rPr>
          <w:rFonts w:eastAsiaTheme="minorEastAsia" w:cs="Arial"/>
          <w:bCs/>
        </w:rPr>
        <w:t xml:space="preserve"> </w:t>
      </w:r>
      <w:r>
        <w:rPr>
          <w:rFonts w:eastAsiaTheme="minorEastAsia" w:cs="Arial"/>
          <w:bCs/>
          <w:noProof/>
        </w:rPr>
        <w:t>4</w:t>
      </w:r>
      <w:r w:rsidR="00903381" w:rsidRPr="004A79E8">
        <w:rPr>
          <w:b/>
          <w:bCs/>
          <w:noProof/>
        </w:rPr>
        <w:fldChar w:fldCharType="end"/>
      </w:r>
      <w:r w:rsidR="00903381">
        <w:rPr>
          <w:noProof/>
        </w:rPr>
        <w:t>)</w:t>
      </w:r>
      <w:r w:rsidR="00903381" w:rsidRPr="00903381">
        <w:rPr>
          <w:noProof/>
        </w:rPr>
        <w:t xml:space="preserve"> and balance annually at the global level. Data sources: FAOSTAT and </w:t>
      </w:r>
      <w:r w:rsidR="00903381" w:rsidRPr="00903381">
        <w:rPr>
          <w:i/>
          <w:iCs/>
          <w:noProof/>
        </w:rPr>
        <w:t>gcamfaostat</w:t>
      </w:r>
      <w:r w:rsidR="00903381" w:rsidRPr="00903381">
        <w:rPr>
          <w:noProof/>
        </w:rPr>
        <w:t>.</w:t>
      </w:r>
    </w:p>
    <w:p w14:paraId="138BD4DB" w14:textId="77777777" w:rsidR="000733C6" w:rsidRDefault="000733C6" w:rsidP="00972A6E">
      <w:pPr>
        <w:rPr>
          <w:rFonts w:cs="Arial"/>
          <w:bCs/>
          <w:noProof/>
        </w:rPr>
      </w:pPr>
    </w:p>
    <w:p w14:paraId="603E9CA3" w14:textId="77777777" w:rsidR="00972A6E" w:rsidRDefault="00972A6E" w:rsidP="00764AE7">
      <w:pPr>
        <w:rPr>
          <w:noProof/>
        </w:rPr>
      </w:pPr>
    </w:p>
    <w:p w14:paraId="41180642" w14:textId="4F8C1697" w:rsidR="003E7BBD" w:rsidRDefault="00884553" w:rsidP="00764AE7">
      <w:pPr>
        <w:rPr>
          <w:rFonts w:cs="Arial"/>
        </w:rPr>
      </w:pPr>
      <w:r>
        <w:rPr>
          <w:noProof/>
        </w:rPr>
        <w:drawing>
          <wp:inline distT="0" distB="0" distL="0" distR="0" wp14:anchorId="08A734FD" wp14:editId="0631AD92">
            <wp:extent cx="6858000" cy="6858000"/>
            <wp:effectExtent l="0" t="0" r="0" b="0"/>
            <wp:docPr id="19569005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pic:spPr>
                </pic:pic>
              </a:graphicData>
            </a:graphic>
          </wp:inline>
        </w:drawing>
      </w:r>
    </w:p>
    <w:p w14:paraId="114182CE" w14:textId="35523F52" w:rsidR="00884553" w:rsidRPr="003108B9" w:rsidRDefault="00884553" w:rsidP="00C47468">
      <w:pPr>
        <w:pStyle w:val="Caption"/>
        <w:jc w:val="both"/>
        <w:rPr>
          <w:vanish/>
          <w:specVanish/>
        </w:rPr>
      </w:pPr>
      <w:bookmarkStart w:id="19" w:name="_Ref238416493"/>
      <w:bookmarkStart w:id="20" w:name="_Toc241138222"/>
      <w:r w:rsidRPr="008066ED">
        <w:t xml:space="preserve">Supplementary </w:t>
      </w:r>
      <w:r w:rsidRPr="00266E35">
        <w:rPr>
          <w:noProof/>
          <w:szCs w:val="22"/>
        </w:rPr>
        <w:t xml:space="preserve">Fig. </w:t>
      </w:r>
      <w:fldSimple w:instr=" SEQ Figure \* ARABIC ">
        <w:r w:rsidR="003E354C">
          <w:rPr>
            <w:noProof/>
          </w:rPr>
          <w:t>3</w:t>
        </w:r>
      </w:fldSimple>
      <w:bookmarkEnd w:id="19"/>
      <w:r w:rsidRPr="00266E35">
        <w:rPr>
          <w:noProof/>
          <w:szCs w:val="22"/>
        </w:rPr>
        <w:t xml:space="preserve"> |</w:t>
      </w:r>
      <w:r w:rsidRPr="008066ED">
        <w:t xml:space="preserve"> </w:t>
      </w:r>
      <w:r w:rsidR="003108B9">
        <w:t>S</w:t>
      </w:r>
      <w:r w:rsidRPr="008066ED">
        <w:t xml:space="preserve">torage variation by </w:t>
      </w:r>
      <w:r w:rsidR="003108B9">
        <w:t xml:space="preserve">GCAM storable </w:t>
      </w:r>
      <w:r w:rsidRPr="008066ED">
        <w:t>commodity and region</w:t>
      </w:r>
      <w:r w:rsidR="003108B9">
        <w:rPr>
          <w:noProof/>
        </w:rPr>
        <w:t>, 2010 – 2022</w:t>
      </w:r>
      <w:r w:rsidRPr="008066ED">
        <w:t>.</w:t>
      </w:r>
      <w:bookmarkEnd w:id="20"/>
      <w:r w:rsidR="003108B9">
        <w:t xml:space="preserve"> </w:t>
      </w:r>
    </w:p>
    <w:p w14:paraId="2B2F0999" w14:textId="185A5BCC" w:rsidR="003108B9" w:rsidRPr="003108B9" w:rsidRDefault="003108B9" w:rsidP="00C47468">
      <w:pPr>
        <w:spacing w:line="240" w:lineRule="auto"/>
        <w:jc w:val="both"/>
      </w:pPr>
      <w:r>
        <w:t xml:space="preserve"> </w:t>
      </w:r>
      <w:r w:rsidRPr="003108B9">
        <w:t xml:space="preserve">Annual storage variation from 2010 to 2022 is shown for 13 GCAM storable crop commodities across IPCC R10 regions and the world. Within each commodity–region bar, colored segments represent year-specific stock changes, with positive values indicating stock accumulation and negative values indicating stock drawdown; red dots indicate the net cumulative change over 2010–2022. Storage variation is defined as the difference between closing and </w:t>
      </w:r>
      <w:r w:rsidRPr="003108B9">
        <w:lastRenderedPageBreak/>
        <w:t xml:space="preserve">opening stocks and is reported in million tonnes (Mt). This disaggregated view underlies the global and regional storage summaries presented in </w:t>
      </w:r>
      <w:r w:rsidRPr="003108B9">
        <w:rPr>
          <w:b/>
          <w:bCs/>
        </w:rPr>
        <w:t>Main Fig. 2</w:t>
      </w:r>
      <w:r w:rsidRPr="003108B9">
        <w:t xml:space="preserve">. Data sources: FAOSTAT and </w:t>
      </w:r>
      <w:r w:rsidRPr="003108B9">
        <w:rPr>
          <w:i/>
          <w:iCs/>
        </w:rPr>
        <w:t>gcamfaostat</w:t>
      </w:r>
      <w:r w:rsidRPr="003108B9">
        <w:t>.</w:t>
      </w:r>
    </w:p>
    <w:p w14:paraId="1943E20B" w14:textId="6AAB507C" w:rsidR="00884553" w:rsidRPr="008066ED" w:rsidRDefault="00884553" w:rsidP="00884553">
      <w:pPr>
        <w:rPr>
          <w:rFonts w:cs="Arial"/>
        </w:rPr>
      </w:pPr>
    </w:p>
    <w:p w14:paraId="01DA7F38" w14:textId="0A8B727C" w:rsidR="00884553" w:rsidRDefault="00630A0E" w:rsidP="00764AE7">
      <w:pPr>
        <w:rPr>
          <w:rFonts w:cs="Arial"/>
        </w:rPr>
      </w:pPr>
      <w:r>
        <w:rPr>
          <w:noProof/>
        </w:rPr>
        <w:drawing>
          <wp:inline distT="0" distB="0" distL="0" distR="0" wp14:anchorId="443EE36D" wp14:editId="739E56F7">
            <wp:extent cx="6858000" cy="5486400"/>
            <wp:effectExtent l="0" t="0" r="0" b="0"/>
            <wp:docPr id="104901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0" cy="5486400"/>
                    </a:xfrm>
                    <a:prstGeom prst="rect">
                      <a:avLst/>
                    </a:prstGeom>
                    <a:noFill/>
                    <a:ln>
                      <a:noFill/>
                    </a:ln>
                  </pic:spPr>
                </pic:pic>
              </a:graphicData>
            </a:graphic>
          </wp:inline>
        </w:drawing>
      </w:r>
    </w:p>
    <w:p w14:paraId="36FF9E1E" w14:textId="5F605D39" w:rsidR="008C304D" w:rsidRPr="00630A0E" w:rsidRDefault="008C304D" w:rsidP="00C47468">
      <w:pPr>
        <w:pStyle w:val="Caption"/>
        <w:jc w:val="both"/>
        <w:rPr>
          <w:vanish/>
          <w:specVanish/>
        </w:rPr>
      </w:pPr>
      <w:bookmarkStart w:id="21" w:name="_Ref238416502"/>
      <w:bookmarkStart w:id="22" w:name="_Toc241138223"/>
      <w:r w:rsidRPr="008066ED">
        <w:t xml:space="preserve">Supplementary </w:t>
      </w:r>
      <w:r w:rsidRPr="00266E35">
        <w:rPr>
          <w:noProof/>
          <w:szCs w:val="22"/>
        </w:rPr>
        <w:t xml:space="preserve">Fig. </w:t>
      </w:r>
      <w:fldSimple w:instr=" SEQ Figure \* ARABIC ">
        <w:r w:rsidR="003E354C">
          <w:rPr>
            <w:noProof/>
          </w:rPr>
          <w:t>4</w:t>
        </w:r>
      </w:fldSimple>
      <w:bookmarkEnd w:id="21"/>
      <w:r w:rsidRPr="00266E35">
        <w:rPr>
          <w:noProof/>
          <w:szCs w:val="22"/>
        </w:rPr>
        <w:t xml:space="preserve"> |</w:t>
      </w:r>
      <w:r w:rsidRPr="008066ED">
        <w:t xml:space="preserve"> </w:t>
      </w:r>
      <w:r w:rsidR="00630A0E" w:rsidRPr="00630A0E">
        <w:t>Stock-to-gross-supply and stock-to-gross-use ratios by commodity group and region</w:t>
      </w:r>
      <w:r w:rsidRPr="008066ED">
        <w:t>.</w:t>
      </w:r>
      <w:bookmarkEnd w:id="22"/>
      <w:r w:rsidR="00630A0E">
        <w:t xml:space="preserve"> </w:t>
      </w:r>
    </w:p>
    <w:p w14:paraId="69D9788A" w14:textId="0C351459" w:rsidR="00630A0E" w:rsidRDefault="00630A0E" w:rsidP="00C47468">
      <w:pPr>
        <w:spacing w:line="240" w:lineRule="auto"/>
        <w:jc w:val="both"/>
        <w:rPr>
          <w:rFonts w:cs="Arial"/>
        </w:rPr>
      </w:pPr>
      <w:r>
        <w:rPr>
          <w:rFonts w:cs="Arial"/>
        </w:rPr>
        <w:t xml:space="preserve"> </w:t>
      </w:r>
      <w:r w:rsidRPr="00630A0E">
        <w:rPr>
          <w:rFonts w:cs="Arial"/>
        </w:rPr>
        <w:t>Historical storage indicators are shown for four storable crop groups—grains, oil crops, sugar crops</w:t>
      </w:r>
      <w:r w:rsidR="00314C9B">
        <w:rPr>
          <w:rFonts w:cs="Arial"/>
        </w:rPr>
        <w:t>,</w:t>
      </w:r>
      <w:r w:rsidRPr="00630A0E">
        <w:rPr>
          <w:rFonts w:cs="Arial"/>
        </w:rPr>
        <w:t xml:space="preserve"> and other crops—across IPCC R10 regions and the world from 2010 to 2022. Blue lines show the opening stock-to-gross-supply ratio, where gross supply is defined as production plus opening stocks; red lines show the closing stock-to-gross-use ratio, where gross use comprises domestic utilization plus </w:t>
      </w:r>
      <w:r w:rsidR="00126681">
        <w:rPr>
          <w:rFonts w:cs="Arial"/>
        </w:rPr>
        <w:t xml:space="preserve">gross </w:t>
      </w:r>
      <w:r w:rsidRPr="00630A0E">
        <w:rPr>
          <w:rFonts w:cs="Arial"/>
        </w:rPr>
        <w:t>closing stocks</w:t>
      </w:r>
      <w:r w:rsidR="00126681">
        <w:rPr>
          <w:rFonts w:cs="Arial"/>
        </w:rPr>
        <w:t xml:space="preserve"> (including the storage associated losses)</w:t>
      </w:r>
      <w:r w:rsidRPr="00630A0E">
        <w:rPr>
          <w:rFonts w:cs="Arial"/>
        </w:rPr>
        <w:t xml:space="preserve">. Imports and exports are excluded from both measures. Ratios are expressed as shares and characterize the relative importance of inventories within domestic commodity supply and use. Data sources: FAOSTAT and </w:t>
      </w:r>
      <w:r w:rsidRPr="00630A0E">
        <w:rPr>
          <w:rFonts w:cs="Arial"/>
          <w:i/>
          <w:iCs/>
        </w:rPr>
        <w:t>gcamfaostat</w:t>
      </w:r>
      <w:r w:rsidRPr="00630A0E">
        <w:rPr>
          <w:rFonts w:cs="Arial"/>
        </w:rPr>
        <w:t>.</w:t>
      </w:r>
    </w:p>
    <w:p w14:paraId="5FC8D77C" w14:textId="77777777" w:rsidR="008C304D" w:rsidRDefault="008C304D" w:rsidP="00764AE7">
      <w:pPr>
        <w:rPr>
          <w:rFonts w:cs="Arial"/>
        </w:rPr>
      </w:pPr>
    </w:p>
    <w:p w14:paraId="1AAFA386" w14:textId="77777777" w:rsidR="00884553" w:rsidRDefault="00884553" w:rsidP="00764AE7">
      <w:pPr>
        <w:rPr>
          <w:rFonts w:cs="Arial"/>
        </w:rPr>
      </w:pPr>
    </w:p>
    <w:p w14:paraId="423E5A62" w14:textId="69484D02" w:rsidR="00764AE7" w:rsidRDefault="00764AE7" w:rsidP="00764AE7">
      <w:pPr>
        <w:rPr>
          <w:rFonts w:cs="Arial"/>
        </w:rPr>
      </w:pPr>
    </w:p>
    <w:p w14:paraId="29A8FE2F" w14:textId="77777777" w:rsidR="00764AE7" w:rsidRDefault="00764AE7" w:rsidP="00764AE7">
      <w:pPr>
        <w:rPr>
          <w:rFonts w:cs="Arial"/>
        </w:rPr>
      </w:pPr>
    </w:p>
    <w:p w14:paraId="532C2BBD" w14:textId="77777777" w:rsidR="00764AE7" w:rsidRDefault="00764AE7" w:rsidP="00764AE7">
      <w:pPr>
        <w:rPr>
          <w:rFonts w:cs="Arial"/>
        </w:rPr>
      </w:pPr>
    </w:p>
    <w:p w14:paraId="54FD7183" w14:textId="77777777" w:rsidR="00764AE7" w:rsidRDefault="00764AE7" w:rsidP="00764AE7">
      <w:pPr>
        <w:rPr>
          <w:b/>
          <w:iCs/>
          <w:szCs w:val="18"/>
        </w:rPr>
      </w:pPr>
    </w:p>
    <w:p w14:paraId="0A76168D" w14:textId="34FC9AB0" w:rsidR="009A724E" w:rsidRDefault="009A724E" w:rsidP="00764AE7">
      <w:pPr>
        <w:pStyle w:val="Caption"/>
      </w:pPr>
      <w:r>
        <w:rPr>
          <w:noProof/>
        </w:rPr>
        <w:drawing>
          <wp:inline distT="0" distB="0" distL="0" distR="0" wp14:anchorId="048D4319" wp14:editId="4C6B98B4">
            <wp:extent cx="6857999" cy="5486400"/>
            <wp:effectExtent l="0" t="0" r="635" b="0"/>
            <wp:docPr id="13846349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34953" name="Picture 7"/>
                    <pic:cNvPicPr>
                      <a:picLocks noChangeAspect="1" noChangeArrowheads="1"/>
                    </pic:cNvPicPr>
                  </pic:nvPicPr>
                  <pic:blipFill>
                    <a:blip r:embed="rId15"/>
                    <a:stretch>
                      <a:fillRect/>
                    </a:stretch>
                  </pic:blipFill>
                  <pic:spPr bwMode="auto">
                    <a:xfrm>
                      <a:off x="0" y="0"/>
                      <a:ext cx="6857999" cy="5486400"/>
                    </a:xfrm>
                    <a:prstGeom prst="rect">
                      <a:avLst/>
                    </a:prstGeom>
                    <a:noFill/>
                    <a:ln>
                      <a:noFill/>
                    </a:ln>
                  </pic:spPr>
                </pic:pic>
              </a:graphicData>
            </a:graphic>
          </wp:inline>
        </w:drawing>
      </w:r>
    </w:p>
    <w:p w14:paraId="67C62D38" w14:textId="708E5395" w:rsidR="009A724E" w:rsidRPr="009A724E" w:rsidRDefault="00764AE7" w:rsidP="00C47468">
      <w:pPr>
        <w:pStyle w:val="Caption"/>
        <w:jc w:val="both"/>
        <w:rPr>
          <w:rFonts w:cs="Arial"/>
          <w:vanish/>
          <w:specVanish/>
        </w:rPr>
      </w:pPr>
      <w:bookmarkStart w:id="23" w:name="_Toc241138224"/>
      <w:r w:rsidRPr="008066ED">
        <w:t xml:space="preserve">Supplementary </w:t>
      </w:r>
      <w:r w:rsidRPr="00266E35">
        <w:rPr>
          <w:noProof/>
          <w:szCs w:val="22"/>
        </w:rPr>
        <w:t xml:space="preserve">Fig. </w:t>
      </w:r>
      <w:fldSimple w:instr=" SEQ Figure \* ARABIC ">
        <w:r w:rsidR="003E354C">
          <w:rPr>
            <w:noProof/>
          </w:rPr>
          <w:t>5</w:t>
        </w:r>
      </w:fldSimple>
      <w:r w:rsidRPr="00266E35">
        <w:rPr>
          <w:noProof/>
          <w:szCs w:val="22"/>
        </w:rPr>
        <w:t xml:space="preserve"> |</w:t>
      </w:r>
      <w:r>
        <w:rPr>
          <w:noProof/>
        </w:rPr>
        <w:t xml:space="preserve"> </w:t>
      </w:r>
      <w:r w:rsidR="009A724E" w:rsidRPr="009A724E">
        <w:rPr>
          <w:rFonts w:cs="Arial"/>
          <w:bCs/>
        </w:rPr>
        <w:t>Storage loss indicators by commodity group and region.</w:t>
      </w:r>
      <w:bookmarkEnd w:id="23"/>
    </w:p>
    <w:p w14:paraId="30AFA784" w14:textId="426B3600" w:rsidR="009A724E" w:rsidRDefault="009A724E" w:rsidP="00C47468">
      <w:pPr>
        <w:spacing w:line="240" w:lineRule="auto"/>
        <w:jc w:val="both"/>
        <w:rPr>
          <w:rFonts w:cs="Arial"/>
        </w:rPr>
      </w:pPr>
      <w:r>
        <w:rPr>
          <w:rFonts w:cs="Arial"/>
        </w:rPr>
        <w:t xml:space="preserve"> </w:t>
      </w:r>
      <w:r w:rsidRPr="009A724E">
        <w:rPr>
          <w:rFonts w:cs="Arial"/>
        </w:rPr>
        <w:t>Historical loss indicators are shown for four storable crop groups—grains, oil crops, sugar crops</w:t>
      </w:r>
      <w:r>
        <w:rPr>
          <w:rFonts w:cs="Arial"/>
        </w:rPr>
        <w:t>,</w:t>
      </w:r>
      <w:r w:rsidRPr="009A724E">
        <w:rPr>
          <w:rFonts w:cs="Arial"/>
        </w:rPr>
        <w:t xml:space="preserve"> and other crops—across IPCC R10 regions and the world from 2010 to 2022. Lines show post-harvest losses relative to total demand (red) and total supply (blue), together with the regional storage loss ratio used to represent storage-associated losses in the model (green). All indicators are expressed as shares. Grey dashed lines indicate a 5% reference level. Commodity and regional aggregations follow those used throughout the analysis. Data sources: FAOSTAT and </w:t>
      </w:r>
      <w:r w:rsidRPr="009A724E">
        <w:rPr>
          <w:rFonts w:cs="Arial"/>
          <w:i/>
          <w:iCs/>
        </w:rPr>
        <w:t>gcamfaostat</w:t>
      </w:r>
      <w:r w:rsidRPr="009A724E">
        <w:rPr>
          <w:rFonts w:cs="Arial"/>
        </w:rPr>
        <w:t>.</w:t>
      </w:r>
    </w:p>
    <w:p w14:paraId="02B0F407" w14:textId="77777777" w:rsidR="009A724E" w:rsidRDefault="009A724E">
      <w:pPr>
        <w:rPr>
          <w:rFonts w:cs="Arial"/>
        </w:rPr>
      </w:pPr>
    </w:p>
    <w:p w14:paraId="65DF0DA6" w14:textId="77777777" w:rsidR="006A0DA6" w:rsidRDefault="006A0DA6"/>
    <w:p w14:paraId="0A14E31D" w14:textId="3999316F" w:rsidR="0012081B" w:rsidRDefault="0012081B"/>
    <w:p w14:paraId="2B96752B" w14:textId="77777777" w:rsidR="0012081B" w:rsidRDefault="0012081B">
      <w:r>
        <w:lastRenderedPageBreak/>
        <w:br w:type="page"/>
      </w:r>
    </w:p>
    <w:p w14:paraId="3B8E6DEE" w14:textId="41D563CF" w:rsidR="003114F4" w:rsidRPr="006379BA" w:rsidRDefault="005508E3" w:rsidP="00C47468">
      <w:pPr>
        <w:pStyle w:val="Caption"/>
        <w:jc w:val="both"/>
        <w:rPr>
          <w:vanish/>
          <w:specVanish/>
        </w:rPr>
      </w:pPr>
      <w:bookmarkStart w:id="24" w:name="_Ref238416716"/>
      <w:bookmarkStart w:id="25" w:name="_Ref238430574"/>
      <w:bookmarkStart w:id="26" w:name="_Toc241138215"/>
      <w:r w:rsidRPr="008066ED">
        <w:lastRenderedPageBreak/>
        <w:t xml:space="preserve">Supplementary Table </w:t>
      </w:r>
      <w:fldSimple w:instr=" SEQ Table \* ARABIC ">
        <w:r w:rsidR="003E354C">
          <w:rPr>
            <w:noProof/>
          </w:rPr>
          <w:t>5</w:t>
        </w:r>
      </w:fldSimple>
      <w:bookmarkEnd w:id="24"/>
      <w:bookmarkEnd w:id="25"/>
      <w:r w:rsidRPr="008066ED">
        <w:t xml:space="preserve"> | </w:t>
      </w:r>
      <w:r w:rsidR="006379BA" w:rsidRPr="006379BA">
        <w:t>Commodity balance and storage indicators for cereal grains in the GCAM base year (2021).</w:t>
      </w:r>
      <w:bookmarkEnd w:id="26"/>
      <w:r w:rsidR="006379BA">
        <w:t xml:space="preserve"> </w:t>
      </w:r>
    </w:p>
    <w:p w14:paraId="233FC0A7" w14:textId="79FD3487" w:rsidR="0012081B" w:rsidRDefault="006379BA" w:rsidP="00C47468">
      <w:pPr>
        <w:spacing w:line="240" w:lineRule="auto"/>
        <w:jc w:val="both"/>
      </w:pPr>
      <w:r>
        <w:t xml:space="preserve"> </w:t>
      </w:r>
      <w:r w:rsidRPr="006379BA">
        <w:t>Values represent three-year averages for 2020–2022 and are aggregated to IPCC R10 regions and the world. Commodity-balance quantities are reported in million tonnes (Mt)</w:t>
      </w:r>
      <w:r>
        <w:t>, primary commodity equivalent</w:t>
      </w:r>
      <w:r w:rsidRPr="006379BA">
        <w:t xml:space="preserve">. Closing stocks are reported net of inferred storage-associated losses. The closing stock-to-gross-use ratio is defined as closing stocks divided by the sum of current domestic utilization, closing stocks and storage loss, whereas the opening stock-to-gross-supply ratio is defined as opening stocks divided by the sum of production and opening stocks. Imports and exports are shown as components of the full commodity balance but are excluded from the denominators of both storage indicators. Data sources: FAOSTAT and </w:t>
      </w:r>
      <w:r w:rsidRPr="00FC18B3">
        <w:rPr>
          <w:i/>
          <w:iCs/>
        </w:rPr>
        <w:t>gcamfaostat</w:t>
      </w:r>
      <w:r w:rsidRPr="006379BA">
        <w:t>.</w:t>
      </w:r>
    </w:p>
    <w:tbl>
      <w:tblPr>
        <w:tblStyle w:val="GridTable2"/>
        <w:tblW w:w="5000" w:type="pct"/>
        <w:tblBorders>
          <w:top w:val="single" w:sz="4" w:space="0" w:color="auto"/>
          <w:bottom w:val="single" w:sz="4" w:space="0" w:color="auto"/>
          <w:insideH w:val="none" w:sz="0" w:space="0" w:color="auto"/>
          <w:insideV w:val="none" w:sz="0" w:space="0" w:color="auto"/>
        </w:tblBorders>
        <w:tblLook w:val="04A0" w:firstRow="1" w:lastRow="0" w:firstColumn="1" w:lastColumn="0" w:noHBand="0" w:noVBand="1"/>
      </w:tblPr>
      <w:tblGrid>
        <w:gridCol w:w="1518"/>
        <w:gridCol w:w="1028"/>
        <w:gridCol w:w="1272"/>
        <w:gridCol w:w="839"/>
        <w:gridCol w:w="850"/>
        <w:gridCol w:w="1472"/>
        <w:gridCol w:w="950"/>
        <w:gridCol w:w="761"/>
        <w:gridCol w:w="1016"/>
        <w:gridCol w:w="1094"/>
      </w:tblGrid>
      <w:tr w:rsidR="0012081B" w:rsidRPr="0012081B" w14:paraId="560AC621" w14:textId="77777777" w:rsidTr="00834192">
        <w:trPr>
          <w:cnfStyle w:val="100000000000" w:firstRow="1" w:lastRow="0" w:firstColumn="0" w:lastColumn="0" w:oddVBand="0" w:evenVBand="0" w:oddHBand="0"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733" w:type="pct"/>
            <w:tcBorders>
              <w:top w:val="none" w:sz="0" w:space="0" w:color="auto"/>
              <w:bottom w:val="single" w:sz="4" w:space="0" w:color="auto"/>
              <w:right w:val="none" w:sz="0" w:space="0" w:color="auto"/>
            </w:tcBorders>
            <w:noWrap/>
            <w:vAlign w:val="center"/>
            <w:hideMark/>
          </w:tcPr>
          <w:p w14:paraId="5C7EB571" w14:textId="77777777" w:rsidR="0012081B" w:rsidRPr="0012081B" w:rsidRDefault="0012081B" w:rsidP="0012081B">
            <w:pPr>
              <w:jc w:val="center"/>
              <w:rPr>
                <w:rFonts w:cs="Arial"/>
                <w:color w:val="000000"/>
              </w:rPr>
            </w:pPr>
            <w:r w:rsidRPr="0012081B">
              <w:rPr>
                <w:rFonts w:cs="Arial"/>
                <w:color w:val="000000"/>
              </w:rPr>
              <w:t>Region</w:t>
            </w:r>
          </w:p>
        </w:tc>
        <w:tc>
          <w:tcPr>
            <w:tcW w:w="477" w:type="pct"/>
            <w:tcBorders>
              <w:top w:val="none" w:sz="0" w:space="0" w:color="auto"/>
              <w:left w:val="none" w:sz="0" w:space="0" w:color="auto"/>
              <w:bottom w:val="single" w:sz="4" w:space="0" w:color="auto"/>
              <w:right w:val="none" w:sz="0" w:space="0" w:color="auto"/>
            </w:tcBorders>
            <w:vAlign w:val="center"/>
            <w:hideMark/>
          </w:tcPr>
          <w:p w14:paraId="0403A52B" w14:textId="77777777" w:rsidR="0012081B" w:rsidRPr="0012081B" w:rsidRDefault="0012081B" w:rsidP="0012081B">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 xml:space="preserve">Opening </w:t>
            </w:r>
            <w:r w:rsidRPr="0012081B">
              <w:rPr>
                <w:rFonts w:cs="Arial"/>
                <w:color w:val="000000"/>
              </w:rPr>
              <w:br/>
              <w:t>stocks</w:t>
            </w:r>
          </w:p>
        </w:tc>
        <w:tc>
          <w:tcPr>
            <w:tcW w:w="575" w:type="pct"/>
            <w:tcBorders>
              <w:top w:val="none" w:sz="0" w:space="0" w:color="auto"/>
              <w:left w:val="none" w:sz="0" w:space="0" w:color="auto"/>
              <w:bottom w:val="single" w:sz="4" w:space="0" w:color="auto"/>
              <w:right w:val="none" w:sz="0" w:space="0" w:color="auto"/>
            </w:tcBorders>
            <w:noWrap/>
            <w:vAlign w:val="center"/>
            <w:hideMark/>
          </w:tcPr>
          <w:p w14:paraId="1AE4126E" w14:textId="77777777" w:rsidR="0012081B" w:rsidRPr="0012081B" w:rsidRDefault="0012081B" w:rsidP="0012081B">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Production</w:t>
            </w:r>
          </w:p>
        </w:tc>
        <w:tc>
          <w:tcPr>
            <w:tcW w:w="384" w:type="pct"/>
            <w:tcBorders>
              <w:top w:val="none" w:sz="0" w:space="0" w:color="auto"/>
              <w:left w:val="none" w:sz="0" w:space="0" w:color="auto"/>
              <w:bottom w:val="single" w:sz="4" w:space="0" w:color="auto"/>
              <w:right w:val="none" w:sz="0" w:space="0" w:color="auto"/>
            </w:tcBorders>
            <w:noWrap/>
            <w:vAlign w:val="center"/>
            <w:hideMark/>
          </w:tcPr>
          <w:p w14:paraId="3AA3B517" w14:textId="77777777" w:rsidR="0012081B" w:rsidRPr="0012081B" w:rsidRDefault="0012081B" w:rsidP="0012081B">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Import</w:t>
            </w:r>
          </w:p>
        </w:tc>
        <w:tc>
          <w:tcPr>
            <w:tcW w:w="390" w:type="pct"/>
            <w:tcBorders>
              <w:top w:val="none" w:sz="0" w:space="0" w:color="auto"/>
              <w:left w:val="none" w:sz="0" w:space="0" w:color="auto"/>
              <w:bottom w:val="single" w:sz="4" w:space="0" w:color="auto"/>
              <w:right w:val="none" w:sz="0" w:space="0" w:color="auto"/>
            </w:tcBorders>
            <w:noWrap/>
            <w:vAlign w:val="center"/>
            <w:hideMark/>
          </w:tcPr>
          <w:p w14:paraId="356716DC" w14:textId="77777777" w:rsidR="0012081B" w:rsidRPr="0012081B" w:rsidRDefault="0012081B" w:rsidP="0012081B">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Export</w:t>
            </w:r>
          </w:p>
        </w:tc>
        <w:tc>
          <w:tcPr>
            <w:tcW w:w="662" w:type="pct"/>
            <w:tcBorders>
              <w:top w:val="none" w:sz="0" w:space="0" w:color="auto"/>
              <w:left w:val="none" w:sz="0" w:space="0" w:color="auto"/>
              <w:bottom w:val="single" w:sz="4" w:space="0" w:color="auto"/>
              <w:right w:val="none" w:sz="0" w:space="0" w:color="auto"/>
            </w:tcBorders>
            <w:vAlign w:val="center"/>
            <w:hideMark/>
          </w:tcPr>
          <w:p w14:paraId="4EE4D827" w14:textId="425F4684" w:rsidR="0012081B" w:rsidRPr="0012081B" w:rsidRDefault="0012081B" w:rsidP="0012081B">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 xml:space="preserve">Domestic </w:t>
            </w:r>
            <w:r w:rsidRPr="0012081B">
              <w:rPr>
                <w:rFonts w:cs="Arial"/>
                <w:color w:val="000000"/>
              </w:rPr>
              <w:br/>
              <w:t>consumption</w:t>
            </w:r>
            <w:r w:rsidR="006379BA">
              <w:rPr>
                <w:rFonts w:cs="Arial"/>
                <w:color w:val="000000"/>
              </w:rPr>
              <w:t xml:space="preserve"> (current)</w:t>
            </w:r>
          </w:p>
        </w:tc>
        <w:tc>
          <w:tcPr>
            <w:tcW w:w="433" w:type="pct"/>
            <w:tcBorders>
              <w:top w:val="none" w:sz="0" w:space="0" w:color="auto"/>
              <w:left w:val="none" w:sz="0" w:space="0" w:color="auto"/>
              <w:bottom w:val="single" w:sz="4" w:space="0" w:color="auto"/>
              <w:right w:val="none" w:sz="0" w:space="0" w:color="auto"/>
            </w:tcBorders>
            <w:vAlign w:val="center"/>
            <w:hideMark/>
          </w:tcPr>
          <w:p w14:paraId="3C452F07" w14:textId="77777777" w:rsidR="0012081B" w:rsidRPr="0012081B" w:rsidRDefault="0012081B" w:rsidP="0012081B">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 xml:space="preserve">Closing </w:t>
            </w:r>
            <w:r w:rsidRPr="0012081B">
              <w:rPr>
                <w:rFonts w:cs="Arial"/>
                <w:color w:val="000000"/>
              </w:rPr>
              <w:br/>
              <w:t>stocks</w:t>
            </w:r>
          </w:p>
        </w:tc>
        <w:tc>
          <w:tcPr>
            <w:tcW w:w="351" w:type="pct"/>
            <w:tcBorders>
              <w:top w:val="none" w:sz="0" w:space="0" w:color="auto"/>
              <w:left w:val="none" w:sz="0" w:space="0" w:color="auto"/>
              <w:bottom w:val="single" w:sz="4" w:space="0" w:color="auto"/>
              <w:right w:val="none" w:sz="0" w:space="0" w:color="auto"/>
            </w:tcBorders>
            <w:vAlign w:val="center"/>
            <w:hideMark/>
          </w:tcPr>
          <w:p w14:paraId="4529F7BC" w14:textId="77777777" w:rsidR="0012081B" w:rsidRPr="0012081B" w:rsidRDefault="0012081B" w:rsidP="0012081B">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 xml:space="preserve">Stock </w:t>
            </w:r>
            <w:r w:rsidRPr="0012081B">
              <w:rPr>
                <w:rFonts w:cs="Arial"/>
                <w:color w:val="000000"/>
              </w:rPr>
              <w:br/>
              <w:t>loss</w:t>
            </w:r>
          </w:p>
        </w:tc>
        <w:tc>
          <w:tcPr>
            <w:tcW w:w="498" w:type="pct"/>
            <w:tcBorders>
              <w:top w:val="none" w:sz="0" w:space="0" w:color="auto"/>
              <w:left w:val="none" w:sz="0" w:space="0" w:color="auto"/>
              <w:bottom w:val="single" w:sz="4" w:space="0" w:color="auto"/>
              <w:right w:val="none" w:sz="0" w:space="0" w:color="auto"/>
            </w:tcBorders>
            <w:vAlign w:val="center"/>
            <w:hideMark/>
          </w:tcPr>
          <w:p w14:paraId="227528B2" w14:textId="39B949FC" w:rsidR="003114F4" w:rsidRDefault="003114F4" w:rsidP="0012081B">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rPr>
            </w:pPr>
            <w:r>
              <w:rPr>
                <w:rFonts w:cs="Arial"/>
                <w:color w:val="000000"/>
              </w:rPr>
              <w:t>Closing-</w:t>
            </w:r>
          </w:p>
          <w:p w14:paraId="7611B91E" w14:textId="03A706B7" w:rsidR="0012081B" w:rsidRPr="0012081B" w:rsidRDefault="003114F4" w:rsidP="0012081B">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Pr>
                <w:rFonts w:cs="Arial"/>
                <w:color w:val="000000"/>
              </w:rPr>
              <w:t>s</w:t>
            </w:r>
            <w:r w:rsidR="0012081B" w:rsidRPr="0012081B">
              <w:rPr>
                <w:rFonts w:cs="Arial"/>
                <w:color w:val="000000"/>
              </w:rPr>
              <w:t>tock-to-</w:t>
            </w:r>
            <w:r w:rsidR="0012081B" w:rsidRPr="0012081B">
              <w:rPr>
                <w:rFonts w:cs="Arial"/>
                <w:color w:val="000000"/>
              </w:rPr>
              <w:br/>
              <w:t>gross-</w:t>
            </w:r>
            <w:r w:rsidR="0012081B" w:rsidRPr="0012081B">
              <w:rPr>
                <w:rFonts w:cs="Arial"/>
                <w:color w:val="000000"/>
              </w:rPr>
              <w:br/>
              <w:t>use</w:t>
            </w:r>
          </w:p>
        </w:tc>
        <w:tc>
          <w:tcPr>
            <w:tcW w:w="498" w:type="pct"/>
            <w:tcBorders>
              <w:top w:val="none" w:sz="0" w:space="0" w:color="auto"/>
              <w:left w:val="none" w:sz="0" w:space="0" w:color="auto"/>
              <w:bottom w:val="single" w:sz="4" w:space="0" w:color="auto"/>
            </w:tcBorders>
            <w:vAlign w:val="center"/>
            <w:hideMark/>
          </w:tcPr>
          <w:p w14:paraId="19062115" w14:textId="77777777" w:rsidR="003114F4" w:rsidRDefault="003114F4" w:rsidP="0012081B">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rPr>
            </w:pPr>
            <w:r>
              <w:rPr>
                <w:rFonts w:cs="Arial"/>
                <w:color w:val="000000"/>
              </w:rPr>
              <w:t>Opening-s</w:t>
            </w:r>
            <w:r w:rsidR="0012081B" w:rsidRPr="0012081B">
              <w:rPr>
                <w:rFonts w:cs="Arial"/>
                <w:color w:val="000000"/>
              </w:rPr>
              <w:t>tock-</w:t>
            </w:r>
          </w:p>
          <w:p w14:paraId="20F79B3A" w14:textId="7834B4B9" w:rsidR="0012081B" w:rsidRPr="0012081B" w:rsidRDefault="0012081B" w:rsidP="0012081B">
            <w:pPr>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to-</w:t>
            </w:r>
            <w:r w:rsidRPr="0012081B">
              <w:rPr>
                <w:rFonts w:cs="Arial"/>
                <w:color w:val="000000"/>
              </w:rPr>
              <w:br/>
              <w:t>gross-</w:t>
            </w:r>
            <w:r w:rsidRPr="0012081B">
              <w:rPr>
                <w:rFonts w:cs="Arial"/>
                <w:color w:val="000000"/>
              </w:rPr>
              <w:br/>
              <w:t>supply</w:t>
            </w:r>
          </w:p>
        </w:tc>
      </w:tr>
      <w:tr w:rsidR="0012081B" w:rsidRPr="0012081B" w14:paraId="05E159FA" w14:textId="77777777" w:rsidTr="0083419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single" w:sz="4" w:space="0" w:color="auto"/>
              <w:bottom w:val="nil"/>
            </w:tcBorders>
            <w:noWrap/>
            <w:vAlign w:val="center"/>
            <w:hideMark/>
          </w:tcPr>
          <w:p w14:paraId="765FB375" w14:textId="77777777" w:rsidR="0012081B" w:rsidRPr="0012081B" w:rsidRDefault="0012081B" w:rsidP="0012081B">
            <w:pPr>
              <w:rPr>
                <w:rFonts w:cs="Arial"/>
                <w:b w:val="0"/>
                <w:bCs w:val="0"/>
                <w:color w:val="000000"/>
              </w:rPr>
            </w:pPr>
            <w:r w:rsidRPr="0012081B">
              <w:rPr>
                <w:rFonts w:cs="Arial"/>
                <w:b w:val="0"/>
                <w:bCs w:val="0"/>
                <w:color w:val="000000"/>
              </w:rPr>
              <w:t>Africa</w:t>
            </w:r>
          </w:p>
        </w:tc>
        <w:tc>
          <w:tcPr>
            <w:tcW w:w="477" w:type="pct"/>
            <w:tcBorders>
              <w:top w:val="single" w:sz="4" w:space="0" w:color="auto"/>
              <w:bottom w:val="nil"/>
            </w:tcBorders>
            <w:noWrap/>
            <w:vAlign w:val="center"/>
            <w:hideMark/>
          </w:tcPr>
          <w:p w14:paraId="507476AE"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131</w:t>
            </w:r>
          </w:p>
        </w:tc>
        <w:tc>
          <w:tcPr>
            <w:tcW w:w="575" w:type="pct"/>
            <w:tcBorders>
              <w:top w:val="single" w:sz="4" w:space="0" w:color="auto"/>
              <w:bottom w:val="nil"/>
            </w:tcBorders>
            <w:noWrap/>
            <w:vAlign w:val="center"/>
            <w:hideMark/>
          </w:tcPr>
          <w:p w14:paraId="1EF9CFB3"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218</w:t>
            </w:r>
          </w:p>
        </w:tc>
        <w:tc>
          <w:tcPr>
            <w:tcW w:w="384" w:type="pct"/>
            <w:tcBorders>
              <w:top w:val="single" w:sz="4" w:space="0" w:color="auto"/>
              <w:bottom w:val="nil"/>
            </w:tcBorders>
            <w:noWrap/>
            <w:vAlign w:val="center"/>
            <w:hideMark/>
          </w:tcPr>
          <w:p w14:paraId="70A1BB60"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106</w:t>
            </w:r>
          </w:p>
        </w:tc>
        <w:tc>
          <w:tcPr>
            <w:tcW w:w="390" w:type="pct"/>
            <w:tcBorders>
              <w:top w:val="single" w:sz="4" w:space="0" w:color="auto"/>
              <w:bottom w:val="nil"/>
            </w:tcBorders>
            <w:noWrap/>
            <w:vAlign w:val="center"/>
            <w:hideMark/>
          </w:tcPr>
          <w:p w14:paraId="079E384E"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10</w:t>
            </w:r>
          </w:p>
        </w:tc>
        <w:tc>
          <w:tcPr>
            <w:tcW w:w="662" w:type="pct"/>
            <w:tcBorders>
              <w:top w:val="single" w:sz="4" w:space="0" w:color="auto"/>
              <w:bottom w:val="nil"/>
            </w:tcBorders>
            <w:noWrap/>
            <w:vAlign w:val="center"/>
            <w:hideMark/>
          </w:tcPr>
          <w:p w14:paraId="5BE2C780"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299</w:t>
            </w:r>
          </w:p>
        </w:tc>
        <w:tc>
          <w:tcPr>
            <w:tcW w:w="433" w:type="pct"/>
            <w:tcBorders>
              <w:top w:val="single" w:sz="4" w:space="0" w:color="auto"/>
              <w:bottom w:val="nil"/>
            </w:tcBorders>
            <w:noWrap/>
            <w:vAlign w:val="center"/>
            <w:hideMark/>
          </w:tcPr>
          <w:p w14:paraId="260C5810"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137</w:t>
            </w:r>
          </w:p>
        </w:tc>
        <w:tc>
          <w:tcPr>
            <w:tcW w:w="351" w:type="pct"/>
            <w:tcBorders>
              <w:top w:val="single" w:sz="4" w:space="0" w:color="auto"/>
              <w:bottom w:val="nil"/>
            </w:tcBorders>
            <w:noWrap/>
            <w:vAlign w:val="center"/>
            <w:hideMark/>
          </w:tcPr>
          <w:p w14:paraId="429B1A21"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9</w:t>
            </w:r>
          </w:p>
        </w:tc>
        <w:tc>
          <w:tcPr>
            <w:tcW w:w="498" w:type="pct"/>
            <w:tcBorders>
              <w:top w:val="single" w:sz="4" w:space="0" w:color="auto"/>
              <w:bottom w:val="nil"/>
            </w:tcBorders>
            <w:noWrap/>
            <w:vAlign w:val="center"/>
            <w:hideMark/>
          </w:tcPr>
          <w:p w14:paraId="5346464B"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31%</w:t>
            </w:r>
          </w:p>
        </w:tc>
        <w:tc>
          <w:tcPr>
            <w:tcW w:w="498" w:type="pct"/>
            <w:tcBorders>
              <w:top w:val="single" w:sz="4" w:space="0" w:color="auto"/>
              <w:bottom w:val="nil"/>
            </w:tcBorders>
            <w:noWrap/>
            <w:vAlign w:val="center"/>
            <w:hideMark/>
          </w:tcPr>
          <w:p w14:paraId="4A039113"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38%</w:t>
            </w:r>
          </w:p>
        </w:tc>
      </w:tr>
      <w:tr w:rsidR="0012081B" w:rsidRPr="0012081B" w14:paraId="57F07E95" w14:textId="77777777" w:rsidTr="00834192">
        <w:trPr>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nil"/>
            </w:tcBorders>
            <w:noWrap/>
            <w:vAlign w:val="center"/>
            <w:hideMark/>
          </w:tcPr>
          <w:p w14:paraId="314577A8" w14:textId="77777777" w:rsidR="0012081B" w:rsidRPr="0012081B" w:rsidRDefault="0012081B" w:rsidP="0012081B">
            <w:pPr>
              <w:rPr>
                <w:rFonts w:cs="Arial"/>
                <w:b w:val="0"/>
                <w:bCs w:val="0"/>
                <w:color w:val="000000"/>
              </w:rPr>
            </w:pPr>
            <w:r w:rsidRPr="0012081B">
              <w:rPr>
                <w:rFonts w:cs="Arial"/>
                <w:b w:val="0"/>
                <w:bCs w:val="0"/>
                <w:color w:val="000000"/>
              </w:rPr>
              <w:t>China</w:t>
            </w:r>
          </w:p>
        </w:tc>
        <w:tc>
          <w:tcPr>
            <w:tcW w:w="477" w:type="pct"/>
            <w:tcBorders>
              <w:top w:val="nil"/>
              <w:bottom w:val="nil"/>
            </w:tcBorders>
            <w:noWrap/>
            <w:vAlign w:val="center"/>
            <w:hideMark/>
          </w:tcPr>
          <w:p w14:paraId="510C2579"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525</w:t>
            </w:r>
          </w:p>
        </w:tc>
        <w:tc>
          <w:tcPr>
            <w:tcW w:w="575" w:type="pct"/>
            <w:tcBorders>
              <w:top w:val="nil"/>
              <w:bottom w:val="nil"/>
            </w:tcBorders>
            <w:noWrap/>
            <w:vAlign w:val="center"/>
            <w:hideMark/>
          </w:tcPr>
          <w:p w14:paraId="5A066AB2"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629</w:t>
            </w:r>
          </w:p>
        </w:tc>
        <w:tc>
          <w:tcPr>
            <w:tcW w:w="384" w:type="pct"/>
            <w:tcBorders>
              <w:top w:val="nil"/>
              <w:bottom w:val="nil"/>
            </w:tcBorders>
            <w:noWrap/>
            <w:vAlign w:val="center"/>
            <w:hideMark/>
          </w:tcPr>
          <w:p w14:paraId="43382367"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64</w:t>
            </w:r>
          </w:p>
        </w:tc>
        <w:tc>
          <w:tcPr>
            <w:tcW w:w="390" w:type="pct"/>
            <w:tcBorders>
              <w:top w:val="nil"/>
              <w:bottom w:val="nil"/>
            </w:tcBorders>
            <w:noWrap/>
            <w:vAlign w:val="center"/>
            <w:hideMark/>
          </w:tcPr>
          <w:p w14:paraId="5BB3001B"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14</w:t>
            </w:r>
          </w:p>
        </w:tc>
        <w:tc>
          <w:tcPr>
            <w:tcW w:w="662" w:type="pct"/>
            <w:tcBorders>
              <w:top w:val="nil"/>
              <w:bottom w:val="nil"/>
            </w:tcBorders>
            <w:noWrap/>
            <w:vAlign w:val="center"/>
            <w:hideMark/>
          </w:tcPr>
          <w:p w14:paraId="7D17F5E7"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661</w:t>
            </w:r>
          </w:p>
        </w:tc>
        <w:tc>
          <w:tcPr>
            <w:tcW w:w="433" w:type="pct"/>
            <w:tcBorders>
              <w:top w:val="nil"/>
              <w:bottom w:val="nil"/>
            </w:tcBorders>
            <w:noWrap/>
            <w:vAlign w:val="center"/>
            <w:hideMark/>
          </w:tcPr>
          <w:p w14:paraId="1B41A6EA"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524</w:t>
            </w:r>
          </w:p>
        </w:tc>
        <w:tc>
          <w:tcPr>
            <w:tcW w:w="351" w:type="pct"/>
            <w:tcBorders>
              <w:top w:val="nil"/>
              <w:bottom w:val="nil"/>
            </w:tcBorders>
            <w:noWrap/>
            <w:vAlign w:val="center"/>
            <w:hideMark/>
          </w:tcPr>
          <w:p w14:paraId="40AD2C8F"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19</w:t>
            </w:r>
          </w:p>
        </w:tc>
        <w:tc>
          <w:tcPr>
            <w:tcW w:w="498" w:type="pct"/>
            <w:tcBorders>
              <w:top w:val="nil"/>
              <w:bottom w:val="nil"/>
            </w:tcBorders>
            <w:noWrap/>
            <w:vAlign w:val="center"/>
            <w:hideMark/>
          </w:tcPr>
          <w:p w14:paraId="4E9343B6"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44%</w:t>
            </w:r>
          </w:p>
        </w:tc>
        <w:tc>
          <w:tcPr>
            <w:tcW w:w="498" w:type="pct"/>
            <w:tcBorders>
              <w:top w:val="nil"/>
              <w:bottom w:val="nil"/>
            </w:tcBorders>
            <w:noWrap/>
            <w:vAlign w:val="center"/>
            <w:hideMark/>
          </w:tcPr>
          <w:p w14:paraId="02998E30"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45%</w:t>
            </w:r>
          </w:p>
        </w:tc>
      </w:tr>
      <w:tr w:rsidR="0012081B" w:rsidRPr="0012081B" w14:paraId="17C581E4" w14:textId="77777777" w:rsidTr="0083419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nil"/>
            </w:tcBorders>
            <w:noWrap/>
            <w:vAlign w:val="center"/>
            <w:hideMark/>
          </w:tcPr>
          <w:p w14:paraId="40350E58" w14:textId="77777777" w:rsidR="0012081B" w:rsidRPr="0012081B" w:rsidRDefault="0012081B" w:rsidP="0012081B">
            <w:pPr>
              <w:rPr>
                <w:rFonts w:cs="Arial"/>
                <w:b w:val="0"/>
                <w:bCs w:val="0"/>
                <w:color w:val="000000"/>
              </w:rPr>
            </w:pPr>
            <w:r w:rsidRPr="0012081B">
              <w:rPr>
                <w:rFonts w:cs="Arial"/>
                <w:b w:val="0"/>
                <w:bCs w:val="0"/>
                <w:color w:val="000000"/>
              </w:rPr>
              <w:t>Europe</w:t>
            </w:r>
          </w:p>
        </w:tc>
        <w:tc>
          <w:tcPr>
            <w:tcW w:w="477" w:type="pct"/>
            <w:tcBorders>
              <w:top w:val="nil"/>
              <w:bottom w:val="nil"/>
            </w:tcBorders>
            <w:noWrap/>
            <w:vAlign w:val="center"/>
            <w:hideMark/>
          </w:tcPr>
          <w:p w14:paraId="4E742C3F"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178</w:t>
            </w:r>
          </w:p>
        </w:tc>
        <w:tc>
          <w:tcPr>
            <w:tcW w:w="575" w:type="pct"/>
            <w:tcBorders>
              <w:top w:val="nil"/>
              <w:bottom w:val="nil"/>
            </w:tcBorders>
            <w:noWrap/>
            <w:vAlign w:val="center"/>
            <w:hideMark/>
          </w:tcPr>
          <w:p w14:paraId="59D24467"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368</w:t>
            </w:r>
          </w:p>
        </w:tc>
        <w:tc>
          <w:tcPr>
            <w:tcW w:w="384" w:type="pct"/>
            <w:tcBorders>
              <w:top w:val="nil"/>
              <w:bottom w:val="nil"/>
            </w:tcBorders>
            <w:noWrap/>
            <w:vAlign w:val="center"/>
            <w:hideMark/>
          </w:tcPr>
          <w:p w14:paraId="72970340"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93</w:t>
            </w:r>
          </w:p>
        </w:tc>
        <w:tc>
          <w:tcPr>
            <w:tcW w:w="390" w:type="pct"/>
            <w:tcBorders>
              <w:top w:val="nil"/>
              <w:bottom w:val="nil"/>
            </w:tcBorders>
            <w:noWrap/>
            <w:vAlign w:val="center"/>
            <w:hideMark/>
          </w:tcPr>
          <w:p w14:paraId="2664944E"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100</w:t>
            </w:r>
          </w:p>
        </w:tc>
        <w:tc>
          <w:tcPr>
            <w:tcW w:w="662" w:type="pct"/>
            <w:tcBorders>
              <w:top w:val="nil"/>
              <w:bottom w:val="nil"/>
            </w:tcBorders>
            <w:noWrap/>
            <w:vAlign w:val="center"/>
            <w:hideMark/>
          </w:tcPr>
          <w:p w14:paraId="7B9A3718"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353</w:t>
            </w:r>
          </w:p>
        </w:tc>
        <w:tc>
          <w:tcPr>
            <w:tcW w:w="433" w:type="pct"/>
            <w:tcBorders>
              <w:top w:val="nil"/>
              <w:bottom w:val="nil"/>
            </w:tcBorders>
            <w:noWrap/>
            <w:vAlign w:val="center"/>
            <w:hideMark/>
          </w:tcPr>
          <w:p w14:paraId="66408DDA"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180</w:t>
            </w:r>
          </w:p>
        </w:tc>
        <w:tc>
          <w:tcPr>
            <w:tcW w:w="351" w:type="pct"/>
            <w:tcBorders>
              <w:top w:val="nil"/>
              <w:bottom w:val="nil"/>
            </w:tcBorders>
            <w:noWrap/>
            <w:vAlign w:val="center"/>
            <w:hideMark/>
          </w:tcPr>
          <w:p w14:paraId="558EC108"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6</w:t>
            </w:r>
          </w:p>
        </w:tc>
        <w:tc>
          <w:tcPr>
            <w:tcW w:w="498" w:type="pct"/>
            <w:tcBorders>
              <w:top w:val="nil"/>
              <w:bottom w:val="nil"/>
            </w:tcBorders>
            <w:noWrap/>
            <w:vAlign w:val="center"/>
            <w:hideMark/>
          </w:tcPr>
          <w:p w14:paraId="60902BC4"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33%</w:t>
            </w:r>
          </w:p>
        </w:tc>
        <w:tc>
          <w:tcPr>
            <w:tcW w:w="498" w:type="pct"/>
            <w:tcBorders>
              <w:top w:val="nil"/>
              <w:bottom w:val="nil"/>
            </w:tcBorders>
            <w:noWrap/>
            <w:vAlign w:val="center"/>
            <w:hideMark/>
          </w:tcPr>
          <w:p w14:paraId="15EBF292"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33%</w:t>
            </w:r>
          </w:p>
        </w:tc>
      </w:tr>
      <w:tr w:rsidR="0012081B" w:rsidRPr="0012081B" w14:paraId="60AD3023" w14:textId="77777777" w:rsidTr="00834192">
        <w:trPr>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nil"/>
            </w:tcBorders>
            <w:noWrap/>
            <w:vAlign w:val="center"/>
            <w:hideMark/>
          </w:tcPr>
          <w:p w14:paraId="0F14B9CF" w14:textId="77777777" w:rsidR="0012081B" w:rsidRPr="0012081B" w:rsidRDefault="0012081B" w:rsidP="0012081B">
            <w:pPr>
              <w:rPr>
                <w:rFonts w:cs="Arial"/>
                <w:b w:val="0"/>
                <w:bCs w:val="0"/>
                <w:color w:val="000000"/>
              </w:rPr>
            </w:pPr>
            <w:r w:rsidRPr="0012081B">
              <w:rPr>
                <w:rFonts w:cs="Arial"/>
                <w:b w:val="0"/>
                <w:bCs w:val="0"/>
                <w:color w:val="000000"/>
              </w:rPr>
              <w:t>Latin America</w:t>
            </w:r>
          </w:p>
        </w:tc>
        <w:tc>
          <w:tcPr>
            <w:tcW w:w="477" w:type="pct"/>
            <w:tcBorders>
              <w:top w:val="nil"/>
              <w:bottom w:val="nil"/>
            </w:tcBorders>
            <w:noWrap/>
            <w:vAlign w:val="center"/>
            <w:hideMark/>
          </w:tcPr>
          <w:p w14:paraId="2928F399"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52</w:t>
            </w:r>
          </w:p>
        </w:tc>
        <w:tc>
          <w:tcPr>
            <w:tcW w:w="575" w:type="pct"/>
            <w:tcBorders>
              <w:top w:val="nil"/>
              <w:bottom w:val="nil"/>
            </w:tcBorders>
            <w:noWrap/>
            <w:vAlign w:val="center"/>
            <w:hideMark/>
          </w:tcPr>
          <w:p w14:paraId="2315ED4E"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290</w:t>
            </w:r>
          </w:p>
        </w:tc>
        <w:tc>
          <w:tcPr>
            <w:tcW w:w="384" w:type="pct"/>
            <w:tcBorders>
              <w:top w:val="nil"/>
              <w:bottom w:val="nil"/>
            </w:tcBorders>
            <w:noWrap/>
            <w:vAlign w:val="center"/>
            <w:hideMark/>
          </w:tcPr>
          <w:p w14:paraId="1B3D9012"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78</w:t>
            </w:r>
          </w:p>
        </w:tc>
        <w:tc>
          <w:tcPr>
            <w:tcW w:w="390" w:type="pct"/>
            <w:tcBorders>
              <w:top w:val="nil"/>
              <w:bottom w:val="nil"/>
            </w:tcBorders>
            <w:noWrap/>
            <w:vAlign w:val="center"/>
            <w:hideMark/>
          </w:tcPr>
          <w:p w14:paraId="23CCC800"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104</w:t>
            </w:r>
          </w:p>
        </w:tc>
        <w:tc>
          <w:tcPr>
            <w:tcW w:w="662" w:type="pct"/>
            <w:tcBorders>
              <w:top w:val="nil"/>
              <w:bottom w:val="nil"/>
            </w:tcBorders>
            <w:noWrap/>
            <w:vAlign w:val="center"/>
            <w:hideMark/>
          </w:tcPr>
          <w:p w14:paraId="02216A17"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259</w:t>
            </w:r>
          </w:p>
        </w:tc>
        <w:tc>
          <w:tcPr>
            <w:tcW w:w="433" w:type="pct"/>
            <w:tcBorders>
              <w:top w:val="nil"/>
              <w:bottom w:val="nil"/>
            </w:tcBorders>
            <w:noWrap/>
            <w:vAlign w:val="center"/>
            <w:hideMark/>
          </w:tcPr>
          <w:p w14:paraId="56EFAFC6"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55</w:t>
            </w:r>
          </w:p>
        </w:tc>
        <w:tc>
          <w:tcPr>
            <w:tcW w:w="351" w:type="pct"/>
            <w:tcBorders>
              <w:top w:val="nil"/>
              <w:bottom w:val="nil"/>
            </w:tcBorders>
            <w:noWrap/>
            <w:vAlign w:val="center"/>
            <w:hideMark/>
          </w:tcPr>
          <w:p w14:paraId="44371A58"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2</w:t>
            </w:r>
          </w:p>
        </w:tc>
        <w:tc>
          <w:tcPr>
            <w:tcW w:w="498" w:type="pct"/>
            <w:tcBorders>
              <w:top w:val="nil"/>
              <w:bottom w:val="nil"/>
            </w:tcBorders>
            <w:noWrap/>
            <w:vAlign w:val="center"/>
            <w:hideMark/>
          </w:tcPr>
          <w:p w14:paraId="10FA8387"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18%</w:t>
            </w:r>
          </w:p>
        </w:tc>
        <w:tc>
          <w:tcPr>
            <w:tcW w:w="498" w:type="pct"/>
            <w:tcBorders>
              <w:top w:val="nil"/>
              <w:bottom w:val="nil"/>
            </w:tcBorders>
            <w:noWrap/>
            <w:vAlign w:val="center"/>
            <w:hideMark/>
          </w:tcPr>
          <w:p w14:paraId="7594988C"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15%</w:t>
            </w:r>
          </w:p>
        </w:tc>
      </w:tr>
      <w:tr w:rsidR="0012081B" w:rsidRPr="0012081B" w14:paraId="48C1E0AB" w14:textId="77777777" w:rsidTr="0083419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nil"/>
            </w:tcBorders>
            <w:noWrap/>
            <w:vAlign w:val="center"/>
            <w:hideMark/>
          </w:tcPr>
          <w:p w14:paraId="6F1CA387" w14:textId="77777777" w:rsidR="0012081B" w:rsidRPr="0012081B" w:rsidRDefault="0012081B" w:rsidP="0012081B">
            <w:pPr>
              <w:rPr>
                <w:rFonts w:cs="Arial"/>
                <w:b w:val="0"/>
                <w:bCs w:val="0"/>
                <w:color w:val="000000"/>
              </w:rPr>
            </w:pPr>
            <w:r w:rsidRPr="0012081B">
              <w:rPr>
                <w:rFonts w:cs="Arial"/>
                <w:b w:val="0"/>
                <w:bCs w:val="0"/>
                <w:color w:val="000000"/>
              </w:rPr>
              <w:t>Middle East</w:t>
            </w:r>
          </w:p>
        </w:tc>
        <w:tc>
          <w:tcPr>
            <w:tcW w:w="477" w:type="pct"/>
            <w:tcBorders>
              <w:top w:val="nil"/>
              <w:bottom w:val="nil"/>
            </w:tcBorders>
            <w:noWrap/>
            <w:vAlign w:val="center"/>
            <w:hideMark/>
          </w:tcPr>
          <w:p w14:paraId="38BA52B4"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39</w:t>
            </w:r>
          </w:p>
        </w:tc>
        <w:tc>
          <w:tcPr>
            <w:tcW w:w="575" w:type="pct"/>
            <w:tcBorders>
              <w:top w:val="nil"/>
              <w:bottom w:val="nil"/>
            </w:tcBorders>
            <w:noWrap/>
            <w:vAlign w:val="center"/>
            <w:hideMark/>
          </w:tcPr>
          <w:p w14:paraId="5F038327"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27</w:t>
            </w:r>
          </w:p>
        </w:tc>
        <w:tc>
          <w:tcPr>
            <w:tcW w:w="384" w:type="pct"/>
            <w:tcBorders>
              <w:top w:val="nil"/>
              <w:bottom w:val="nil"/>
            </w:tcBorders>
            <w:noWrap/>
            <w:vAlign w:val="center"/>
            <w:hideMark/>
          </w:tcPr>
          <w:p w14:paraId="24CB5F1D"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56</w:t>
            </w:r>
          </w:p>
        </w:tc>
        <w:tc>
          <w:tcPr>
            <w:tcW w:w="390" w:type="pct"/>
            <w:tcBorders>
              <w:top w:val="nil"/>
              <w:bottom w:val="nil"/>
            </w:tcBorders>
            <w:noWrap/>
            <w:vAlign w:val="center"/>
            <w:hideMark/>
          </w:tcPr>
          <w:p w14:paraId="290C9D40"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w:t>
            </w:r>
          </w:p>
        </w:tc>
        <w:tc>
          <w:tcPr>
            <w:tcW w:w="662" w:type="pct"/>
            <w:tcBorders>
              <w:top w:val="nil"/>
              <w:bottom w:val="nil"/>
            </w:tcBorders>
            <w:noWrap/>
            <w:vAlign w:val="center"/>
            <w:hideMark/>
          </w:tcPr>
          <w:p w14:paraId="63F95F30"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84</w:t>
            </w:r>
          </w:p>
        </w:tc>
        <w:tc>
          <w:tcPr>
            <w:tcW w:w="433" w:type="pct"/>
            <w:tcBorders>
              <w:top w:val="nil"/>
              <w:bottom w:val="nil"/>
            </w:tcBorders>
            <w:noWrap/>
            <w:vAlign w:val="center"/>
            <w:hideMark/>
          </w:tcPr>
          <w:p w14:paraId="70C5A474"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36</w:t>
            </w:r>
          </w:p>
        </w:tc>
        <w:tc>
          <w:tcPr>
            <w:tcW w:w="351" w:type="pct"/>
            <w:tcBorders>
              <w:top w:val="nil"/>
              <w:bottom w:val="nil"/>
            </w:tcBorders>
            <w:noWrap/>
            <w:vAlign w:val="center"/>
            <w:hideMark/>
          </w:tcPr>
          <w:p w14:paraId="6942E52F"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w:t>
            </w:r>
          </w:p>
        </w:tc>
        <w:tc>
          <w:tcPr>
            <w:tcW w:w="498" w:type="pct"/>
            <w:tcBorders>
              <w:top w:val="nil"/>
              <w:bottom w:val="nil"/>
            </w:tcBorders>
            <w:noWrap/>
            <w:vAlign w:val="center"/>
            <w:hideMark/>
          </w:tcPr>
          <w:p w14:paraId="465F1D68"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30%</w:t>
            </w:r>
          </w:p>
        </w:tc>
        <w:tc>
          <w:tcPr>
            <w:tcW w:w="498" w:type="pct"/>
            <w:tcBorders>
              <w:top w:val="nil"/>
              <w:bottom w:val="nil"/>
            </w:tcBorders>
            <w:noWrap/>
            <w:vAlign w:val="center"/>
            <w:hideMark/>
          </w:tcPr>
          <w:p w14:paraId="49F7F6BF"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59%</w:t>
            </w:r>
          </w:p>
        </w:tc>
      </w:tr>
      <w:tr w:rsidR="0012081B" w:rsidRPr="0012081B" w14:paraId="3B7AE2DD" w14:textId="77777777" w:rsidTr="00834192">
        <w:trPr>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nil"/>
            </w:tcBorders>
            <w:noWrap/>
            <w:vAlign w:val="center"/>
            <w:hideMark/>
          </w:tcPr>
          <w:p w14:paraId="50D4CD72" w14:textId="77777777" w:rsidR="0012081B" w:rsidRPr="0012081B" w:rsidRDefault="0012081B" w:rsidP="0012081B">
            <w:pPr>
              <w:rPr>
                <w:rFonts w:cs="Arial"/>
                <w:b w:val="0"/>
                <w:bCs w:val="0"/>
                <w:color w:val="000000"/>
              </w:rPr>
            </w:pPr>
            <w:r w:rsidRPr="0012081B">
              <w:rPr>
                <w:rFonts w:cs="Arial"/>
                <w:b w:val="0"/>
                <w:bCs w:val="0"/>
                <w:color w:val="000000"/>
              </w:rPr>
              <w:t>North America</w:t>
            </w:r>
          </w:p>
        </w:tc>
        <w:tc>
          <w:tcPr>
            <w:tcW w:w="477" w:type="pct"/>
            <w:tcBorders>
              <w:top w:val="nil"/>
              <w:bottom w:val="nil"/>
            </w:tcBorders>
            <w:noWrap/>
            <w:vAlign w:val="center"/>
            <w:hideMark/>
          </w:tcPr>
          <w:p w14:paraId="0EDA79A4"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106</w:t>
            </w:r>
          </w:p>
        </w:tc>
        <w:tc>
          <w:tcPr>
            <w:tcW w:w="575" w:type="pct"/>
            <w:tcBorders>
              <w:top w:val="nil"/>
              <w:bottom w:val="nil"/>
            </w:tcBorders>
            <w:noWrap/>
            <w:vAlign w:val="center"/>
            <w:hideMark/>
          </w:tcPr>
          <w:p w14:paraId="6E793947"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491</w:t>
            </w:r>
          </w:p>
        </w:tc>
        <w:tc>
          <w:tcPr>
            <w:tcW w:w="384" w:type="pct"/>
            <w:tcBorders>
              <w:top w:val="nil"/>
              <w:bottom w:val="nil"/>
            </w:tcBorders>
            <w:noWrap/>
            <w:vAlign w:val="center"/>
            <w:hideMark/>
          </w:tcPr>
          <w:p w14:paraId="3B975B8B"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20</w:t>
            </w:r>
          </w:p>
        </w:tc>
        <w:tc>
          <w:tcPr>
            <w:tcW w:w="390" w:type="pct"/>
            <w:tcBorders>
              <w:top w:val="nil"/>
              <w:bottom w:val="nil"/>
            </w:tcBorders>
            <w:noWrap/>
            <w:vAlign w:val="center"/>
            <w:hideMark/>
          </w:tcPr>
          <w:p w14:paraId="389FBBFD"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133</w:t>
            </w:r>
          </w:p>
        </w:tc>
        <w:tc>
          <w:tcPr>
            <w:tcW w:w="662" w:type="pct"/>
            <w:tcBorders>
              <w:top w:val="nil"/>
              <w:bottom w:val="nil"/>
            </w:tcBorders>
            <w:noWrap/>
            <w:vAlign w:val="center"/>
            <w:hideMark/>
          </w:tcPr>
          <w:p w14:paraId="62FBA03D"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388</w:t>
            </w:r>
          </w:p>
        </w:tc>
        <w:tc>
          <w:tcPr>
            <w:tcW w:w="433" w:type="pct"/>
            <w:tcBorders>
              <w:top w:val="nil"/>
              <w:bottom w:val="nil"/>
            </w:tcBorders>
            <w:noWrap/>
            <w:vAlign w:val="center"/>
            <w:hideMark/>
          </w:tcPr>
          <w:p w14:paraId="6A3F415D"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92</w:t>
            </w:r>
          </w:p>
        </w:tc>
        <w:tc>
          <w:tcPr>
            <w:tcW w:w="351" w:type="pct"/>
            <w:tcBorders>
              <w:top w:val="nil"/>
              <w:bottom w:val="nil"/>
            </w:tcBorders>
            <w:noWrap/>
            <w:vAlign w:val="center"/>
            <w:hideMark/>
          </w:tcPr>
          <w:p w14:paraId="17BB7AA2"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4</w:t>
            </w:r>
          </w:p>
        </w:tc>
        <w:tc>
          <w:tcPr>
            <w:tcW w:w="498" w:type="pct"/>
            <w:tcBorders>
              <w:top w:val="nil"/>
              <w:bottom w:val="nil"/>
            </w:tcBorders>
            <w:noWrap/>
            <w:vAlign w:val="center"/>
            <w:hideMark/>
          </w:tcPr>
          <w:p w14:paraId="0E5C5745"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19%</w:t>
            </w:r>
          </w:p>
        </w:tc>
        <w:tc>
          <w:tcPr>
            <w:tcW w:w="498" w:type="pct"/>
            <w:tcBorders>
              <w:top w:val="nil"/>
              <w:bottom w:val="nil"/>
            </w:tcBorders>
            <w:noWrap/>
            <w:vAlign w:val="center"/>
            <w:hideMark/>
          </w:tcPr>
          <w:p w14:paraId="078CB14F"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18%</w:t>
            </w:r>
          </w:p>
        </w:tc>
      </w:tr>
      <w:tr w:rsidR="0012081B" w:rsidRPr="0012081B" w14:paraId="46B93759" w14:textId="77777777" w:rsidTr="0083419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nil"/>
            </w:tcBorders>
            <w:noWrap/>
            <w:vAlign w:val="center"/>
            <w:hideMark/>
          </w:tcPr>
          <w:p w14:paraId="745E16D7" w14:textId="77777777" w:rsidR="0012081B" w:rsidRPr="0012081B" w:rsidRDefault="0012081B" w:rsidP="0012081B">
            <w:pPr>
              <w:rPr>
                <w:rFonts w:cs="Arial"/>
                <w:b w:val="0"/>
                <w:bCs w:val="0"/>
                <w:color w:val="000000"/>
              </w:rPr>
            </w:pPr>
            <w:r w:rsidRPr="0012081B">
              <w:rPr>
                <w:rFonts w:cs="Arial"/>
                <w:b w:val="0"/>
                <w:bCs w:val="0"/>
                <w:color w:val="000000"/>
              </w:rPr>
              <w:t>Pacific OECD</w:t>
            </w:r>
          </w:p>
        </w:tc>
        <w:tc>
          <w:tcPr>
            <w:tcW w:w="477" w:type="pct"/>
            <w:tcBorders>
              <w:top w:val="nil"/>
              <w:bottom w:val="nil"/>
            </w:tcBorders>
            <w:noWrap/>
            <w:vAlign w:val="center"/>
            <w:hideMark/>
          </w:tcPr>
          <w:p w14:paraId="589F3F26"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23</w:t>
            </w:r>
          </w:p>
        </w:tc>
        <w:tc>
          <w:tcPr>
            <w:tcW w:w="575" w:type="pct"/>
            <w:tcBorders>
              <w:top w:val="nil"/>
              <w:bottom w:val="nil"/>
            </w:tcBorders>
            <w:noWrap/>
            <w:vAlign w:val="center"/>
            <w:hideMark/>
          </w:tcPr>
          <w:p w14:paraId="7046772F"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63</w:t>
            </w:r>
          </w:p>
        </w:tc>
        <w:tc>
          <w:tcPr>
            <w:tcW w:w="384" w:type="pct"/>
            <w:tcBorders>
              <w:top w:val="nil"/>
              <w:bottom w:val="nil"/>
            </w:tcBorders>
            <w:noWrap/>
            <w:vAlign w:val="center"/>
            <w:hideMark/>
          </w:tcPr>
          <w:p w14:paraId="5A5732DE"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46</w:t>
            </w:r>
          </w:p>
        </w:tc>
        <w:tc>
          <w:tcPr>
            <w:tcW w:w="390" w:type="pct"/>
            <w:tcBorders>
              <w:top w:val="nil"/>
              <w:bottom w:val="nil"/>
            </w:tcBorders>
            <w:noWrap/>
            <w:vAlign w:val="center"/>
            <w:hideMark/>
          </w:tcPr>
          <w:p w14:paraId="5E4764F5"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32</w:t>
            </w:r>
          </w:p>
        </w:tc>
        <w:tc>
          <w:tcPr>
            <w:tcW w:w="662" w:type="pct"/>
            <w:tcBorders>
              <w:top w:val="nil"/>
              <w:bottom w:val="nil"/>
            </w:tcBorders>
            <w:noWrap/>
            <w:vAlign w:val="center"/>
            <w:hideMark/>
          </w:tcPr>
          <w:p w14:paraId="73F903EF"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75</w:t>
            </w:r>
          </w:p>
        </w:tc>
        <w:tc>
          <w:tcPr>
            <w:tcW w:w="433" w:type="pct"/>
            <w:tcBorders>
              <w:top w:val="nil"/>
              <w:bottom w:val="nil"/>
            </w:tcBorders>
            <w:noWrap/>
            <w:vAlign w:val="center"/>
            <w:hideMark/>
          </w:tcPr>
          <w:p w14:paraId="3318EE79"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24</w:t>
            </w:r>
          </w:p>
        </w:tc>
        <w:tc>
          <w:tcPr>
            <w:tcW w:w="351" w:type="pct"/>
            <w:tcBorders>
              <w:top w:val="nil"/>
              <w:bottom w:val="nil"/>
            </w:tcBorders>
            <w:noWrap/>
            <w:vAlign w:val="center"/>
            <w:hideMark/>
          </w:tcPr>
          <w:p w14:paraId="5E815B2B"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0</w:t>
            </w:r>
          </w:p>
        </w:tc>
        <w:tc>
          <w:tcPr>
            <w:tcW w:w="498" w:type="pct"/>
            <w:tcBorders>
              <w:top w:val="nil"/>
              <w:bottom w:val="nil"/>
            </w:tcBorders>
            <w:noWrap/>
            <w:vAlign w:val="center"/>
            <w:hideMark/>
          </w:tcPr>
          <w:p w14:paraId="239357D7"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24%</w:t>
            </w:r>
          </w:p>
        </w:tc>
        <w:tc>
          <w:tcPr>
            <w:tcW w:w="498" w:type="pct"/>
            <w:tcBorders>
              <w:top w:val="nil"/>
              <w:bottom w:val="nil"/>
            </w:tcBorders>
            <w:noWrap/>
            <w:vAlign w:val="center"/>
            <w:hideMark/>
          </w:tcPr>
          <w:p w14:paraId="669D9710"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27%</w:t>
            </w:r>
          </w:p>
        </w:tc>
      </w:tr>
      <w:tr w:rsidR="0012081B" w:rsidRPr="0012081B" w14:paraId="65260B00" w14:textId="77777777" w:rsidTr="00834192">
        <w:trPr>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nil"/>
            </w:tcBorders>
            <w:noWrap/>
            <w:vAlign w:val="center"/>
            <w:hideMark/>
          </w:tcPr>
          <w:p w14:paraId="4A8D38CF" w14:textId="77777777" w:rsidR="0012081B" w:rsidRPr="0012081B" w:rsidRDefault="0012081B" w:rsidP="0012081B">
            <w:pPr>
              <w:rPr>
                <w:rFonts w:cs="Arial"/>
                <w:b w:val="0"/>
                <w:bCs w:val="0"/>
                <w:color w:val="000000"/>
              </w:rPr>
            </w:pPr>
            <w:r w:rsidRPr="0012081B">
              <w:rPr>
                <w:rFonts w:cs="Arial"/>
                <w:b w:val="0"/>
                <w:bCs w:val="0"/>
                <w:color w:val="000000"/>
              </w:rPr>
              <w:t>Reforming</w:t>
            </w:r>
          </w:p>
        </w:tc>
        <w:tc>
          <w:tcPr>
            <w:tcW w:w="477" w:type="pct"/>
            <w:tcBorders>
              <w:top w:val="nil"/>
              <w:bottom w:val="nil"/>
            </w:tcBorders>
            <w:noWrap/>
            <w:vAlign w:val="center"/>
            <w:hideMark/>
          </w:tcPr>
          <w:p w14:paraId="26C9311F"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44</w:t>
            </w:r>
          </w:p>
        </w:tc>
        <w:tc>
          <w:tcPr>
            <w:tcW w:w="575" w:type="pct"/>
            <w:tcBorders>
              <w:top w:val="nil"/>
              <w:bottom w:val="nil"/>
            </w:tcBorders>
            <w:noWrap/>
            <w:vAlign w:val="center"/>
            <w:hideMark/>
          </w:tcPr>
          <w:p w14:paraId="0F6E3686"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237</w:t>
            </w:r>
          </w:p>
        </w:tc>
        <w:tc>
          <w:tcPr>
            <w:tcW w:w="384" w:type="pct"/>
            <w:tcBorders>
              <w:top w:val="nil"/>
              <w:bottom w:val="nil"/>
            </w:tcBorders>
            <w:noWrap/>
            <w:vAlign w:val="center"/>
            <w:hideMark/>
          </w:tcPr>
          <w:p w14:paraId="122E785E"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7</w:t>
            </w:r>
          </w:p>
        </w:tc>
        <w:tc>
          <w:tcPr>
            <w:tcW w:w="390" w:type="pct"/>
            <w:tcBorders>
              <w:top w:val="nil"/>
              <w:bottom w:val="nil"/>
            </w:tcBorders>
            <w:noWrap/>
            <w:vAlign w:val="center"/>
            <w:hideMark/>
          </w:tcPr>
          <w:p w14:paraId="1BCC5EC8"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89</w:t>
            </w:r>
          </w:p>
        </w:tc>
        <w:tc>
          <w:tcPr>
            <w:tcW w:w="662" w:type="pct"/>
            <w:tcBorders>
              <w:top w:val="nil"/>
              <w:bottom w:val="nil"/>
            </w:tcBorders>
            <w:noWrap/>
            <w:vAlign w:val="center"/>
            <w:hideMark/>
          </w:tcPr>
          <w:p w14:paraId="0A5CCDB7"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134</w:t>
            </w:r>
          </w:p>
        </w:tc>
        <w:tc>
          <w:tcPr>
            <w:tcW w:w="433" w:type="pct"/>
            <w:tcBorders>
              <w:top w:val="nil"/>
              <w:bottom w:val="nil"/>
            </w:tcBorders>
            <w:noWrap/>
            <w:vAlign w:val="center"/>
            <w:hideMark/>
          </w:tcPr>
          <w:p w14:paraId="254C9BA8"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63</w:t>
            </w:r>
          </w:p>
        </w:tc>
        <w:tc>
          <w:tcPr>
            <w:tcW w:w="351" w:type="pct"/>
            <w:tcBorders>
              <w:top w:val="nil"/>
              <w:bottom w:val="nil"/>
            </w:tcBorders>
            <w:noWrap/>
            <w:vAlign w:val="center"/>
            <w:hideMark/>
          </w:tcPr>
          <w:p w14:paraId="06FC3C06"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w:t>
            </w:r>
          </w:p>
        </w:tc>
        <w:tc>
          <w:tcPr>
            <w:tcW w:w="498" w:type="pct"/>
            <w:tcBorders>
              <w:top w:val="nil"/>
              <w:bottom w:val="nil"/>
            </w:tcBorders>
            <w:noWrap/>
            <w:vAlign w:val="center"/>
            <w:hideMark/>
          </w:tcPr>
          <w:p w14:paraId="15976A4E"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32%</w:t>
            </w:r>
          </w:p>
        </w:tc>
        <w:tc>
          <w:tcPr>
            <w:tcW w:w="498" w:type="pct"/>
            <w:tcBorders>
              <w:top w:val="nil"/>
              <w:bottom w:val="nil"/>
            </w:tcBorders>
            <w:noWrap/>
            <w:vAlign w:val="center"/>
            <w:hideMark/>
          </w:tcPr>
          <w:p w14:paraId="6CD5E7AF"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16%</w:t>
            </w:r>
          </w:p>
        </w:tc>
      </w:tr>
      <w:tr w:rsidR="0012081B" w:rsidRPr="0012081B" w14:paraId="7AFC5892" w14:textId="77777777" w:rsidTr="0083419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nil"/>
            </w:tcBorders>
            <w:noWrap/>
            <w:vAlign w:val="center"/>
            <w:hideMark/>
          </w:tcPr>
          <w:p w14:paraId="7F80E486" w14:textId="77777777" w:rsidR="0012081B" w:rsidRPr="0012081B" w:rsidRDefault="0012081B" w:rsidP="0012081B">
            <w:pPr>
              <w:rPr>
                <w:rFonts w:cs="Arial"/>
                <w:b w:val="0"/>
                <w:bCs w:val="0"/>
                <w:color w:val="000000"/>
              </w:rPr>
            </w:pPr>
            <w:r w:rsidRPr="0012081B">
              <w:rPr>
                <w:rFonts w:cs="Arial"/>
                <w:b w:val="0"/>
                <w:bCs w:val="0"/>
                <w:color w:val="000000"/>
              </w:rPr>
              <w:t>Rest of Asia</w:t>
            </w:r>
          </w:p>
        </w:tc>
        <w:tc>
          <w:tcPr>
            <w:tcW w:w="477" w:type="pct"/>
            <w:tcBorders>
              <w:top w:val="nil"/>
              <w:bottom w:val="nil"/>
            </w:tcBorders>
            <w:noWrap/>
            <w:vAlign w:val="center"/>
            <w:hideMark/>
          </w:tcPr>
          <w:p w14:paraId="0ECBED9B"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99</w:t>
            </w:r>
          </w:p>
        </w:tc>
        <w:tc>
          <w:tcPr>
            <w:tcW w:w="575" w:type="pct"/>
            <w:tcBorders>
              <w:top w:val="nil"/>
              <w:bottom w:val="nil"/>
            </w:tcBorders>
            <w:noWrap/>
            <w:vAlign w:val="center"/>
            <w:hideMark/>
          </w:tcPr>
          <w:p w14:paraId="40670FC7"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240</w:t>
            </w:r>
          </w:p>
        </w:tc>
        <w:tc>
          <w:tcPr>
            <w:tcW w:w="384" w:type="pct"/>
            <w:tcBorders>
              <w:top w:val="nil"/>
              <w:bottom w:val="nil"/>
            </w:tcBorders>
            <w:noWrap/>
            <w:vAlign w:val="center"/>
            <w:hideMark/>
          </w:tcPr>
          <w:p w14:paraId="4CD50F2C"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50</w:t>
            </w:r>
          </w:p>
        </w:tc>
        <w:tc>
          <w:tcPr>
            <w:tcW w:w="390" w:type="pct"/>
            <w:tcBorders>
              <w:top w:val="nil"/>
              <w:bottom w:val="nil"/>
            </w:tcBorders>
            <w:noWrap/>
            <w:vAlign w:val="center"/>
            <w:hideMark/>
          </w:tcPr>
          <w:p w14:paraId="24B3E892"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21</w:t>
            </w:r>
          </w:p>
        </w:tc>
        <w:tc>
          <w:tcPr>
            <w:tcW w:w="662" w:type="pct"/>
            <w:tcBorders>
              <w:top w:val="nil"/>
              <w:bottom w:val="nil"/>
            </w:tcBorders>
            <w:noWrap/>
            <w:vAlign w:val="center"/>
            <w:hideMark/>
          </w:tcPr>
          <w:p w14:paraId="24EDFDDC"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258</w:t>
            </w:r>
          </w:p>
        </w:tc>
        <w:tc>
          <w:tcPr>
            <w:tcW w:w="433" w:type="pct"/>
            <w:tcBorders>
              <w:top w:val="nil"/>
              <w:bottom w:val="nil"/>
            </w:tcBorders>
            <w:noWrap/>
            <w:vAlign w:val="center"/>
            <w:hideMark/>
          </w:tcPr>
          <w:p w14:paraId="5930AC13"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106</w:t>
            </w:r>
          </w:p>
        </w:tc>
        <w:tc>
          <w:tcPr>
            <w:tcW w:w="351" w:type="pct"/>
            <w:tcBorders>
              <w:top w:val="nil"/>
              <w:bottom w:val="nil"/>
            </w:tcBorders>
            <w:noWrap/>
            <w:vAlign w:val="center"/>
            <w:hideMark/>
          </w:tcPr>
          <w:p w14:paraId="3B4635DC"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5</w:t>
            </w:r>
          </w:p>
        </w:tc>
        <w:tc>
          <w:tcPr>
            <w:tcW w:w="498" w:type="pct"/>
            <w:tcBorders>
              <w:top w:val="nil"/>
              <w:bottom w:val="nil"/>
            </w:tcBorders>
            <w:noWrap/>
            <w:vAlign w:val="center"/>
            <w:hideMark/>
          </w:tcPr>
          <w:p w14:paraId="0F8D146A"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29%</w:t>
            </w:r>
          </w:p>
        </w:tc>
        <w:tc>
          <w:tcPr>
            <w:tcW w:w="498" w:type="pct"/>
            <w:tcBorders>
              <w:top w:val="nil"/>
              <w:bottom w:val="nil"/>
            </w:tcBorders>
            <w:noWrap/>
            <w:vAlign w:val="center"/>
            <w:hideMark/>
          </w:tcPr>
          <w:p w14:paraId="3254D1AB"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29%</w:t>
            </w:r>
          </w:p>
        </w:tc>
      </w:tr>
      <w:tr w:rsidR="0012081B" w:rsidRPr="0012081B" w14:paraId="66079CD4" w14:textId="77777777" w:rsidTr="00834192">
        <w:trPr>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nil"/>
            </w:tcBorders>
            <w:noWrap/>
            <w:vAlign w:val="center"/>
            <w:hideMark/>
          </w:tcPr>
          <w:p w14:paraId="3DDED5DF" w14:textId="77777777" w:rsidR="0012081B" w:rsidRPr="0012081B" w:rsidRDefault="0012081B" w:rsidP="0012081B">
            <w:pPr>
              <w:rPr>
                <w:rFonts w:cs="Arial"/>
                <w:b w:val="0"/>
                <w:bCs w:val="0"/>
                <w:color w:val="000000"/>
              </w:rPr>
            </w:pPr>
            <w:r w:rsidRPr="0012081B">
              <w:rPr>
                <w:rFonts w:cs="Arial"/>
                <w:b w:val="0"/>
                <w:bCs w:val="0"/>
                <w:color w:val="000000"/>
              </w:rPr>
              <w:t>South Asia</w:t>
            </w:r>
          </w:p>
        </w:tc>
        <w:tc>
          <w:tcPr>
            <w:tcW w:w="477" w:type="pct"/>
            <w:tcBorders>
              <w:top w:val="nil"/>
              <w:bottom w:val="nil"/>
            </w:tcBorders>
            <w:noWrap/>
            <w:vAlign w:val="center"/>
            <w:hideMark/>
          </w:tcPr>
          <w:p w14:paraId="28BF972B"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104</w:t>
            </w:r>
          </w:p>
        </w:tc>
        <w:tc>
          <w:tcPr>
            <w:tcW w:w="575" w:type="pct"/>
            <w:tcBorders>
              <w:top w:val="nil"/>
              <w:bottom w:val="nil"/>
            </w:tcBorders>
            <w:noWrap/>
            <w:vAlign w:val="center"/>
            <w:hideMark/>
          </w:tcPr>
          <w:p w14:paraId="59170737"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482</w:t>
            </w:r>
          </w:p>
        </w:tc>
        <w:tc>
          <w:tcPr>
            <w:tcW w:w="384" w:type="pct"/>
            <w:tcBorders>
              <w:top w:val="nil"/>
              <w:bottom w:val="nil"/>
            </w:tcBorders>
            <w:noWrap/>
            <w:vAlign w:val="center"/>
            <w:hideMark/>
          </w:tcPr>
          <w:p w14:paraId="637CA477"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27</w:t>
            </w:r>
          </w:p>
        </w:tc>
        <w:tc>
          <w:tcPr>
            <w:tcW w:w="390" w:type="pct"/>
            <w:tcBorders>
              <w:top w:val="nil"/>
              <w:bottom w:val="nil"/>
            </w:tcBorders>
            <w:noWrap/>
            <w:vAlign w:val="center"/>
            <w:hideMark/>
          </w:tcPr>
          <w:p w14:paraId="3FBE611E"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43</w:t>
            </w:r>
          </w:p>
        </w:tc>
        <w:tc>
          <w:tcPr>
            <w:tcW w:w="662" w:type="pct"/>
            <w:tcBorders>
              <w:top w:val="nil"/>
              <w:bottom w:val="nil"/>
            </w:tcBorders>
            <w:noWrap/>
            <w:vAlign w:val="center"/>
            <w:hideMark/>
          </w:tcPr>
          <w:p w14:paraId="05A0875B"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456</w:t>
            </w:r>
          </w:p>
        </w:tc>
        <w:tc>
          <w:tcPr>
            <w:tcW w:w="433" w:type="pct"/>
            <w:tcBorders>
              <w:top w:val="nil"/>
              <w:bottom w:val="nil"/>
            </w:tcBorders>
            <w:noWrap/>
            <w:vAlign w:val="center"/>
            <w:hideMark/>
          </w:tcPr>
          <w:p w14:paraId="7A755E29"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110</w:t>
            </w:r>
          </w:p>
        </w:tc>
        <w:tc>
          <w:tcPr>
            <w:tcW w:w="351" w:type="pct"/>
            <w:tcBorders>
              <w:top w:val="nil"/>
              <w:bottom w:val="nil"/>
            </w:tcBorders>
            <w:noWrap/>
            <w:vAlign w:val="center"/>
            <w:hideMark/>
          </w:tcPr>
          <w:p w14:paraId="03AA3C44"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4</w:t>
            </w:r>
          </w:p>
        </w:tc>
        <w:tc>
          <w:tcPr>
            <w:tcW w:w="498" w:type="pct"/>
            <w:tcBorders>
              <w:top w:val="nil"/>
              <w:bottom w:val="nil"/>
            </w:tcBorders>
            <w:noWrap/>
            <w:vAlign w:val="center"/>
            <w:hideMark/>
          </w:tcPr>
          <w:p w14:paraId="34D6A970"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19%</w:t>
            </w:r>
          </w:p>
        </w:tc>
        <w:tc>
          <w:tcPr>
            <w:tcW w:w="498" w:type="pct"/>
            <w:tcBorders>
              <w:top w:val="nil"/>
              <w:bottom w:val="nil"/>
            </w:tcBorders>
            <w:noWrap/>
            <w:vAlign w:val="center"/>
            <w:hideMark/>
          </w:tcPr>
          <w:p w14:paraId="2A2EF206" w14:textId="77777777" w:rsidR="0012081B" w:rsidRPr="0012081B" w:rsidRDefault="0012081B" w:rsidP="0012081B">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2081B">
              <w:rPr>
                <w:rFonts w:cs="Arial"/>
                <w:color w:val="000000"/>
              </w:rPr>
              <w:t>18%</w:t>
            </w:r>
          </w:p>
        </w:tc>
      </w:tr>
      <w:tr w:rsidR="0012081B" w:rsidRPr="0012081B" w14:paraId="30EE2F92" w14:textId="77777777" w:rsidTr="0083419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33" w:type="pct"/>
            <w:tcBorders>
              <w:top w:val="nil"/>
              <w:bottom w:val="single" w:sz="4" w:space="0" w:color="auto"/>
            </w:tcBorders>
            <w:noWrap/>
            <w:vAlign w:val="center"/>
            <w:hideMark/>
          </w:tcPr>
          <w:p w14:paraId="4D186A40" w14:textId="77777777" w:rsidR="0012081B" w:rsidRPr="0012081B" w:rsidRDefault="0012081B" w:rsidP="0012081B">
            <w:pPr>
              <w:rPr>
                <w:rFonts w:cs="Arial"/>
                <w:b w:val="0"/>
                <w:bCs w:val="0"/>
                <w:color w:val="000000"/>
              </w:rPr>
            </w:pPr>
            <w:r w:rsidRPr="0012081B">
              <w:rPr>
                <w:rFonts w:cs="Arial"/>
                <w:b w:val="0"/>
                <w:bCs w:val="0"/>
                <w:color w:val="000000"/>
              </w:rPr>
              <w:t>World</w:t>
            </w:r>
          </w:p>
        </w:tc>
        <w:tc>
          <w:tcPr>
            <w:tcW w:w="477" w:type="pct"/>
            <w:tcBorders>
              <w:top w:val="nil"/>
              <w:bottom w:val="single" w:sz="4" w:space="0" w:color="auto"/>
            </w:tcBorders>
            <w:noWrap/>
            <w:vAlign w:val="center"/>
            <w:hideMark/>
          </w:tcPr>
          <w:p w14:paraId="3CB0EF0B"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1301</w:t>
            </w:r>
          </w:p>
        </w:tc>
        <w:tc>
          <w:tcPr>
            <w:tcW w:w="575" w:type="pct"/>
            <w:tcBorders>
              <w:top w:val="nil"/>
              <w:bottom w:val="single" w:sz="4" w:space="0" w:color="auto"/>
            </w:tcBorders>
            <w:noWrap/>
            <w:vAlign w:val="center"/>
            <w:hideMark/>
          </w:tcPr>
          <w:p w14:paraId="6ACF5202"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3045</w:t>
            </w:r>
          </w:p>
        </w:tc>
        <w:tc>
          <w:tcPr>
            <w:tcW w:w="384" w:type="pct"/>
            <w:tcBorders>
              <w:top w:val="nil"/>
              <w:bottom w:val="single" w:sz="4" w:space="0" w:color="auto"/>
            </w:tcBorders>
            <w:noWrap/>
            <w:vAlign w:val="center"/>
            <w:hideMark/>
          </w:tcPr>
          <w:p w14:paraId="2E8A0ED7"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546</w:t>
            </w:r>
          </w:p>
        </w:tc>
        <w:tc>
          <w:tcPr>
            <w:tcW w:w="390" w:type="pct"/>
            <w:tcBorders>
              <w:top w:val="nil"/>
              <w:bottom w:val="single" w:sz="4" w:space="0" w:color="auto"/>
            </w:tcBorders>
            <w:noWrap/>
            <w:vAlign w:val="center"/>
            <w:hideMark/>
          </w:tcPr>
          <w:p w14:paraId="0168082E"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546</w:t>
            </w:r>
          </w:p>
        </w:tc>
        <w:tc>
          <w:tcPr>
            <w:tcW w:w="662" w:type="pct"/>
            <w:tcBorders>
              <w:top w:val="nil"/>
              <w:bottom w:val="single" w:sz="4" w:space="0" w:color="auto"/>
            </w:tcBorders>
            <w:noWrap/>
            <w:vAlign w:val="center"/>
            <w:hideMark/>
          </w:tcPr>
          <w:p w14:paraId="0F0E776C"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2969</w:t>
            </w:r>
          </w:p>
        </w:tc>
        <w:tc>
          <w:tcPr>
            <w:tcW w:w="433" w:type="pct"/>
            <w:tcBorders>
              <w:top w:val="nil"/>
              <w:bottom w:val="single" w:sz="4" w:space="0" w:color="auto"/>
            </w:tcBorders>
            <w:noWrap/>
            <w:vAlign w:val="center"/>
            <w:hideMark/>
          </w:tcPr>
          <w:p w14:paraId="3908323E"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1326</w:t>
            </w:r>
          </w:p>
        </w:tc>
        <w:tc>
          <w:tcPr>
            <w:tcW w:w="351" w:type="pct"/>
            <w:tcBorders>
              <w:top w:val="nil"/>
              <w:bottom w:val="single" w:sz="4" w:space="0" w:color="auto"/>
            </w:tcBorders>
            <w:noWrap/>
            <w:vAlign w:val="center"/>
            <w:hideMark/>
          </w:tcPr>
          <w:p w14:paraId="0A7C48DC"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52</w:t>
            </w:r>
          </w:p>
        </w:tc>
        <w:tc>
          <w:tcPr>
            <w:tcW w:w="498" w:type="pct"/>
            <w:tcBorders>
              <w:top w:val="nil"/>
              <w:bottom w:val="single" w:sz="4" w:space="0" w:color="auto"/>
            </w:tcBorders>
            <w:noWrap/>
            <w:vAlign w:val="center"/>
            <w:hideMark/>
          </w:tcPr>
          <w:p w14:paraId="5D03D0EC"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31%</w:t>
            </w:r>
          </w:p>
        </w:tc>
        <w:tc>
          <w:tcPr>
            <w:tcW w:w="498" w:type="pct"/>
            <w:tcBorders>
              <w:top w:val="nil"/>
              <w:bottom w:val="single" w:sz="4" w:space="0" w:color="auto"/>
            </w:tcBorders>
            <w:noWrap/>
            <w:vAlign w:val="center"/>
            <w:hideMark/>
          </w:tcPr>
          <w:p w14:paraId="7672E5FE" w14:textId="77777777" w:rsidR="0012081B" w:rsidRPr="0012081B" w:rsidRDefault="0012081B" w:rsidP="0012081B">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2081B">
              <w:rPr>
                <w:rFonts w:cs="Arial"/>
                <w:color w:val="000000"/>
              </w:rPr>
              <w:t>30%</w:t>
            </w:r>
          </w:p>
        </w:tc>
      </w:tr>
    </w:tbl>
    <w:p w14:paraId="315CCEA7" w14:textId="1AF90CCE" w:rsidR="00764AE7" w:rsidRDefault="00764AE7">
      <w:pPr>
        <w:rPr>
          <w:rFonts w:eastAsia="Cambria" w:cs="Arial"/>
          <w:b/>
          <w:color w:val="000000"/>
        </w:rPr>
      </w:pPr>
      <w:r>
        <w:br w:type="page"/>
      </w:r>
    </w:p>
    <w:p w14:paraId="28BC4751" w14:textId="272DB5C3" w:rsidR="00983273" w:rsidRPr="008066ED" w:rsidRDefault="00983273" w:rsidP="00983273">
      <w:pPr>
        <w:pStyle w:val="Heading2"/>
        <w:spacing w:line="276" w:lineRule="auto"/>
      </w:pPr>
      <w:bookmarkStart w:id="27" w:name="_Toc241138206"/>
      <w:r w:rsidRPr="008066ED">
        <w:lastRenderedPageBreak/>
        <w:t xml:space="preserve">Supplementary Section </w:t>
      </w:r>
      <w:r w:rsidR="006E121E">
        <w:t>2</w:t>
      </w:r>
      <w:r w:rsidRPr="008066ED">
        <w:t>.</w:t>
      </w:r>
      <w:r w:rsidR="00764AE7">
        <w:t>2</w:t>
      </w:r>
      <w:r w:rsidRPr="008066ED">
        <w:t xml:space="preserve">. </w:t>
      </w:r>
      <w:r w:rsidR="0028476C" w:rsidRPr="0028476C">
        <w:t>Recent GCAM agricultural and food-system developments</w:t>
      </w:r>
      <w:bookmarkEnd w:id="27"/>
      <w:r w:rsidRPr="008066ED">
        <w:t xml:space="preserve"> </w:t>
      </w:r>
    </w:p>
    <w:p w14:paraId="23A30DE0" w14:textId="6F86E67D" w:rsidR="0028476C" w:rsidRDefault="0028476C" w:rsidP="0028476C">
      <w:pPr>
        <w:spacing w:line="276" w:lineRule="auto"/>
        <w:rPr>
          <w:rFonts w:cs="Arial"/>
          <w:color w:val="000000" w:themeColor="text1"/>
        </w:rPr>
      </w:pPr>
      <w:r w:rsidRPr="0028476C">
        <w:rPr>
          <w:rFonts w:cs="Arial"/>
          <w:color w:val="000000" w:themeColor="text1"/>
        </w:rPr>
        <w:t>GCAM has been widely applied to agricultural, land-use and food-system questions, including global model-intercomparison activities such as AgMIP and recent multi</w:t>
      </w:r>
      <w:r>
        <w:rPr>
          <w:rFonts w:cs="Arial"/>
          <w:color w:val="000000" w:themeColor="text1"/>
        </w:rPr>
        <w:t>-</w:t>
      </w:r>
      <w:r w:rsidRPr="0028476C">
        <w:rPr>
          <w:rFonts w:cs="Arial"/>
          <w:color w:val="000000" w:themeColor="text1"/>
        </w:rPr>
        <w:t>model assessments of food-system transformation</w:t>
      </w:r>
      <w:r>
        <w:rPr>
          <w:rFonts w:cs="Arial"/>
          <w:color w:val="000000" w:themeColor="text1"/>
        </w:rPr>
        <w:fldChar w:fldCharType="begin"/>
      </w:r>
      <w:r>
        <w:rPr>
          <w:rFonts w:cs="Arial"/>
          <w:color w:val="000000" w:themeColor="text1"/>
        </w:rPr>
        <w:instrText xml:space="preserve"> ADDIN ZOTERO_ITEM CSL_CITATION {"citationID":"alvisgvipf","properties":{"unsorted":false,"formattedCitation":"\\super 6,7,29\\nosupersub{}","plainCitation":"6,7,29","noteIndex":0},"citationItems":[{"id":15473,"uris":["http://zotero.org/users/8267882/items/233GTSV5"],"itemData":{"id":15473,"type":"article-journal","abstract":"Food systems are a major contributor to exceeding planetary boundaries1–3 and poor quality diets are a key mortality risk globally4. Projected population and income growth could exacerbate these challenges5. In response, there are calls for transformation towards healthy and sustainable food systems6–8. However, the scale and distribution of the impacts of this transformation on agriculture are underexplored. Here we show that, by 2050, the transformation of food systems towards healthy diets (adoption of the EAT–Lancet reference diet), improved productivity and halving of food waste results in a fundamental restructuring of global agriculture, aspects of which break with historical trends. Scenario simulations using a multimodel ensemble of ten global economic models show a 6% median decrease in agricultural land (+1% to −26%) compared with 2020 levels. By 2050, agricultural production would be 17% lower than business-as-usual projections (−2% to −32%) and, economically, the value of this production is US$1.6 trillion (26%) lower (+8% to −58%). Within this, the value of livestock production would be substantially lower than current 2050 projections (−49% to −83%), while vegetable, fruit, nut and legume production value would increase by 23% (−33% to +106%). Results are dependent on the assumed policies to achieve the transformation scenario. We highlight a more active role for food policy to consider the benefits of such a transformation (improved population health and reduced environmental pressures) and navigate the political economy of its impacts.","container-title":"Nature","DOI":"10.1038/s41586-026-10775-2","ISSN":"1476-4687","language":"en","license":"All rights reserved","page":"1-8","publisher":"Nature Publishing Group","source":"www.nature.com","title":"Food systems transformation would reshape global agriculture","URL":"https://www.nature.com/articles/s41586-026-10775-2","author":[{"family":"Gibson","given":"Matthew"},{"family":"Sundiang","given":"Marina"},{"family":"Mason-D’Croz","given":"Daniel"},{"family":"Diniz Oliveira","given":"Thais"},{"family":"Beier","given":"Felicitas"},{"family":"Benavidez","given":"Lauren"},{"family":"Bos","given":"Astrid"},{"family":"Chepeliev","given":"Maksym"},{"family":"Doelman","given":"Jonathan"},{"family":"Dunston","given":"Shahnila"},{"family":"Fujimori","given":"Shinichiro"},{"family":"Hasegawa","given":"Tomoko"},{"family":"Havlik","given":"Petr"},{"family":"Hristov","given":"Jordan"},{"family":"Jägermeyr","given":"Jonas"},{"family":"Kozicka","given":"Marta"},{"family":"Kuiper","given":"Marijke"},{"family":"Kyle","given":"Page"},{"family":"Lange","given":"Thijs","non-dropping-particle":"de"},{"family":"Bodirsky","given":"Benjamin Leon"},{"family":"Lotze-Campen","given":"Hermann"},{"family":"Luchtenbelt","given":"Hermen"},{"family":"Chen","given":"David Meng-Chuen"},{"family":"Mishra","given":"Abhijeet"},{"family":"Müller","given":"Christoph"},{"family":"Nelson","given":"Gerald"},{"family":"Palazzo","given":"Amanda"},{"family":"Perez Dominguez","given":"Ignacio"},{"family":"Popp","given":"Alexander"},{"family":"Sands","given":"Ronald"},{"family":"Springmann","given":"Marco"},{"family":"Stehfest","given":"Elke"},{"family":"Sulser","given":"Timothy B."},{"family":"Takahashi","given":"Kiyoshi"},{"family":"Tassinari","given":"Gianmaria"},{"family":"Thom","given":"Ferike"},{"family":"Thornton","given":"Philip"},{"family":"Tsuchiya","given":"Kazuaki"},{"family":"Zeist","given":"Willem-Jan","non-dropping-particle":"van"},{"family":"Meijl","given":"Hans","non-dropping-particle":"van"},{"family":"Mensbrugghe","given":"Dominique","non-dropping-particle":"van der"},{"family":"Van Vuuren","given":"Detlef"},{"family":"Zanten","given":"Hannah H. E.","non-dropping-particle":"van"},{"family":"Weindl","given":"Isabelle"},{"family":"Wiebe","given":"Keith"},{"family":"Zhao","given":"Xin"},{"family":"Herrero","given":"Mario"}],"accessed":{"date-parts":[["2026",7,16]]},"issued":{"date-parts":[["2026",7,15]]}}},{"id":12770,"uris":["http://zotero.org/users/8267882/items/SG3CXFAX"],"itemData":{"id":12770,"type":"article-journal","container-title":"The Lancet Planetary Health","DOI":"10.1016/j.lanplh.2025.101339","ISSN":"2542-5196","issue":"10","journalAbbreviation":"The Lancet Planetary Health","language":"English","license":"CC0 1.0 Universal Public Domain Dedication","publisher":"Elsevier","source":"www.thelancet.com","title":"Bundling measures for food systems transformation: a global, multimodel assessment","title-short":"Bundling measures for food systems transformation","URL":"https://www.thelancet.com/journals/lanplh/article/PIIS2542-5196(25)00217-7/fulltext?rss=yes","volume":"9","author":[{"family":"Sundiang","given":"Marina"},{"family":"Oliveira","given":"Thais Diniz"},{"family":"Mason-D’Croz","given":"Daniel"},{"family":"Gibson","given":"Matthew"},{"family":"Beier","given":"Felicitas"},{"family":"Benavidez","given":"Lauren"},{"family":"Bodirsky","given":"Benjamin Leon"},{"family":"Bos","given":"Astrid"},{"family":"Chepeliev","given":"Maksym"},{"family":"Chen","given":"David Meng-Chuen"},{"family":"Lange","given":"Thijs","dropping-particle":"de"},{"family":"Doelman","given":"Jonathan"},{"family":"Dunston","given":"Shahnila"},{"family":"Frank","given":"Stefan"},{"family":"Fujimori","given":"Shinichiro"},{"family":"Hasegawa","given":"Tomoko"},{"family":"Havlik","given":"Petr"},{"family":"Hristov","given":"Jordan"},{"family":"Jägermeyr","given":"Jonas"},{"family":"Kozicka","given":"Marta"},{"family":"Kuiper","given":"Marijke"},{"family":"Kyle","given":"Page"},{"family":"Lotze-Campen","given":"Hermann"},{"family":"Luchtenbelt","given":"Hermen"},{"family":"Mishra","given":"Abhijeet"},{"family":"Müller","given":"Christoph"},{"family":"Nelson","given":"Gerald"},{"family":"Palazzo","given":"Amanda"},{"family":"Domínguez","given":"Ignacio Pérez"},{"family":"Popp","given":"Alexander"},{"family":"Sands","given":"Ronald"},{"family":"Springmann","given":"Marco"},{"family":"Stehfest","given":"Elke"},{"family":"Sulser","given":"Timothy"},{"family":"Takahashi","given":"Kiyoshi"},{"family":"Tassinari","given":"Gianmaria"},{"family":"Thom","given":"Ferike"},{"family":"Thornton","given":"Philip"},{"family":"Tsuchiya","given":"Kazuaki"},{"family":"Zeist","given":"Willem-Jan","dropping-particle":"van"},{"family":"Meijl","given":"Hans","dropping-particle":"van"},{"family":"Mensbrugghe","given":"Dominique","dropping-particle":"van der"},{"family":"Vuuren","given":"Detlef Van"},{"family":"Zanten","given":"Hannah H. E.","dropping-particle":"van"},{"family":"Weindl","given":"Isabelle"},{"family":"Wiebe","given":"Keith"},{"family":"Zhao","given":"Xin"},{"family":"Herrero","given":"Mario"}],"accessed":{"date-parts":[["2025",11,5]]},"issued":{"date-parts":[["2025",10,1]]}}},{"id":13815,"uris":["http://zotero.org/users/8267882/items/W9VRYLEV"],"itemData":{"id":13815,"type":"article-journal","abstract":"Studies warning of the potential negative effects of climate mitigation on food security through the competing use of land for bioenergy and afforestation have overlooked the impact of reduced ozone and its potential enhancement of crop yields. Here we use six global agro-economic models to compare the impacts of climate change with climate mitigation policy and ozone reduction on agriculture. We find that ozone reduction could reduce the negative impact of a 1.5 °C-consistent climate change mitigation policy on global hunger by 15% in 2050. Sub-Saharan Africa and India, where hunger is most severe, account for 56% of this global reduction. Our findings indicate that the negative effects of climate mitigation on global hunger could be partially offset by the ozone reduction impact.","container-title":"Nature Food","DOI":"10.1038/s43016-026-01322-3","ISSN":"2662-1355","journalAbbreviation":"Nat Food","language":"en","license":"2026 The Author(s)","page":"1-13","publisher":"Nature Publishing Group","source":"www.nature.com","title":"Ozone pollution reduction partially offsets the negative impact of climate change mitigation efforts on global hunger","URL":"https://www.nature.com/articles/s43016-026-01322-3","author":[{"family":"Xia","given":"Shujuan"},{"family":"Hasegawa","given":"Tomoko"},{"family":"Jansakoo","given":"Thanapat"},{"family":"Mason-D’Croz","given":"Daniel"},{"family":"Tsuchiya","given":"Kazuaki"},{"family":"Fujimori","given":"Shinichiro"},{"family":"Chepeliev","given":"Maksym"},{"family":"Kozicka","given":"Marta"},{"family":"Mishra","given":"Abhijeet"},{"family":"Zeist","given":"Willem-Jan","non-dropping-particle":"van"},{"family":"Zhao","given":"Xin"},{"family":"Lange","given":"Thijs","non-dropping-particle":"de"},{"family":"Diniz Oliveira","given":"Thais"},{"family":"Doelman","given":"Jonathan C."},{"family":"Gibson","given":"Matthew"},{"family":"Havlík","given":"Petr"},{"family":"Herrero","given":"Mario"},{"family":"Kumar","given":"Ipsita"},{"family":"Ochi","given":"Yuki"},{"family":"Sulser","given":"Timothy B."},{"family":"Sundiang","given":"Marina"},{"family":"Takahashi","given":"Kiyoshi"},{"family":"Takakura","given":"Jun’ya"},{"family":"Wiebe","given":"Keith"}],"accessed":{"date-parts":[["2026",3,17]]},"issued":{"date-parts":[["2026",3,16]]}}}],"schema":"https://github.com/citation-style-language/schema/raw/master/csl-citation.json"} </w:instrText>
      </w:r>
      <w:r>
        <w:rPr>
          <w:rFonts w:cs="Arial"/>
          <w:color w:val="000000" w:themeColor="text1"/>
        </w:rPr>
        <w:fldChar w:fldCharType="separate"/>
      </w:r>
      <w:r w:rsidRPr="0028476C">
        <w:rPr>
          <w:rFonts w:cs="Arial"/>
          <w:vertAlign w:val="superscript"/>
        </w:rPr>
        <w:t>6,7,29</w:t>
      </w:r>
      <w:r>
        <w:rPr>
          <w:rFonts w:cs="Arial"/>
          <w:color w:val="000000" w:themeColor="text1"/>
        </w:rPr>
        <w:fldChar w:fldCharType="end"/>
      </w:r>
      <w:r w:rsidRPr="0028476C">
        <w:rPr>
          <w:rFonts w:cs="Arial"/>
          <w:color w:val="000000" w:themeColor="text1"/>
        </w:rPr>
        <w:t xml:space="preserve">. These applications have used different generations of GCAM, which is relevant because the model has evolved continuously as new data, methods and sectoral representations have been incorporated. For example, Sheng et al. used an enhanced GCAM v7.0 with an explicit agricultural </w:t>
      </w:r>
      <w:r>
        <w:rPr>
          <w:rFonts w:cs="Arial"/>
          <w:color w:val="000000" w:themeColor="text1"/>
        </w:rPr>
        <w:t>labor-market</w:t>
      </w:r>
      <w:r w:rsidRPr="0028476C">
        <w:rPr>
          <w:rFonts w:cs="Arial"/>
          <w:color w:val="000000" w:themeColor="text1"/>
        </w:rPr>
        <w:t xml:space="preserve"> representation</w:t>
      </w:r>
      <w:r>
        <w:rPr>
          <w:rFonts w:cs="Arial"/>
          <w:color w:val="000000" w:themeColor="text1"/>
        </w:rPr>
        <w:fldChar w:fldCharType="begin"/>
      </w:r>
      <w:r>
        <w:rPr>
          <w:rFonts w:cs="Arial"/>
          <w:color w:val="000000" w:themeColor="text1"/>
        </w:rPr>
        <w:instrText xml:space="preserve"> ADDIN ZOTERO_ITEM CSL_CITATION {"citationID":"a2lob2ai0","properties":{"unsorted":false,"formattedCitation":"\\super 16\\nosupersub{}","plainCitation":"16","noteIndex":0},"citationItems":[{"id":9118,"uris":["http://zotero.org/users/8267882/items/NEUUX5MQ"],"itemData":{"id":9118,"type":"article-journal","abstract":"Long-term labour market evolution shapes agricultural transformation through labour productivity growth and labour market transitions. Despite its importance in agricultural production, labour has been overlooked when exploring the agrifood–water–environment–climate nexus. Here we incorporate evolving labour markets into multisector dynamic modelling to examine their agroeconomic and environmental implications. Our projections show that the recent decline of global agricultural employment persists, with an estimated decadal decrease of 43 million people by 2100, strengthening the decoupling of labour from production. Exploring scenarios with varying labour productivity and supply factors, we also show a positive relationship between productivity-adjusted labour supply and agricultural emissions, with more pronounced and heterogeneous regional and sectoral responses. While highlighting the pressing need to capture labour dynamics in integrated human–Earth systems, our study lays the foundation for further investigation into labour market responses and feedback in broader scenarios.","container-title":"Nature Food","DOI":"10.1038/s43016-024-01088-6","ISSN":"2662-1355","journalAbbreviation":"Nat Food","language":"en","license":"2025 Battelle Memorial Institute, under exclusive licence to Springer Nature Limited","page":"1-12","publisher":"Nature Publishing Group","source":"www.nature.com","title":"Labour market evolution is a key determinant of global agroeconomic and environmental futures","URL":"https://www.nature.com/articles/s43016-024-01088-6","author":[{"family":"Sheng","given":"Di"},{"family":"Edmonds","given":"James A."},{"family":"Patel","given":"Pralit"},{"family":"Waldhoff","given":"Stephanie T."},{"family":"O’Neill","given":"Brian C."},{"family":"Wise","given":"Marshall A."},{"family":"Zhao","given":"Xin"}],"accessed":{"date-parts":[["2025",1,2]]},"issued":{"date-parts":[["2025",1,2]]}}}],"schema":"https://github.com/citation-style-language/schema/raw/master/csl-citation.json"} </w:instrText>
      </w:r>
      <w:r>
        <w:rPr>
          <w:rFonts w:cs="Arial"/>
          <w:color w:val="000000" w:themeColor="text1"/>
        </w:rPr>
        <w:fldChar w:fldCharType="separate"/>
      </w:r>
      <w:r w:rsidRPr="0028476C">
        <w:rPr>
          <w:rFonts w:cs="Arial"/>
          <w:vertAlign w:val="superscript"/>
        </w:rPr>
        <w:t>16</w:t>
      </w:r>
      <w:r>
        <w:rPr>
          <w:rFonts w:cs="Arial"/>
          <w:color w:val="000000" w:themeColor="text1"/>
        </w:rPr>
        <w:fldChar w:fldCharType="end"/>
      </w:r>
      <w:r w:rsidRPr="0028476C">
        <w:rPr>
          <w:rFonts w:cs="Arial"/>
          <w:color w:val="000000" w:themeColor="text1"/>
        </w:rPr>
        <w:t>, whereas the recent EAT–Lancet multimodel analysis employed GCAM v7.1 with study-specific modifications</w:t>
      </w:r>
      <w:r>
        <w:rPr>
          <w:rFonts w:cs="Arial"/>
          <w:color w:val="000000" w:themeColor="text1"/>
        </w:rPr>
        <w:fldChar w:fldCharType="begin"/>
      </w:r>
      <w:r>
        <w:rPr>
          <w:rFonts w:cs="Arial"/>
          <w:color w:val="000000" w:themeColor="text1"/>
        </w:rPr>
        <w:instrText xml:space="preserve"> ADDIN ZOTERO_ITEM CSL_CITATION {"citationID":"a2peme23rc2","properties":{"unsorted":false,"formattedCitation":"\\super 30\\nosupersub{}","plainCitation":"30","noteIndex":0},"citationItems":[{"id":12815,"uris":["http://zotero.org/users/8267882/items/HSH2RJMU"],"itemData":{"id":12815,"type":"article-journal","container-title":"The Lancet","DOI":"10.1016/S0140-6736(25)01201-2","ISSN":"0140-6736, 1474-547X","issue":"10512","journalAbbreviation":"The Lancet","language":"English","license":"All rights reserved","page":"1625-1700","PMID":"41046857","publisher":"Elsevier","source":"www.thelancet.com","title":"The EAT–Lancet Commission on healthy, sustainable, and just food systems","URL":"https://www.thelancet.com/journals/lancet/article/PIIS0140-6736(25)01201-2/fulltext","volume":"406","author":[{"family":"Rockström","given":"Johan"},{"family":"Thilsted","given":"Shakuntala Haraksingh"},{"family":"Willett","given":"Walter C."},{"family":"Gordon","given":"Line J."},{"family":"Herrero","given":"Mario"},{"family":"Hicks","given":"Christina C."},{"family":"Mason-D'Croz","given":"Daniel"},{"family":"Rao","given":"Nitya"},{"family":"Springmann","given":"Marco"},{"family":"Wright","given":"Ellen Cecilie"},{"family":"Agustina","given":"Rina"},{"family":"Bajaj","given":"Sumati"},{"family":"Bunge","given":"Anne Charlotte"},{"family":"Carducci","given":"Bianca"},{"family":"Conti","given":"Costanza"},{"family":"Covic","given":"Namukolo"},{"family":"Fanzo","given":"Jessica"},{"family":"Forouhi","given":"Nita G."},{"family":"Gibson","given":"Matthew F."},{"family":"Gu","given":"Xiao"},{"family":"Kebreab","given":"Ermias"},{"family":"Kremen","given":"Claire"},{"family":"Laila","given":"Amar"},{"family":"Laxminarayan","given":"Ramanan"},{"family":"Marteau","given":"Theresa M."},{"family":"Monteiro","given":"Carlos A."},{"family":"Norberg","given":"Anna"},{"family":"Njuki","given":"Jemimah"},{"family":"Oliveira","given":"Thais Diniz"},{"family":"Pan","given":"Wen-Harn"},{"family":"Rivera","given":"Juan A."},{"family":"Robinson","given":"James P. W."},{"family":"Sundiang","given":"Marina"},{"family":"Wierik","given":"Sofie","dropping-particle":"te"},{"family":"Vuuren","given":"Detlef P.","dropping-particle":"van"},{"family":"Vermeulen","given":"Sonja"},{"family":"Webb","given":"Patrick"},{"family":"Alqodmani","given":"Lujain"},{"family":"Ambikapathi","given":"Ramya"},{"family":"Barnhill","given":"Anne"},{"family":"Baudish","given":"Isabel"},{"family":"Beier","given":"Felicitas"},{"family":"Beillouin","given":"Damien"},{"family":"Beusen","given":"Arthur H. W."},{"family":"Breier","given":"Jannes"},{"family":"Chemarin","given":"Charlotte"},{"family":"Chepeliev","given":"Maksym"},{"family":"Clapp","given":"Jennifer"},{"family":"Vries","given":"Wim","dropping-particle":"de"},{"family":"Pérez-Domínguez","given":"Ignacio"},{"family":"Estrada-Carmona","given":"Natalia"},{"family":"Gerten","given":"Dieter"},{"family":"Golden","given":"Christopher D."},{"family":"Jones","given":"Sarah K."},{"family":"Jørgensen","given":"Peter Søgaard"},{"family":"Kozicka","given":"Marta"},{"family":"Lotze-Campen","given":"Hermann"},{"family":"Maggi","given":"Federico"},{"family":"Marzi","given":"Emma"},{"family":"Mishra","given":"Abhijeet"},{"family":"Orduna-Cabrera","given":"Fernando"},{"family":"Popp","given":"Alexander"},{"family":"Schulte-Uebbing","given":"Lena"},{"family":"Stehfest","given":"Elke"},{"family":"Tang","given":"Fiona H. M."},{"family":"Tsuchiya","given":"Kazuaki"},{"family":"Zanten","given":"Hannah H. E. Van"},{"family":"Zeist","given":"Willem-Jan","dropping-particle":"van"},{"family":"Zhao","given":"Xin"},{"family":"DeClerck","given":"Fabrice"}],"accessed":{"date-parts":[["2025",11,12]]},"issued":{"date-parts":[["2025",10,11]]}}}],"schema":"https://github.com/citation-style-language/schema/raw/master/csl-citation.json"} </w:instrText>
      </w:r>
      <w:r>
        <w:rPr>
          <w:rFonts w:cs="Arial"/>
          <w:color w:val="000000" w:themeColor="text1"/>
        </w:rPr>
        <w:fldChar w:fldCharType="separate"/>
      </w:r>
      <w:r w:rsidRPr="0028476C">
        <w:rPr>
          <w:rFonts w:cs="Arial"/>
          <w:vertAlign w:val="superscript"/>
        </w:rPr>
        <w:t>30</w:t>
      </w:r>
      <w:r>
        <w:rPr>
          <w:rFonts w:cs="Arial"/>
          <w:color w:val="000000" w:themeColor="text1"/>
        </w:rPr>
        <w:fldChar w:fldCharType="end"/>
      </w:r>
      <w:r w:rsidRPr="0028476C">
        <w:rPr>
          <w:rFonts w:cs="Arial"/>
          <w:color w:val="000000" w:themeColor="text1"/>
        </w:rPr>
        <w:t>. The more recent ScenarioMIP work builds on the subsequent v8 generation of GCAM</w:t>
      </w:r>
      <w:r>
        <w:rPr>
          <w:rFonts w:cs="Arial"/>
          <w:color w:val="000000" w:themeColor="text1"/>
        </w:rPr>
        <w:fldChar w:fldCharType="begin"/>
      </w:r>
      <w:r w:rsidR="004C5B30">
        <w:rPr>
          <w:rFonts w:cs="Arial"/>
          <w:color w:val="000000" w:themeColor="text1"/>
        </w:rPr>
        <w:instrText xml:space="preserve"> ADDIN ZOTERO_ITEM CSL_CITATION {"citationID":"aqsaadamoi","properties":{"unsorted":false,"formattedCitation":"\\super 31\\nosupersub{}","plainCitation":"31","noteIndex":0},"citationItems":[{"id":15886,"uris":["http://zotero.org/users/8267882/items/PTH7AV7W"],"itemData":{"id":15886,"type":"article-journal","abstract":"Scenarios serve as a critical tool in climate change analysis, enabling the exploration of future evolution of the climate system, climate impacts, and the human system (including mitigation and adaptation actions). This paper describes the scenario framework for ScenarioMIP as part of CMIP7. The design process has involved various rounds of interaction with the research community and user groups at large. The proposal covers a set of scenarios exploring high levels of climate change (to explore high-end climate risks), medium levels of climate change (anchored to current policy), and low levels of climate change (aligned with current international agreements). These scenarios follow very different trajectories in terms of emissions, with some likely to experience peaks and subsequent declines in greenhouse gas concentrations in this century. An important innovation is that most scenarios are intended to be run, if possible, in emission-driven mode, providing a better representation of the Earth system uncertainty space. The proposal also includes plans for long-term extensions (up to 2500 AD) to study long-term impacts, climate change-related processes on long timescales, and (ir)reversibility. This proposal forms the basis for further implementation of the framework in terms of the derivation of emissions and land use pathways for use by Earth system models and additional variants for adaptation and mitigation studies.","container-title":"Geoscientific Model Development","DOI":"10.5194/gmd-19-2627-2026","ISSN":"1991-959X","issue":"7","language":"English","page":"2627-2656","publisher":"Copernicus GmbH","source":"Copernicus Online Journals","title":"The Scenario Model Intercomparison Project for CMIP7 (ScenarioMIP-CMIP7)","URL":"https://gmd.copernicus.org/articles/19/2627/2026/","volume":"19","author":[{"family":"Van Vuuren","given":"Detlef P."},{"family":"O'Neill","given":"Brian C."},{"family":"Tebaldi","given":"Claudia"},{"family":"Sanderson","given":"Benjamin M."},{"family":"Chini","given":"Louise P."},{"family":"Friedlingstein","given":"Pierre"},{"family":"Hasegawa","given":"Tomoko"},{"family":"Riahi","given":"Keywan"},{"family":"Govindasamy","given":"Bala"},{"family":"Bauer","given":"Nico"},{"family":"Eyring","given":"Veronika"},{"family":"Fall","given":"Cheikh M. N."},{"family":"Frieler","given":"Katja"},{"family":"Gidden","given":"Matthew J."},{"family":"Gohar","given":"Laila K."},{"family":"Högner","given":"Annika"},{"family":"Jones","given":"Andrew D."},{"family":"Kikstra","given":"Jarmo"},{"family":"King","given":"Andrew"},{"family":"Knutti","given":"Reto"},{"family":"Kriegler","given":"Elmar"},{"family":"Lawrence","given":"Peter"},{"family":"Lennard","given":"Chris"},{"family":"Lowe","given":"Jason"},{"family":"Mathison","given":"Camilla"},{"family":"Mehmood","given":"Shahbaz"},{"family":"Nicholls","given":"Zebedee"},{"family":"Prado","given":"Luciana F."},{"family":"Zhang","given":"Qiang"},{"family":"Rose","given":"Steven K."},{"family":"Ruane","given":"Alex C."},{"family":"Sandstad","given":"Marit"},{"family":"Schleussner","given":"Carl-Friedrich"},{"family":"Seferian","given":"Roland"},{"family":"Sillmann","given":"Jana"},{"family":"Smith","given":"Chris"},{"family":"Sörensson","given":"Anna A."},{"family":"Panickal","given":"Swapna"},{"family":"Tachiiri","given":"Kaoru"},{"family":"Vaughan","given":"Naomi"},{"family":"Vishwanathan","given":"Saritha S."},{"family":"Yokohata","given":"Tokuta"},{"family":"Zecchetto","given":"Marco"},{"family":"Ziehn","given":"Tilo"}],"accessed":{"date-parts":[["2026",9,16]]},"issued":{"date-parts":[["2026",4,7]]}}}],"schema":"https://github.com/citation-style-language/schema/raw/master/csl-citation.json"} </w:instrText>
      </w:r>
      <w:r>
        <w:rPr>
          <w:rFonts w:cs="Arial"/>
          <w:color w:val="000000" w:themeColor="text1"/>
        </w:rPr>
        <w:fldChar w:fldCharType="separate"/>
      </w:r>
      <w:r w:rsidR="004C5B30" w:rsidRPr="004C5B30">
        <w:rPr>
          <w:rFonts w:cs="Arial"/>
          <w:vertAlign w:val="superscript"/>
        </w:rPr>
        <w:t>31</w:t>
      </w:r>
      <w:r>
        <w:rPr>
          <w:rFonts w:cs="Arial"/>
          <w:color w:val="000000" w:themeColor="text1"/>
        </w:rPr>
        <w:fldChar w:fldCharType="end"/>
      </w:r>
      <w:r w:rsidRPr="0028476C">
        <w:rPr>
          <w:rFonts w:cs="Arial"/>
          <w:color w:val="000000" w:themeColor="text1"/>
        </w:rPr>
        <w:t>.</w:t>
      </w:r>
    </w:p>
    <w:p w14:paraId="3130C058" w14:textId="164711D1" w:rsidR="0028476C" w:rsidRDefault="0028476C" w:rsidP="0028476C">
      <w:pPr>
        <w:spacing w:line="276" w:lineRule="auto"/>
        <w:rPr>
          <w:rFonts w:cs="Arial"/>
          <w:color w:val="000000" w:themeColor="text1"/>
        </w:rPr>
      </w:pPr>
      <w:r w:rsidRPr="0028476C">
        <w:rPr>
          <w:rFonts w:cs="Arial"/>
          <w:color w:val="000000" w:themeColor="text1"/>
        </w:rPr>
        <w:t>Over the past several model generations, substantial effort has focused on improving the consistency and traceability of GCAM</w:t>
      </w:r>
      <w:r>
        <w:rPr>
          <w:rFonts w:cs="Arial"/>
          <w:color w:val="000000" w:themeColor="text1"/>
        </w:rPr>
        <w:t>’</w:t>
      </w:r>
      <w:r w:rsidRPr="0028476C">
        <w:rPr>
          <w:rFonts w:cs="Arial"/>
          <w:color w:val="000000" w:themeColor="text1"/>
        </w:rPr>
        <w:t>s agricultural and food-system data</w:t>
      </w:r>
      <w:r w:rsidR="00BC1514">
        <w:rPr>
          <w:rStyle w:val="FootnoteReference"/>
          <w:rFonts w:cs="Arial"/>
          <w:color w:val="000000" w:themeColor="text1"/>
        </w:rPr>
        <w:footnoteReference w:id="2"/>
      </w:r>
      <w:r w:rsidRPr="0028476C">
        <w:rPr>
          <w:rFonts w:cs="Arial"/>
          <w:color w:val="000000" w:themeColor="text1"/>
        </w:rPr>
        <w:t xml:space="preserve">. </w:t>
      </w:r>
      <w:r w:rsidR="00764086">
        <w:rPr>
          <w:rFonts w:cs="Arial"/>
          <w:color w:val="000000" w:themeColor="text1"/>
        </w:rPr>
        <w:t xml:space="preserve">GCAM v7.0 </w:t>
      </w:r>
      <w:r w:rsidRPr="0028476C">
        <w:rPr>
          <w:rFonts w:cs="Arial"/>
          <w:color w:val="000000" w:themeColor="text1"/>
        </w:rPr>
        <w:t>introduced a revised agricultural data-processing framework, including harmonized FAOSTAT supply–utilization data and primary-commodity-equivalent accounting</w:t>
      </w:r>
      <w:r>
        <w:rPr>
          <w:rFonts w:cs="Arial"/>
          <w:color w:val="000000" w:themeColor="text1"/>
        </w:rPr>
        <w:fldChar w:fldCharType="begin"/>
      </w:r>
      <w:r w:rsidR="00BC1514">
        <w:rPr>
          <w:rFonts w:cs="Arial"/>
          <w:color w:val="000000" w:themeColor="text1"/>
        </w:rPr>
        <w:instrText xml:space="preserve"> ADDIN ZOTERO_ITEM CSL_CITATION {"citationID":"a2qf1ejaqf7","properties":{"unsorted":false,"formattedCitation":"\\super 32\\nosupersub{}","plainCitation":"32","noteIndex":0},"citationItems":[{"id":923,"uris":["http://zotero.org/users/8267882/items/6CGFZP53"],"itemData":{"id":923,"type":"report","DOI":"10.13140/RG.2.2.34673.29282","genre":"Core Model Proposal","number":"PNNL-34313","publisher":"Joint Global Change Research Institute, PNNL","publisher-place":"College Park, USA","title":"Core Model Proposal #360: GCAM agriculture and land use (AgLU) data and method updates: connecting land hectares to food calories","URL":"https://github.com/JGCRI/gcam-doc/blob/gh-pages/cmp/360_AgLU_data_and_methods.pdf","author":[{"family":"Zhao","given":"Xin"},{"family":"Wise","given":"Marshall"}],"accessed":{"date-parts":[["2023",6,25]]},"issued":{"date-parts":[["2023",4,24]]}}}],"schema":"https://github.com/citation-style-language/schema/raw/master/csl-citation.json"} </w:instrText>
      </w:r>
      <w:r>
        <w:rPr>
          <w:rFonts w:cs="Arial"/>
          <w:color w:val="000000" w:themeColor="text1"/>
        </w:rPr>
        <w:fldChar w:fldCharType="separate"/>
      </w:r>
      <w:r w:rsidR="004C5B30" w:rsidRPr="004C5B30">
        <w:rPr>
          <w:rFonts w:cs="Arial"/>
          <w:vertAlign w:val="superscript"/>
        </w:rPr>
        <w:t>32</w:t>
      </w:r>
      <w:r>
        <w:rPr>
          <w:rFonts w:cs="Arial"/>
          <w:color w:val="000000" w:themeColor="text1"/>
        </w:rPr>
        <w:fldChar w:fldCharType="end"/>
      </w:r>
      <w:r w:rsidRPr="0028476C">
        <w:rPr>
          <w:rFonts w:cs="Arial"/>
          <w:color w:val="000000" w:themeColor="text1"/>
        </w:rPr>
        <w:t xml:space="preserve">. Related open-source tools, including </w:t>
      </w:r>
      <w:r w:rsidRPr="0028476C">
        <w:rPr>
          <w:rFonts w:cs="Arial"/>
          <w:i/>
          <w:iCs/>
          <w:color w:val="000000" w:themeColor="text1"/>
        </w:rPr>
        <w:t>gcamfaostat</w:t>
      </w:r>
      <w:r w:rsidR="00764086">
        <w:rPr>
          <w:rFonts w:cs="Arial"/>
          <w:i/>
          <w:iCs/>
          <w:color w:val="000000" w:themeColor="text1"/>
        </w:rPr>
        <w:fldChar w:fldCharType="begin"/>
      </w:r>
      <w:r w:rsidR="004C5B30">
        <w:rPr>
          <w:rFonts w:cs="Arial"/>
          <w:i/>
          <w:iCs/>
          <w:color w:val="000000" w:themeColor="text1"/>
        </w:rPr>
        <w:instrText xml:space="preserve"> ADDIN ZOTERO_ITEM CSL_CITATION {"citationID":"a20t97mgdc4","properties":{"unsorted":false,"formattedCitation":"\\super 33\\nosupersub{}","plainCitation":"33","noteIndex":0},"citationItems":[{"id":928,"uris":["http://zotero.org/users/8267882/items/8SMWJKS9"],"itemData":{"id":928,"type":"article-journal","abstract":"Zhao et al., (2024). gcamfaostat: An R package to prepare, process, and synthesize FAOSTAT data for global agroeconomic and multisector dynamic modeling. Journal of Open Source Software, 9(96), 6388, https://doi.org/10.21105/joss.06388","container-title":"Journal of Open Source Software","DOI":"10.21105/joss.06388","ISSN":"2475-9066","issue":"96","language":"en","license":"CC0 1.0 Universal Public Domain Dedication","page":"6388","source":"joss.theoj.org","title":"gcamfaostat: An R package to prepare, process, and synthesize FAOSTAT data for global agroeconomic and multisector dynamic modeling","title-short":"gcamfaostat","URL":"https://joss.theoj.org/papers/10.21105/joss.06388","volume":"9","author":[{"family":"Zhao","given":"Xin"},{"family":"Chepeliev","given":"Maksym"},{"family":"Patel","given":"Pralit"},{"family":"Wise","given":"Marshall"},{"family":"Calvin","given":"Katherine"},{"family":"Narayan","given":"Kanishka"},{"family":"Vernon","given":"Chris"}],"accessed":{"date-parts":[["2024",5,19]]},"issued":{"date-parts":[["2024",4,22]]}}}],"schema":"https://github.com/citation-style-language/schema/raw/master/csl-citation.json"} </w:instrText>
      </w:r>
      <w:r w:rsidR="00764086">
        <w:rPr>
          <w:rFonts w:cs="Arial"/>
          <w:i/>
          <w:iCs/>
          <w:color w:val="000000" w:themeColor="text1"/>
        </w:rPr>
        <w:fldChar w:fldCharType="separate"/>
      </w:r>
      <w:r w:rsidR="004C5B30" w:rsidRPr="004C5B30">
        <w:rPr>
          <w:rFonts w:cs="Arial"/>
          <w:vertAlign w:val="superscript"/>
        </w:rPr>
        <w:t>33</w:t>
      </w:r>
      <w:r w:rsidR="00764086">
        <w:rPr>
          <w:rFonts w:cs="Arial"/>
          <w:i/>
          <w:iCs/>
          <w:color w:val="000000" w:themeColor="text1"/>
        </w:rPr>
        <w:fldChar w:fldCharType="end"/>
      </w:r>
      <w:r w:rsidRPr="0028476C">
        <w:rPr>
          <w:rFonts w:cs="Arial"/>
          <w:color w:val="000000" w:themeColor="text1"/>
        </w:rPr>
        <w:t xml:space="preserve">, and subsequent traceable food-balance datasets extended this framework and improved the ability to follow agricultural commodities through processing and utilization. Building on these advances, </w:t>
      </w:r>
      <w:r w:rsidR="00764086">
        <w:rPr>
          <w:rFonts w:cs="Arial"/>
          <w:color w:val="000000" w:themeColor="text1"/>
        </w:rPr>
        <w:t>GCAM v7.1 had</w:t>
      </w:r>
      <w:r w:rsidRPr="0028476C">
        <w:rPr>
          <w:rFonts w:cs="Arial"/>
          <w:color w:val="000000" w:themeColor="text1"/>
        </w:rPr>
        <w:t xml:space="preserve"> introduced an explicit representation of agricultural storage into GCAM, allowing inventories and associated losses to be distinguished from residual commodity uses</w:t>
      </w:r>
      <w:r>
        <w:rPr>
          <w:rFonts w:cs="Arial"/>
          <w:color w:val="000000" w:themeColor="text1"/>
        </w:rPr>
        <w:fldChar w:fldCharType="begin"/>
      </w:r>
      <w:r w:rsidR="00BC1514">
        <w:rPr>
          <w:rFonts w:cs="Arial"/>
          <w:color w:val="000000" w:themeColor="text1"/>
        </w:rPr>
        <w:instrText xml:space="preserve"> ADDIN ZOTERO_ITEM CSL_CITATION {"citationID":"a2d3f0alsd","properties":{"unsorted":false,"formattedCitation":"\\super 28\\nosupersub{}","plainCitation":"28","noteIndex":0},"citationItems":[{"id":6444,"uris":["http://zotero.org/users/8267882/items/JUX3DYE9"],"itemData":{"id":6444,"type":"report","DOI":"10.2172/3024073","number":"PNNL-36031","publisher":"Pacific Northwest National Laboratory","publisher-place":"College Park, USA","title":"Core Model Proposal #382: Representing agricultural and food storage","URL":"https://github.com/JGCRI/gcam-doc/blob/gh-pages/cmp/382-AgFoodStorage.pdf","author":[{"family":"Zhao","given":"Xin"},{"family":"Patel","given":"Pralit"},{"family":"Ellie","given":"Lochner"},{"family":"Binsted","given":"Matthew"}],"accessed":{"date-parts":[["2024",7,12]]},"issued":{"date-parts":[["2024"]]}}}],"schema":"https://github.com/citation-style-language/schema/raw/master/csl-citation.json"} </w:instrText>
      </w:r>
      <w:r>
        <w:rPr>
          <w:rFonts w:cs="Arial"/>
          <w:color w:val="000000" w:themeColor="text1"/>
        </w:rPr>
        <w:fldChar w:fldCharType="separate"/>
      </w:r>
      <w:r w:rsidR="004C5B30" w:rsidRPr="004C5B30">
        <w:rPr>
          <w:rFonts w:cs="Arial"/>
          <w:vertAlign w:val="superscript"/>
        </w:rPr>
        <w:t>28</w:t>
      </w:r>
      <w:r>
        <w:rPr>
          <w:rFonts w:cs="Arial"/>
          <w:color w:val="000000" w:themeColor="text1"/>
        </w:rPr>
        <w:fldChar w:fldCharType="end"/>
      </w:r>
      <w:r w:rsidRPr="0028476C">
        <w:rPr>
          <w:rFonts w:cs="Arial"/>
          <w:color w:val="000000" w:themeColor="text1"/>
        </w:rPr>
        <w:t>. These developments established the data and modeling foundation used in the present analysis.</w:t>
      </w:r>
    </w:p>
    <w:p w14:paraId="4F7D1DFF" w14:textId="318A04C7" w:rsidR="00764086" w:rsidRDefault="00764086" w:rsidP="0028476C">
      <w:pPr>
        <w:spacing w:line="276" w:lineRule="auto"/>
        <w:rPr>
          <w:rFonts w:cs="Arial"/>
          <w:color w:val="000000" w:themeColor="text1"/>
        </w:rPr>
      </w:pPr>
      <w:r w:rsidRPr="00764086">
        <w:rPr>
          <w:rFonts w:cs="Arial"/>
          <w:color w:val="000000" w:themeColor="text1"/>
        </w:rPr>
        <w:t xml:space="preserve">Subsequent GCAM releases further updated the broader socioeconomic and economic context in which agricultural storage operates. Recent developments include updated SSP socioeconomic drivers, a shift of the final calibration year from 2015 to 2021, and continued development of GCAM-Macro, including the KLEAM extension linking capital, </w:t>
      </w:r>
      <w:r>
        <w:rPr>
          <w:rFonts w:cs="Arial"/>
          <w:color w:val="000000" w:themeColor="text1"/>
        </w:rPr>
        <w:t>labor</w:t>
      </w:r>
      <w:r w:rsidRPr="00764086">
        <w:rPr>
          <w:rFonts w:cs="Arial"/>
          <w:color w:val="000000" w:themeColor="text1"/>
        </w:rPr>
        <w:t>, energy, agriculture</w:t>
      </w:r>
      <w:r>
        <w:rPr>
          <w:rFonts w:cs="Arial"/>
          <w:color w:val="000000" w:themeColor="text1"/>
        </w:rPr>
        <w:t>,</w:t>
      </w:r>
      <w:r w:rsidRPr="00764086">
        <w:rPr>
          <w:rFonts w:cs="Arial"/>
          <w:color w:val="000000" w:themeColor="text1"/>
        </w:rPr>
        <w:t xml:space="preserve"> and materials more explicitly within the macroeconomic framework</w:t>
      </w:r>
      <w:r w:rsidR="00BC1514">
        <w:rPr>
          <w:rFonts w:cs="Arial"/>
          <w:color w:val="000000" w:themeColor="text1"/>
        </w:rPr>
        <w:fldChar w:fldCharType="begin"/>
      </w:r>
      <w:r w:rsidR="00BC1514">
        <w:rPr>
          <w:rFonts w:cs="Arial"/>
          <w:color w:val="000000" w:themeColor="text1"/>
        </w:rPr>
        <w:instrText xml:space="preserve"> ADDIN ZOTERO_ITEM CSL_CITATION {"citationID":"a1qprd4fl73","properties":{"unsorted":false,"formattedCitation":"\\super 34\\nosupersub{}","plainCitation":"34","noteIndex":0},"citationItems":[{"id":15956,"uris":["http://zotero.org/users/8267882/items/38EQIU93"],"itemData":{"id":15956,"type":"report","abstract":"This Core Model Proposal (CMP) comprehensively restructures and updates the macroeconomic and socioeconomic modules in gcamdata. It includes visualizations of key data inputs, accounting identities, and data flows in the context of GCAM-Macro-KLEM. Major improvements include: (1) updating the Penn World Table (PWT) to version 10 and incorporating a new source, the Global Macro Database (GMD); (2) updating the SSP socioeconomics database from version 3.0.1 to 3.2; (3) introducing SSP-specific differentiation of employment and labor force data; (4) improving data integration between national accounts (from PWT, GMD, and GTAP) and GDP/population data from external sources; and (5) general data cleaning and structural refinements. We document the data sources and key assumptions used throughout the processing. These updates establish the foundation for the forthcoming KLEAM version of GCAM-macro.","title":"Core Model Proposal #411: GCAM Macro-Economic Module KLEAM and Related Agriculture Sector Updates","title-short":"Core Model Proposal #411","URL":"https://jgcri.github.io/gcam-doc/cmp/411-GCAM_Macro_KLEAM.pdf","author":[{"family":"Zhao","given":"Xin"},{"family":"Patel","given":"Pralit"},{"family":"Edmonds","given":"James"},{"family":"Sheng","given":"Di"},{"family":"Morris","given":"Stephanie"},{"family":"Bertram","given":"Christoph"},{"family":"Fawcett","given":"Allen"}],"issued":{"date-parts":[["2026",5,26]]}}}],"schema":"https://github.com/citation-style-language/schema/raw/master/csl-citation.json"} </w:instrText>
      </w:r>
      <w:r w:rsidR="00BC1514">
        <w:rPr>
          <w:rFonts w:cs="Arial"/>
          <w:color w:val="000000" w:themeColor="text1"/>
        </w:rPr>
        <w:fldChar w:fldCharType="separate"/>
      </w:r>
      <w:r w:rsidR="00BC1514" w:rsidRPr="00BC1514">
        <w:rPr>
          <w:rFonts w:cs="Arial"/>
          <w:vertAlign w:val="superscript"/>
        </w:rPr>
        <w:t>34</w:t>
      </w:r>
      <w:r w:rsidR="00BC1514">
        <w:rPr>
          <w:rFonts w:cs="Arial"/>
          <w:color w:val="000000" w:themeColor="text1"/>
        </w:rPr>
        <w:fldChar w:fldCharType="end"/>
      </w:r>
      <w:r w:rsidRPr="00764086">
        <w:rPr>
          <w:rFonts w:cs="Arial"/>
          <w:color w:val="000000" w:themeColor="text1"/>
        </w:rPr>
        <w:t xml:space="preserve">. The present study uses GCAM v9.1, publicly released in </w:t>
      </w:r>
      <w:r>
        <w:rPr>
          <w:rFonts w:cs="Arial"/>
          <w:color w:val="000000" w:themeColor="text1"/>
        </w:rPr>
        <w:t xml:space="preserve">June </w:t>
      </w:r>
      <w:r w:rsidRPr="00764086">
        <w:rPr>
          <w:rFonts w:cs="Arial"/>
          <w:color w:val="000000" w:themeColor="text1"/>
        </w:rPr>
        <w:t>2026, and therefore evaluates storage within this more recent model configuration. Although the core storage capability was introduced in an earlier GCAM release</w:t>
      </w:r>
      <w:r w:rsidR="00BC1514">
        <w:rPr>
          <w:rFonts w:cs="Arial"/>
          <w:color w:val="000000" w:themeColor="text1"/>
        </w:rPr>
        <w:fldChar w:fldCharType="begin"/>
      </w:r>
      <w:r w:rsidR="00BC1514">
        <w:rPr>
          <w:rFonts w:cs="Arial"/>
          <w:color w:val="000000" w:themeColor="text1"/>
        </w:rPr>
        <w:instrText xml:space="preserve"> ADDIN ZOTERO_ITEM CSL_CITATION {"citationID":"a18mhc5gpt7","properties":{"unsorted":false,"formattedCitation":"\\super 28\\nosupersub{}","plainCitation":"28","noteIndex":0},"citationItems":[{"id":6444,"uris":["http://zotero.org/users/8267882/items/JUX3DYE9"],"itemData":{"id":6444,"type":"report","DOI":"10.2172/3024073","number":"PNNL-36031","publisher":"Pacific Northwest National Laboratory","publisher-place":"College Park, USA","title":"Core Model Proposal #382: Representing agricultural and food storage","URL":"https://github.com/JGCRI/gcam-doc/blob/gh-pages/cmp/382-AgFoodStorage.pdf","author":[{"family":"Zhao","given":"Xin"},{"family":"Patel","given":"Pralit"},{"family":"Ellie","given":"Lochner"},{"family":"Binsted","given":"Matthew"}],"accessed":{"date-parts":[["2024",7,12]]},"issued":{"date-parts":[["2024"]]}}}],"schema":"https://github.com/citation-style-language/schema/raw/master/csl-citation.json"} </w:instrText>
      </w:r>
      <w:r w:rsidR="00BC1514">
        <w:rPr>
          <w:rFonts w:cs="Arial"/>
          <w:color w:val="000000" w:themeColor="text1"/>
        </w:rPr>
        <w:fldChar w:fldCharType="separate"/>
      </w:r>
      <w:r w:rsidR="00BC1514" w:rsidRPr="00BC1514">
        <w:rPr>
          <w:rFonts w:cs="Arial"/>
          <w:vertAlign w:val="superscript"/>
        </w:rPr>
        <w:t>28</w:t>
      </w:r>
      <w:r w:rsidR="00BC1514">
        <w:rPr>
          <w:rFonts w:cs="Arial"/>
          <w:color w:val="000000" w:themeColor="text1"/>
        </w:rPr>
        <w:fldChar w:fldCharType="end"/>
      </w:r>
      <w:r w:rsidRPr="00764086">
        <w:rPr>
          <w:rFonts w:cs="Arial"/>
          <w:color w:val="000000" w:themeColor="text1"/>
        </w:rPr>
        <w:t xml:space="preserve">, we further refine its implementation and </w:t>
      </w:r>
      <w:r>
        <w:rPr>
          <w:rFonts w:cs="Arial"/>
          <w:color w:val="000000" w:themeColor="text1"/>
        </w:rPr>
        <w:t>design scenarios</w:t>
      </w:r>
      <w:r w:rsidRPr="00764086">
        <w:rPr>
          <w:rFonts w:cs="Arial"/>
          <w:color w:val="000000" w:themeColor="text1"/>
        </w:rPr>
        <w:t xml:space="preserve"> to distinguish the long-term structural effects of explicit stock accounting from the role of endogenous inventories in shock transmission. </w:t>
      </w:r>
    </w:p>
    <w:p w14:paraId="747D58A5" w14:textId="77777777" w:rsidR="00764086" w:rsidRDefault="00764086" w:rsidP="0028476C">
      <w:pPr>
        <w:spacing w:line="276" w:lineRule="auto"/>
        <w:rPr>
          <w:rFonts w:cs="Arial"/>
          <w:color w:val="000000" w:themeColor="text1"/>
        </w:rPr>
      </w:pPr>
    </w:p>
    <w:p w14:paraId="19BC06FB" w14:textId="716DDF60" w:rsidR="00983273" w:rsidRPr="008066ED" w:rsidRDefault="00983273" w:rsidP="0028476C">
      <w:pPr>
        <w:spacing w:line="276" w:lineRule="auto"/>
        <w:rPr>
          <w:rFonts w:eastAsiaTheme="minorEastAsia" w:cs="Arial"/>
          <w:b/>
          <w:iCs/>
        </w:rPr>
      </w:pPr>
      <w:bookmarkStart w:id="28" w:name="_Ref162452861"/>
      <w:r w:rsidRPr="008066ED">
        <w:rPr>
          <w:rFonts w:eastAsiaTheme="minorEastAsia" w:cs="Arial"/>
        </w:rPr>
        <w:br w:type="page"/>
      </w:r>
    </w:p>
    <w:p w14:paraId="6D09DA7A" w14:textId="6A6C0655" w:rsidR="008C6C6E" w:rsidRPr="008C6C6E" w:rsidRDefault="008C6C6E" w:rsidP="00C47468">
      <w:pPr>
        <w:pStyle w:val="Caption"/>
        <w:rPr>
          <w:bCs/>
          <w:vanish/>
          <w:specVanish/>
        </w:rPr>
      </w:pPr>
      <w:bookmarkStart w:id="29" w:name="_Toc241138216"/>
      <w:bookmarkEnd w:id="28"/>
      <w:r w:rsidRPr="008C6C6E">
        <w:lastRenderedPageBreak/>
        <w:t xml:space="preserve">Supplementary Table </w:t>
      </w:r>
      <w:fldSimple w:instr=" SEQ Table \* ARABIC ">
        <w:r w:rsidR="003E354C">
          <w:rPr>
            <w:noProof/>
          </w:rPr>
          <w:t>6</w:t>
        </w:r>
      </w:fldSimple>
      <w:r w:rsidRPr="008C6C6E">
        <w:t xml:space="preserve"> | S</w:t>
      </w:r>
      <w:r w:rsidRPr="00067BD2">
        <w:rPr>
          <w:bCs/>
        </w:rPr>
        <w:t>ummary of storage cost estimates.</w:t>
      </w:r>
      <w:bookmarkEnd w:id="29"/>
    </w:p>
    <w:p w14:paraId="6ED269ED" w14:textId="6E3517AF" w:rsidR="008C6C6E" w:rsidRPr="00067BD2" w:rsidRDefault="008C6C6E" w:rsidP="00C47468">
      <w:pPr>
        <w:spacing w:line="240" w:lineRule="auto"/>
        <w:rPr>
          <w:rFonts w:cs="Arial"/>
        </w:rPr>
      </w:pPr>
      <w:r>
        <w:rPr>
          <w:rFonts w:cs="Arial"/>
        </w:rPr>
        <w:t xml:space="preserve"> </w:t>
      </w:r>
      <w:r w:rsidRPr="00067BD2">
        <w:rPr>
          <w:rFonts w:cs="Arial"/>
        </w:rPr>
        <w:t>Given this range of estimates across regions and technologies, we adopt a conservative uniform interannual storage cost of 3% of producer prices in the baseline specification.</w:t>
      </w:r>
    </w:p>
    <w:tbl>
      <w:tblPr>
        <w:tblStyle w:val="GridTable2-Accent3"/>
        <w:tblW w:w="5000" w:type="pct"/>
        <w:tblBorders>
          <w:top w:val="single" w:sz="4" w:space="0" w:color="auto"/>
          <w:bottom w:val="single" w:sz="4" w:space="0" w:color="auto"/>
          <w:insideH w:val="none" w:sz="0" w:space="0" w:color="auto"/>
          <w:insideV w:val="none" w:sz="0" w:space="0" w:color="auto"/>
        </w:tblBorders>
        <w:tblLayout w:type="fixed"/>
        <w:tblLook w:val="0420" w:firstRow="1" w:lastRow="0" w:firstColumn="0" w:lastColumn="0" w:noHBand="0" w:noVBand="1"/>
      </w:tblPr>
      <w:tblGrid>
        <w:gridCol w:w="1248"/>
        <w:gridCol w:w="7338"/>
        <w:gridCol w:w="2214"/>
      </w:tblGrid>
      <w:tr w:rsidR="008C6C6E" w:rsidRPr="00067BD2" w14:paraId="0B0D1BED" w14:textId="77777777" w:rsidTr="00212A06">
        <w:trPr>
          <w:cnfStyle w:val="100000000000" w:firstRow="1" w:lastRow="0" w:firstColumn="0" w:lastColumn="0" w:oddVBand="0" w:evenVBand="0" w:oddHBand="0" w:evenHBand="0" w:firstRowFirstColumn="0" w:firstRowLastColumn="0" w:lastRowFirstColumn="0" w:lastRowLastColumn="0"/>
          <w:trHeight w:val="432"/>
        </w:trPr>
        <w:tc>
          <w:tcPr>
            <w:tcW w:w="578" w:type="pct"/>
            <w:tcBorders>
              <w:top w:val="single" w:sz="4" w:space="0" w:color="auto"/>
              <w:bottom w:val="single" w:sz="4" w:space="0" w:color="auto"/>
              <w:right w:val="none" w:sz="0" w:space="0" w:color="auto"/>
            </w:tcBorders>
            <w:noWrap/>
            <w:vAlign w:val="center"/>
            <w:hideMark/>
          </w:tcPr>
          <w:p w14:paraId="193691A0" w14:textId="77777777" w:rsidR="008C6C6E" w:rsidRPr="00067BD2" w:rsidRDefault="008C6C6E" w:rsidP="00212A06">
            <w:pPr>
              <w:jc w:val="center"/>
              <w:rPr>
                <w:rFonts w:cs="Arial"/>
                <w:color w:val="000000"/>
              </w:rPr>
            </w:pPr>
            <w:r w:rsidRPr="00067BD2">
              <w:rPr>
                <w:rFonts w:cs="Arial"/>
                <w:color w:val="000000"/>
              </w:rPr>
              <w:t>Region</w:t>
            </w:r>
          </w:p>
        </w:tc>
        <w:tc>
          <w:tcPr>
            <w:tcW w:w="3397" w:type="pct"/>
            <w:tcBorders>
              <w:top w:val="single" w:sz="4" w:space="0" w:color="auto"/>
              <w:left w:val="none" w:sz="0" w:space="0" w:color="auto"/>
              <w:bottom w:val="single" w:sz="4" w:space="0" w:color="auto"/>
              <w:right w:val="none" w:sz="0" w:space="0" w:color="auto"/>
            </w:tcBorders>
            <w:noWrap/>
            <w:vAlign w:val="center"/>
            <w:hideMark/>
          </w:tcPr>
          <w:p w14:paraId="5D7D6996" w14:textId="77777777" w:rsidR="008C6C6E" w:rsidRPr="00067BD2" w:rsidRDefault="008C6C6E" w:rsidP="00212A06">
            <w:pPr>
              <w:jc w:val="center"/>
              <w:rPr>
                <w:rFonts w:cs="Arial"/>
                <w:color w:val="000000"/>
              </w:rPr>
            </w:pPr>
            <w:r w:rsidRPr="00067BD2">
              <w:rPr>
                <w:rFonts w:cs="Arial"/>
                <w:color w:val="000000"/>
              </w:rPr>
              <w:t>Description of interannual storage cost share</w:t>
            </w:r>
          </w:p>
        </w:tc>
        <w:tc>
          <w:tcPr>
            <w:tcW w:w="1025" w:type="pct"/>
            <w:tcBorders>
              <w:top w:val="single" w:sz="4" w:space="0" w:color="auto"/>
              <w:left w:val="none" w:sz="0" w:space="0" w:color="auto"/>
              <w:bottom w:val="single" w:sz="4" w:space="0" w:color="auto"/>
            </w:tcBorders>
            <w:vAlign w:val="center"/>
          </w:tcPr>
          <w:p w14:paraId="2F487DC1" w14:textId="77777777" w:rsidR="008C6C6E" w:rsidRPr="00067BD2" w:rsidRDefault="008C6C6E" w:rsidP="00212A06">
            <w:pPr>
              <w:jc w:val="center"/>
              <w:rPr>
                <w:rFonts w:cs="Arial"/>
                <w:color w:val="000000"/>
              </w:rPr>
            </w:pPr>
            <w:r w:rsidRPr="00067BD2">
              <w:rPr>
                <w:rFonts w:cs="Arial"/>
                <w:color w:val="000000"/>
              </w:rPr>
              <w:t>Source</w:t>
            </w:r>
          </w:p>
        </w:tc>
      </w:tr>
      <w:tr w:rsidR="008C6C6E" w:rsidRPr="00067BD2" w14:paraId="18E6202E" w14:textId="77777777" w:rsidTr="00212A06">
        <w:trPr>
          <w:cnfStyle w:val="000000100000" w:firstRow="0" w:lastRow="0" w:firstColumn="0" w:lastColumn="0" w:oddVBand="0" w:evenVBand="0" w:oddHBand="1" w:evenHBand="0" w:firstRowFirstColumn="0" w:firstRowLastColumn="0" w:lastRowFirstColumn="0" w:lastRowLastColumn="0"/>
          <w:trHeight w:val="3024"/>
        </w:trPr>
        <w:tc>
          <w:tcPr>
            <w:tcW w:w="578" w:type="pct"/>
            <w:tcBorders>
              <w:top w:val="single" w:sz="4" w:space="0" w:color="auto"/>
            </w:tcBorders>
            <w:noWrap/>
            <w:vAlign w:val="center"/>
          </w:tcPr>
          <w:p w14:paraId="10F4F92A" w14:textId="77777777" w:rsidR="008C6C6E" w:rsidRPr="00067BD2" w:rsidRDefault="008C6C6E" w:rsidP="00212A06">
            <w:pPr>
              <w:rPr>
                <w:rFonts w:cs="Arial"/>
                <w:color w:val="000000"/>
              </w:rPr>
            </w:pPr>
            <w:r w:rsidRPr="00067BD2">
              <w:rPr>
                <w:rFonts w:cs="Arial"/>
                <w:color w:val="000000"/>
              </w:rPr>
              <w:t>USA (&amp; developed regions)</w:t>
            </w:r>
          </w:p>
        </w:tc>
        <w:tc>
          <w:tcPr>
            <w:tcW w:w="3397" w:type="pct"/>
            <w:tcBorders>
              <w:top w:val="single" w:sz="4" w:space="0" w:color="auto"/>
            </w:tcBorders>
            <w:noWrap/>
            <w:vAlign w:val="center"/>
          </w:tcPr>
          <w:p w14:paraId="21077E3A" w14:textId="77777777" w:rsidR="008C6C6E" w:rsidRPr="00067BD2" w:rsidRDefault="008C6C6E" w:rsidP="00212A06">
            <w:pPr>
              <w:rPr>
                <w:rFonts w:cs="Arial"/>
                <w:color w:val="000000"/>
              </w:rPr>
            </w:pPr>
            <w:r w:rsidRPr="00067BD2">
              <w:rPr>
                <w:rFonts w:cs="Arial"/>
                <w:color w:val="000000"/>
              </w:rPr>
              <w:t>In the USA and other developed regions, advanced storage technologies (e.g., grain bins with drying systems), either on-farm or commercially rented, are commonly employed. Several extension studies have outlined the calculation of the levelized cost for grain storage using grain bins. Based on the values provided by Edwards et al. (2014), the one-year storage cost for corn ranges from $0.8 to $1.1 per bushel, constituting approximately 11% to 13% of the producer prices (as of 2015). Assuming that approximately half of annual storage reflects interannual carryover, the implied interannual cost share is 3%–7%. The storage cost for soybeans is slightly lower than that for corn, with a comparable “interannual” cost share of 3% to 5%.</w:t>
            </w:r>
          </w:p>
        </w:tc>
        <w:tc>
          <w:tcPr>
            <w:tcW w:w="1025" w:type="pct"/>
            <w:tcBorders>
              <w:top w:val="single" w:sz="4" w:space="0" w:color="auto"/>
            </w:tcBorders>
            <w:vAlign w:val="center"/>
          </w:tcPr>
          <w:p w14:paraId="378232DD" w14:textId="65A06076" w:rsidR="008C6C6E" w:rsidRPr="00067BD2" w:rsidRDefault="008C6C6E" w:rsidP="00212A06">
            <w:pPr>
              <w:rPr>
                <w:rFonts w:cs="Arial"/>
                <w:color w:val="000000"/>
              </w:rPr>
            </w:pPr>
            <w:r w:rsidRPr="00067BD2">
              <w:rPr>
                <w:rFonts w:cs="Arial"/>
                <w:color w:val="000000"/>
              </w:rPr>
              <w:t>(Duncan et al., 2022; Edwards, 2014)</w:t>
            </w:r>
            <w:r w:rsidRPr="00067BD2">
              <w:rPr>
                <w:rFonts w:cs="Arial"/>
                <w:color w:val="000000"/>
              </w:rPr>
              <w:fldChar w:fldCharType="begin"/>
            </w:r>
            <w:r w:rsidR="00BC1514">
              <w:rPr>
                <w:rFonts w:cs="Arial"/>
                <w:color w:val="000000"/>
              </w:rPr>
              <w:instrText xml:space="preserve"> ADDIN ZOTERO_ITEM CSL_CITATION {"citationID":"MrCHXHL4","properties":{"formattedCitation":"\\super 35,36\\nosupersub{}","plainCitation":"35,36","noteIndex":0},"citationItems":[{"id":891,"uris":["http://zotero.org/users/8267882/items/RFJM484X"],"itemData":{"id":891,"type":"article-journal","language":"en","source":"Zotero","title":"Estimating Costs for Grain Storage: Bags and Bins","URL":"https://extension.tennessee.edu/publications/Documents/W1060.pdf","author":[{"family":"Duncan","given":"W Hence"},{"family":"Smith","given":"S Aaron"},{"family":"Narayanan","given":"Christopher R"},{"family":"Martinez","given":"Charles C"}],"issued":{"date-parts":[["2022"]]}}},{"id":888,"uris":["http://zotero.org/users/8267882/items/T5MK9CVC"],"itemData":{"id":888,"type":"article-journal","container-title":"Ag Decision Maker","language":"en","source":"Zotero","title":"Cost of Storing Grain","URL":"https://www.extension.iastate.edu/agdm/wholefarm/html/c2-24.html","author":[{"family":"Edwards","given":"William"}],"issued":{"date-parts":[["2014"]]}}}],"schema":"https://github.com/citation-style-language/schema/raw/master/csl-citation.json"} </w:instrText>
            </w:r>
            <w:r w:rsidRPr="00067BD2">
              <w:rPr>
                <w:rFonts w:cs="Arial"/>
                <w:color w:val="000000"/>
              </w:rPr>
              <w:fldChar w:fldCharType="separate"/>
            </w:r>
            <w:r w:rsidR="00BC1514" w:rsidRPr="00BC1514">
              <w:rPr>
                <w:rFonts w:cs="Arial"/>
                <w:vertAlign w:val="superscript"/>
              </w:rPr>
              <w:t>35,36</w:t>
            </w:r>
            <w:r w:rsidRPr="00067BD2">
              <w:rPr>
                <w:rFonts w:cs="Arial"/>
                <w:color w:val="000000"/>
              </w:rPr>
              <w:fldChar w:fldCharType="end"/>
            </w:r>
          </w:p>
        </w:tc>
      </w:tr>
      <w:tr w:rsidR="008C6C6E" w:rsidRPr="00067BD2" w14:paraId="339B2B3B" w14:textId="77777777" w:rsidTr="00212A06">
        <w:trPr>
          <w:trHeight w:val="1296"/>
        </w:trPr>
        <w:tc>
          <w:tcPr>
            <w:tcW w:w="578" w:type="pct"/>
            <w:noWrap/>
            <w:vAlign w:val="center"/>
          </w:tcPr>
          <w:p w14:paraId="4F6D3AA9" w14:textId="77777777" w:rsidR="008C6C6E" w:rsidRPr="00067BD2" w:rsidRDefault="008C6C6E" w:rsidP="00212A06">
            <w:pPr>
              <w:rPr>
                <w:rFonts w:cs="Arial"/>
                <w:color w:val="000000"/>
              </w:rPr>
            </w:pPr>
            <w:r w:rsidRPr="00067BD2">
              <w:rPr>
                <w:rFonts w:cs="Arial"/>
                <w:color w:val="000000"/>
              </w:rPr>
              <w:t>Arab Countries /Middle East</w:t>
            </w:r>
          </w:p>
        </w:tc>
        <w:tc>
          <w:tcPr>
            <w:tcW w:w="3397" w:type="pct"/>
            <w:noWrap/>
            <w:vAlign w:val="center"/>
          </w:tcPr>
          <w:p w14:paraId="2C7036D8" w14:textId="2F98A347" w:rsidR="008C6C6E" w:rsidRPr="00067BD2" w:rsidRDefault="008C6C6E" w:rsidP="00212A06">
            <w:pPr>
              <w:rPr>
                <w:rFonts w:cs="Arial"/>
                <w:color w:val="000000"/>
              </w:rPr>
            </w:pPr>
            <w:r w:rsidRPr="00067BD2">
              <w:rPr>
                <w:rFonts w:cs="Arial"/>
                <w:color w:val="000000"/>
              </w:rPr>
              <w:t xml:space="preserve">The marginal storage cost in 2009 ranged from $1.69 (Jordan) to $3.47 (Tunisia) per ton per month for grains. Converted to 2015 USD and annualized, and assuming half of </w:t>
            </w:r>
            <w:r w:rsidR="00834192">
              <w:rPr>
                <w:rFonts w:cs="Arial"/>
                <w:color w:val="000000"/>
              </w:rPr>
              <w:t xml:space="preserve">the </w:t>
            </w:r>
            <w:r w:rsidRPr="00067BD2">
              <w:rPr>
                <w:rFonts w:cs="Arial"/>
                <w:color w:val="000000"/>
              </w:rPr>
              <w:t>storage duration reflects interannual carryover, the implied cost share is 2%–4.5% of producer prices.</w:t>
            </w:r>
          </w:p>
        </w:tc>
        <w:tc>
          <w:tcPr>
            <w:tcW w:w="1025" w:type="pct"/>
            <w:vAlign w:val="center"/>
          </w:tcPr>
          <w:p w14:paraId="67F4C0F3" w14:textId="649B9241" w:rsidR="008C6C6E" w:rsidRPr="00067BD2" w:rsidRDefault="008C6C6E" w:rsidP="00212A06">
            <w:pPr>
              <w:rPr>
                <w:rFonts w:cs="Arial"/>
                <w:color w:val="000000"/>
              </w:rPr>
            </w:pPr>
            <w:r w:rsidRPr="00067BD2">
              <w:rPr>
                <w:rFonts w:cs="Arial"/>
                <w:color w:val="000000"/>
              </w:rPr>
              <w:t>(David, 2012; Larson et al., 2014)</w:t>
            </w:r>
            <w:r w:rsidRPr="00067BD2">
              <w:rPr>
                <w:rFonts w:cs="Arial"/>
                <w:color w:val="000000"/>
              </w:rPr>
              <w:fldChar w:fldCharType="begin"/>
            </w:r>
            <w:r w:rsidR="00BC1514">
              <w:rPr>
                <w:rFonts w:cs="Arial"/>
                <w:color w:val="000000"/>
              </w:rPr>
              <w:instrText xml:space="preserve"> ADDIN ZOTERO_ITEM CSL_CITATION {"citationID":"xr3Mb3F6","properties":{"formattedCitation":"\\super 37,38\\nosupersub{}","plainCitation":"37,38","noteIndex":0},"citationItems":[{"id":892,"uris":["http://zotero.org/users/8267882/items/BBKDPAXY"],"itemData":{"id":892,"type":"report","abstract":"The grain chain : food security and\n            managing wheat imports in Arab countries (English)","genre":"Text/HTML","language":"en","title":"The grain chain : food security and managing wheat imports in Arab countries","title-short":"The grain chain","URL":"https://documents.worldbank.org/en/publication/documents-reports/documentdetail/172941468299064537/The-grain-chain-food-security-and-managing-wheat-imports-in-Arab-countries","author":[{"family":"David","given":"Battat","suffix":"Michelle L. ,Erekat,Dana Mohamed,Lampietti,Julian A. ,De Hartog,Arnold H. ,Michaels,Sean"}],"accessed":{"date-parts":[["2023",10,3]]},"issued":{"date-parts":[["2012"]]}}},{"id":895,"uris":["http://zotero.org/users/8267882/items/VV3PAQ5P"],"itemData":{"id":895,"type":"article-journal","abstract":"In times of highly volatile commodity markets, governments often try to protect their populations from rapidly rising food prices, which can be particularly harmful for the poor. A potential solution for food-deficit countries is to hold strategic reserves that can be called on when international prices spike. But how large should strategic stockpiles be, and what rules should govern their release? In this paper, we develop a dynamic competitive storage model for wheat in the Middle East and North Africa region, where imported wheat is the most significant component of the average diet. We analyze a strategy that sets aside wheat stockpiles, which can be used to keep domestic prices below a targeted price. Our analysis shows that if the target price is set high and reserves are adequate, the strategy can be effective and robust. Contrary to most interventions, strategic storage policies are counter-cyclical, and when the importing region is sufficiently large, a regional policy can smooth global prices. Simulations indicate that this is the case for the Middle East and North Africa region. Nevertheless, the policy is more costly than a procyclical policy similar to food stamps that uses targeted transfers to directly offset high prices with a subsidy.","container-title":"The World Bank Economic Review","DOI":"10.1093/wber/lht015","ISSN":"0258-6770","issue":"1","journalAbbreviation":"The World Bank Economic Review","page":"48-73","source":"Silverchair","title":"Food Security and Storage in the Middle East and North Africa","URL":"https://doi.org/10.1093/wber/lht015","volume":"28","author":[{"family":"Larson","given":"Donald F."},{"family":"Lampietti","given":"Julian"},{"family":"Gouel","given":"Christophe"},{"family":"Cafiero","given":"Carlo"},{"family":"Roberts","given":"John"}],"accessed":{"date-parts":[["2023",10,3]]},"issued":{"date-parts":[["2014",1,1]]}}}],"schema":"https://github.com/citation-style-language/schema/raw/master/csl-citation.json"} </w:instrText>
            </w:r>
            <w:r w:rsidRPr="00067BD2">
              <w:rPr>
                <w:rFonts w:cs="Arial"/>
                <w:color w:val="000000"/>
              </w:rPr>
              <w:fldChar w:fldCharType="separate"/>
            </w:r>
            <w:r w:rsidR="00BC1514" w:rsidRPr="00BC1514">
              <w:rPr>
                <w:rFonts w:cs="Arial"/>
                <w:vertAlign w:val="superscript"/>
              </w:rPr>
              <w:t>37,38</w:t>
            </w:r>
            <w:r w:rsidRPr="00067BD2">
              <w:rPr>
                <w:rFonts w:cs="Arial"/>
                <w:color w:val="000000"/>
              </w:rPr>
              <w:fldChar w:fldCharType="end"/>
            </w:r>
          </w:p>
        </w:tc>
      </w:tr>
      <w:tr w:rsidR="008C6C6E" w:rsidRPr="00067BD2" w14:paraId="0741E3CF" w14:textId="77777777" w:rsidTr="00212A06">
        <w:trPr>
          <w:cnfStyle w:val="000000100000" w:firstRow="0" w:lastRow="0" w:firstColumn="0" w:lastColumn="0" w:oddVBand="0" w:evenVBand="0" w:oddHBand="1" w:evenHBand="0" w:firstRowFirstColumn="0" w:firstRowLastColumn="0" w:lastRowFirstColumn="0" w:lastRowLastColumn="0"/>
          <w:trHeight w:val="2736"/>
        </w:trPr>
        <w:tc>
          <w:tcPr>
            <w:tcW w:w="578" w:type="pct"/>
            <w:noWrap/>
            <w:vAlign w:val="center"/>
          </w:tcPr>
          <w:p w14:paraId="62D6410F" w14:textId="77777777" w:rsidR="008C6C6E" w:rsidRPr="00067BD2" w:rsidRDefault="008C6C6E" w:rsidP="00212A06">
            <w:pPr>
              <w:rPr>
                <w:rFonts w:cs="Arial"/>
                <w:color w:val="000000"/>
              </w:rPr>
            </w:pPr>
            <w:r w:rsidRPr="00067BD2">
              <w:rPr>
                <w:rFonts w:cs="Arial"/>
                <w:color w:val="000000"/>
              </w:rPr>
              <w:t>African countries</w:t>
            </w:r>
          </w:p>
        </w:tc>
        <w:tc>
          <w:tcPr>
            <w:tcW w:w="3397" w:type="pct"/>
            <w:noWrap/>
            <w:vAlign w:val="center"/>
          </w:tcPr>
          <w:p w14:paraId="508AD95B" w14:textId="3021782C" w:rsidR="008C6C6E" w:rsidRPr="00067BD2" w:rsidRDefault="008C6C6E" w:rsidP="00212A06">
            <w:pPr>
              <w:rPr>
                <w:rFonts w:cs="Arial"/>
                <w:color w:val="000000"/>
              </w:rPr>
            </w:pPr>
            <w:r w:rsidRPr="00067BD2">
              <w:rPr>
                <w:rFonts w:cs="Arial"/>
                <w:color w:val="000000"/>
              </w:rPr>
              <w:t xml:space="preserve">In Africa and other </w:t>
            </w:r>
            <w:r w:rsidR="00412613">
              <w:rPr>
                <w:rFonts w:cs="Arial"/>
                <w:color w:val="000000"/>
              </w:rPr>
              <w:t>lower-income</w:t>
            </w:r>
            <w:r w:rsidRPr="00067BD2">
              <w:rPr>
                <w:rFonts w:cs="Arial"/>
                <w:color w:val="000000"/>
              </w:rPr>
              <w:t xml:space="preserve"> regions, crop storage practices tend to be less efficient, leading to relatively higher losses. Recently, Purdue Improved Crop Storage (PICS) bags were developed to enhance grain storage, reducing losses in African regions at a lower capital cost. The cost is approximately $12.5 per ton per year, whereas standard bags cost $1.7 per ton per year. Even with a 100% overhead cost assumption, storage costs using standard bags would be about 1.2% of producer prices. Hermetic storage technologies imply higher cost shares (5%–8%), though with lower loss rates. If we assume 50% of the cost to be “interannual”, the overall cost would be in the range of 1% to 4%.</w:t>
            </w:r>
          </w:p>
        </w:tc>
        <w:tc>
          <w:tcPr>
            <w:tcW w:w="1025" w:type="pct"/>
            <w:vAlign w:val="center"/>
          </w:tcPr>
          <w:p w14:paraId="79C14A07" w14:textId="1C4EC622" w:rsidR="008C6C6E" w:rsidRPr="00067BD2" w:rsidRDefault="008C6C6E" w:rsidP="00212A06">
            <w:pPr>
              <w:rPr>
                <w:rFonts w:cs="Arial"/>
                <w:color w:val="000000"/>
              </w:rPr>
            </w:pPr>
            <w:r w:rsidRPr="00067BD2">
              <w:rPr>
                <w:rFonts w:cs="Arial"/>
                <w:color w:val="000000"/>
              </w:rPr>
              <w:t>(Baributsa et al., 2015; Dijkink et al., 2022; Kotu et al., 2019; Manandhar et al., 2018; Ndegwa et al., 2016; Sudini et al., 2015)</w:t>
            </w:r>
            <w:r w:rsidRPr="00067BD2">
              <w:rPr>
                <w:rFonts w:cs="Arial"/>
                <w:color w:val="000000"/>
              </w:rPr>
              <w:fldChar w:fldCharType="begin"/>
            </w:r>
            <w:r w:rsidR="00BC1514">
              <w:rPr>
                <w:rFonts w:cs="Arial"/>
                <w:color w:val="000000"/>
              </w:rPr>
              <w:instrText xml:space="preserve"> ADDIN ZOTERO_ITEM CSL_CITATION {"citationID":"dApMjDdA","properties":{"formattedCitation":"\\super 39\\uc0\\u8211{}44\\nosupersub{}","plainCitation":"39–44","noteIndex":0},"citationItems":[{"id":889,"uris":["http://zotero.org/users/8267882/items/KWPNUZAA"],"itemData":{"id":889,"type":"article-journal","language":"en","source":"Zotero","title":"Using and Recycling Purdue Improved Crop Storage (PICS) Bags","author":[{"family":"Baributsa","given":"D"},{"family":"Baoua","given":"I"},{"family":"Djibo","given":"K"},{"family":"Murdock","given":"L"}],"issued":{"date-parts":[["2015"]]}}},{"id":894,"uris":["http://zotero.org/users/8267882/items/7D8RXL83"],"itemData":{"id":894,"type":"article-journal","abstract":"During storage, cereals and legumes are vulnerable to insects, rodents, and fungi, which can cause loss of weight, damage or discoloration of products, and/or toxin formation. Hermetic bags can prevent excessive insect infestation, and toxin formation. This paper presents an analysis of the effects of hermetic bags for the storage of maize on food loss reduction by insects and on net greenhouse gas (GHG) emissions, based on practical data from field trials. Their economic feasibility, by optimizing the total income in markets with different price seasonalities in different Sub-Saharan African countries, is analyzed. The data of five field trials were combined and put in classes of 50 days of increasing storage time to get a realistic loss of produce during storage using regular bags (with or without the use of pesticides) and hermetic bags. The maize for storage trials were used as is, bought locally or used direct from the field. Scenario studies with standard storage, standard storage combined with pesticides and hermetic bag storage show significant losses by insects after 100 storage days for standard and standard with pesticides storage, whereas with hermetic bags, product losses are kept to a minimum of 2%. The economic analysis shows less clear-cut outcomes: the interventions' effectiveness depends largely on the rate of seasonal price fluctuation of the commodity. For farmers' personal consumption, when the quality is less critical, the use of hermetic bags is only more economical compared with other methods of storage for produce kept over 100 days. Since the quality of maize is well-preserved by the hermetic bag, the return on the investment is shorter when the maize is sold at the market. However, for countries with a low seasonal price gap, the investment cannot be recouped. As the use of hermetic bags is a good intervention for preventing food loss, it is best promoted not only for providing direct profits to farmers but also for health benefits, as bag use implies a lower need for pesticides and a possible reduction in aflatoxin intake.","container-title":"Frontiers in Sustainable Food Systems","ISSN":"2571-581X","source":"Frontiers","title":"Hermetic Bags for the Storage of Maize: Perspectives on Economics, Food Security and Greenhouse Gas Emissions in Different Sub-Saharan African Countries","title-short":"Hermetic Bags for the Storage of Maize","URL":"https://www.frontiersin.org/articles/10.3389/fsufs.2022.767089","volume":"6","author":[{"family":"Dijkink","given":"Bert"},{"family":"Broeze","given":"Jan"},{"family":"Vollebregt","given":"Martijntje"}],"accessed":{"date-parts":[["2023",10,3]]},"issued":{"date-parts":[["2022"]]}}},{"id":120,"uris":["http://zotero.org/users/8267882/items/927PNPZB"],"itemData":{"id":120,"type":"article-journal","abstract":"This study assesses the profitability of selected improved grain storage technologies and the potential impact of their adoption on food security and income of smallholder maize producers in Tanzania. We used on-farm experiment data, time series maize price data, and household survey data to address the objectives. For the improved technologies, we considered Purdue Improved Crop Storage (PICS) bags, metallic silos of different sizes, and polypropylene (PP) bags treated with Actellic Super®. We compared them with PP bags without insecticide treatment as the control. Results show that PICS bags and PP bags plus Actellic Super are profitable in all locations and not significantly different. While the feasible period varies by location, profit is most likely negative if farmers sell their maize in the first two months after harvest and in the last two months before the next harvest. There are mixed results with regards to the profitability of metallic silos; bigger silos are profitable for farmers who have economies of scale to use them while smaller ones are profitable only within the context of higher grain price and bigger seasonal price gap. The results also show that PICS bags (or PP bags plus Actellic Super) are useful to address food security and income objectives among poor rural households whereas metallic silos with bigger storage capacity can increase the income of those farmers who have bigger surplus grain to sale.","container-title":"Journal of Stored Products Research","DOI":"10.1016/j.jspr.2019.04.003","ISSN":"0022-474X","journalAbbreviation":"Journal of Stored Products Research","language":"en","page":"98-109","source":"ScienceDirect","title":"Exploring the profitability of improved storage technologies and their potential impacts on food security and income of smallholder farm households in Tanzania","URL":"https://www.sciencedirect.com/science/article/pii/S0022474X18301814","volume":"82","author":[{"family":"Kotu","given":"Bekele Hundie"},{"family":"Abass","given":"Adebayo B."},{"family":"Hoeschle-Zeledon","given":"Irmgard"},{"family":"Mbwambo","given":"Hanney"},{"family":"Bekunda","given":"Mateete"}],"accessed":{"date-parts":[["2021",9,19]]},"issued":{"date-parts":[["2019",6,1]]}}},{"id":883,"uris":["http://zotero.org/users/8267882/items/ICGM6DPC"],"itemData":{"id":883,"type":"article-journal","abstract":"Grain storage loss is a major contributor to post-harvest losses and is one of the main causes of food insecurity for smallholder farmers in developing countries. Thus, the objective of this review is to assess the conventional and emerging grain storage practices for smallholder farmers in developing countries and highlight their most promising features and drawbacks. Smallholder farmers in developing countries use conventional grain storage structures and handling systems such as woven bags or cribs to store grain. However, they are ineffective against mold and insects already present in the grain before storage. Different chemicals are also mixed with grain to improve grain storability. Hermetic storage systems are effective alternatives for grain storage as they have minimal storage losses without using any chemicals. However, hermetic bags are prone to damage and hermetic metal silos are cost-prohibitive to most smallholder farmers in developing countries. Thus, an ideal grain storage system for smallholder farmers should be hermetically sealable, mechanically durable, and cost-effective compared to the conventional storage options. Such a storage system will help reduce grain storage losses, maintain grain quality and contribute to reducing food insecurity for smallholder farmers in developing countries.","container-title":"Agriculture","DOI":"10.3390/agriculture8040057","ISSN":"2077-0472","issue":"4","language":"en","license":"http://creativecommons.org/licenses/by/3.0/","note":"number: 4","page":"57","publisher":"Multidisciplinary Digital Publishing Institute","source":"www.mdpi.com","title":"An Overview of the Post-Harvest Grain Storage Practices of Smallholder Farmers in Developing Countries","URL":"https://www.mdpi.com/2077-0472/8/4/57","volume":"8","author":[{"family":"Manandhar","given":"Ashish"},{"family":"Milindi","given":"Paschal"},{"family":"Shah","given":"Ajay"}],"accessed":{"date-parts":[["2023",10,3]]},"issued":{"date-parts":[["2018",4]]}}},{"id":885,"uris":["http://zotero.org/users/8267882/items/EFT6BADJ"],"itemData":{"id":885,"type":"article-journal","abstract":"Maize is an important seasonal crop and year-round food staple in Africa. On-farm storage is therefore needed, but it suffers from storage pests. To study the effectiveness and economics of a new storage method, hermetic bags, a randomized controlled trial was organized in Kenya with 300 farmers in the treatment group using hermetic bags and 300 in the control group using conventional farmer practices. A subsample of 224 farmers was visited three times during the 2012–2013 major storage season: at baseline and after two and four months. Grain samples were taken and insect infestation, damage and weight loss observed. Results show that hermetic bags were highly effective in controlling storage insect pests: after four months, grain damage was 14% in the control and only 4% in the treatment; weight loss due to insect pests was 1.7% among control farmers, but only 0.4% in the treatment group. Economic analysis shows that hermetic bags become potentially profitable, under basic price and loss assumptions, if farmers use hermetic bags for storage for at least four months per season, and if the bags last for at least four seasons.","container-title":"Crop Protection","DOI":"10.1016/j.cropro.2016.08.007","ISSN":"0261-2194","journalAbbreviation":"Crop Protection","page":"17-26","source":"ScienceDirect","title":"Effectiveness and economics of hermetic bags for maize storage: Results of a randomized controlled trial in Kenya","title-short":"Effectiveness and economics of hermetic bags for maize storage","URL":"https://www.sciencedirect.com/science/article/pii/S0261219416302071","volume":"90","author":[{"family":"Ndegwa","given":"Michael K."},{"family":"De Groote","given":"Hugo"},{"family":"Gitonga","given":"Zachary M."},{"family":"Bruce","given":"Anani Y."}],"accessed":{"date-parts":[["2023",10,3]]},"issued":{"date-parts":[["2016",12,1]]}}},{"id":886,"uris":["http://zotero.org/users/8267882/items/LKWJEFTA"],"itemData":{"id":886,"type":"article-journal","abstract":"Groundnut seeds are prone to quality deterioration and damage due to improper storage. Hermetic storage of pods offers a novel, sustainable and ecologically safe alternative over traditional methods. In this paper, we demonstrate the efficacy of triple-layer “Purdue Improved Crop Storage (PICS)” bags, (that comprises of two inner high density polyethylene bags and one outer woven polypropylene bag), for protecting pods from quality deterioration, damage by bruchids (Caryedon serratus) and aflatoxin contamination (Aspergillus flavus). Custom made triple-layer bags were used and pods (of cv ICGV 91114) were placed @ 2 kg/bag. Over four months of storage under ambient conditions, triple-layer bags supported retention of seed weight, germinability and oil content significantly better than cloth bags. Further, under both natural and artificial infestations with A. flavus, seed aflatoxins levels were lower in PICS bags compared to cloth bags. Toxin accumulation in PICS bags deliberately infested with bruchids and A. flavus was less compared to cloth bags under similar conditions. Bruchid damage to pods was less in PICS bags versus cloth bags in all cases. Our results suggest the superiority of triple-layer PICS bags over cloth bags in protecting seed viability, seed weight and oil content while safeguarding the groundnuts from bruchids and retarding toxin accumulation.","collection-title":"Integrated Protection of Stored Products: sustainability in practice","container-title":"Journal of Stored Products Research","DOI":"10.1016/j.jspr.2014.09.002","ISSN":"0022-474X","journalAbbreviation":"Journal of Stored Products Research","page":"133-138","source":"ScienceDirect","title":"Purdue Improved Crop Storage (PICS) bags for safe storage of groundnuts","URL":"https://www.sciencedirect.com/science/article/pii/S0022474X14000885","volume":"64","author":[{"family":"Sudini","given":"H."},{"family":"Ranga Rao","given":"G. V."},{"family":"Gowda","given":"C. L. L."},{"family":"Chandrika","given":"R."},{"family":"Margam","given":"V."},{"family":"Rathore","given":"A."},{"family":"Murdock","given":"L. L."}],"accessed":{"date-parts":[["2023",10,3]]},"issued":{"date-parts":[["2015",10,1]]}}}],"schema":"https://github.com/citation-style-language/schema/raw/master/csl-citation.json"} </w:instrText>
            </w:r>
            <w:r w:rsidRPr="00067BD2">
              <w:rPr>
                <w:rFonts w:cs="Arial"/>
                <w:color w:val="000000"/>
              </w:rPr>
              <w:fldChar w:fldCharType="separate"/>
            </w:r>
            <w:r w:rsidR="00BC1514" w:rsidRPr="00BC1514">
              <w:rPr>
                <w:rFonts w:cs="Arial"/>
                <w:vertAlign w:val="superscript"/>
              </w:rPr>
              <w:t>39–44</w:t>
            </w:r>
            <w:r w:rsidRPr="00067BD2">
              <w:rPr>
                <w:rFonts w:cs="Arial"/>
                <w:color w:val="000000"/>
              </w:rPr>
              <w:fldChar w:fldCharType="end"/>
            </w:r>
          </w:p>
        </w:tc>
      </w:tr>
    </w:tbl>
    <w:p w14:paraId="05CD3A05" w14:textId="77777777" w:rsidR="008C6C6E" w:rsidRDefault="008C6C6E" w:rsidP="008C6C6E">
      <w:pPr>
        <w:spacing w:line="278" w:lineRule="auto"/>
        <w:rPr>
          <w:b/>
          <w:bCs/>
        </w:rPr>
      </w:pPr>
    </w:p>
    <w:p w14:paraId="2D377FAD" w14:textId="77777777" w:rsidR="008C6C6E" w:rsidRDefault="008C6C6E" w:rsidP="008C6C6E">
      <w:pPr>
        <w:spacing w:line="278" w:lineRule="auto"/>
        <w:rPr>
          <w:b/>
          <w:bCs/>
        </w:rPr>
      </w:pPr>
      <w:r>
        <w:rPr>
          <w:b/>
          <w:bCs/>
        </w:rPr>
        <w:br w:type="page"/>
      </w:r>
    </w:p>
    <w:p w14:paraId="045FC311" w14:textId="54B31A42" w:rsidR="002024DC" w:rsidRDefault="007C158D">
      <w:pPr>
        <w:rPr>
          <w:rFonts w:cs="Arial"/>
        </w:rPr>
      </w:pPr>
      <w:r>
        <w:rPr>
          <w:noProof/>
        </w:rPr>
        <w:lastRenderedPageBreak/>
        <w:drawing>
          <wp:inline distT="0" distB="0" distL="0" distR="0" wp14:anchorId="6DC8547A" wp14:editId="1CC3FEAB">
            <wp:extent cx="6858000" cy="6858000"/>
            <wp:effectExtent l="0" t="0" r="0" b="0"/>
            <wp:docPr id="10629782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pic:spPr>
                </pic:pic>
              </a:graphicData>
            </a:graphic>
          </wp:inline>
        </w:drawing>
      </w:r>
    </w:p>
    <w:p w14:paraId="73981513" w14:textId="0149DFCE" w:rsidR="00481ED5" w:rsidRPr="00481ED5" w:rsidRDefault="002024DC" w:rsidP="00C47468">
      <w:pPr>
        <w:pStyle w:val="Caption"/>
        <w:jc w:val="both"/>
        <w:rPr>
          <w:vanish/>
          <w:specVanish/>
        </w:rPr>
      </w:pPr>
      <w:bookmarkStart w:id="30" w:name="_Ref238025963"/>
      <w:bookmarkStart w:id="31" w:name="_Toc241138225"/>
      <w:r w:rsidRPr="00397104">
        <w:rPr>
          <w:noProof/>
        </w:rPr>
        <w:t xml:space="preserve">Supplementary Fig. </w:t>
      </w:r>
      <w:fldSimple w:instr=" SEQ Figure \* ARABIC ">
        <w:r w:rsidR="003E354C">
          <w:rPr>
            <w:noProof/>
          </w:rPr>
          <w:t>6</w:t>
        </w:r>
      </w:fldSimple>
      <w:bookmarkEnd w:id="30"/>
      <w:r w:rsidRPr="00397104">
        <w:rPr>
          <w:noProof/>
        </w:rPr>
        <w:t xml:space="preserve"> </w:t>
      </w:r>
      <w:r w:rsidR="007C158D">
        <w:rPr>
          <w:noProof/>
        </w:rPr>
        <w:t xml:space="preserve">| </w:t>
      </w:r>
      <w:r w:rsidR="00962C25" w:rsidRPr="00962C25">
        <w:rPr>
          <w:bCs/>
        </w:rPr>
        <w:t>Regional and global patterns of biophysical yield shocks used in model simulations.</w:t>
      </w:r>
      <w:bookmarkEnd w:id="31"/>
      <w:r w:rsidR="00962C25" w:rsidRPr="00962C25">
        <w:t xml:space="preserve"> </w:t>
      </w:r>
    </w:p>
    <w:p w14:paraId="190BF34B" w14:textId="70A3A4C9" w:rsidR="00962C25" w:rsidRPr="00AA2041" w:rsidRDefault="00481ED5" w:rsidP="00C47468">
      <w:pPr>
        <w:spacing w:line="240" w:lineRule="auto"/>
        <w:jc w:val="both"/>
        <w:rPr>
          <w:sz w:val="21"/>
          <w:szCs w:val="21"/>
          <w:specVanish/>
        </w:rPr>
      </w:pPr>
      <w:r>
        <w:t xml:space="preserve"> </w:t>
      </w:r>
      <w:r w:rsidR="00962C25" w:rsidRPr="00AA2041">
        <w:rPr>
          <w:sz w:val="21"/>
          <w:szCs w:val="21"/>
        </w:rPr>
        <w:t>Panel A shows cumulative percentage deviations from the Smooth yield trajectory since 2021, and Panel B shows the corresponding period-to-period deviations in yield growth between successive GCAM model periods. In each panel, gray boxplots show the global distribution across 10 IPCC R10 regions and four crop groups (Grains, Oil crops, Sugar crops, and Other crops), yielding up to 40 region–crop observations per model period. Boxes indicate the interquartile range, center lines the median, and whiskers the 5</w:t>
      </w:r>
      <w:r w:rsidR="00962C25" w:rsidRPr="00AA2041">
        <w:rPr>
          <w:sz w:val="21"/>
          <w:szCs w:val="21"/>
          <w:vertAlign w:val="superscript"/>
        </w:rPr>
        <w:t>th</w:t>
      </w:r>
      <w:r w:rsidR="00962C25" w:rsidRPr="00AA2041">
        <w:rPr>
          <w:sz w:val="21"/>
          <w:szCs w:val="21"/>
        </w:rPr>
        <w:t>–95</w:t>
      </w:r>
      <w:r w:rsidR="00962C25" w:rsidRPr="00AA2041">
        <w:rPr>
          <w:sz w:val="21"/>
          <w:szCs w:val="21"/>
          <w:vertAlign w:val="superscript"/>
        </w:rPr>
        <w:t>th</w:t>
      </w:r>
      <w:r w:rsidR="00962C25" w:rsidRPr="00AA2041">
        <w:rPr>
          <w:sz w:val="21"/>
          <w:szCs w:val="21"/>
        </w:rPr>
        <w:t xml:space="preserve"> percentile range. Colored lines show crop-group-specific shocks for the indicated region; lines in the World panel show the corresponding global aggregate shocks. Biophysical yield shocks are derived from ISIMIP2b simulations using the GEPIC global gridded crop model driven by HadGEM2-ES under RCP6.0, and are aggregated to GCAM production regions, crop groups</w:t>
      </w:r>
      <w:r w:rsidRPr="00AA2041">
        <w:rPr>
          <w:sz w:val="21"/>
          <w:szCs w:val="21"/>
        </w:rPr>
        <w:t>,</w:t>
      </w:r>
      <w:r w:rsidR="00962C25" w:rsidRPr="00AA2041">
        <w:rPr>
          <w:sz w:val="21"/>
          <w:szCs w:val="21"/>
        </w:rPr>
        <w:t xml:space="preserve"> and model periods as described in Methods.</w:t>
      </w:r>
      <w:r w:rsidRPr="00AA2041">
        <w:rPr>
          <w:sz w:val="21"/>
          <w:szCs w:val="21"/>
        </w:rPr>
        <w:t xml:space="preserve"> Data source: ISIMIP2b</w:t>
      </w:r>
      <w:r w:rsidRPr="00AA2041">
        <w:rPr>
          <w:rFonts w:cs="Arial"/>
          <w:sz w:val="21"/>
          <w:szCs w:val="21"/>
        </w:rPr>
        <w:fldChar w:fldCharType="begin"/>
      </w:r>
      <w:r w:rsidR="00BC1514">
        <w:rPr>
          <w:rFonts w:cs="Arial"/>
          <w:sz w:val="21"/>
          <w:szCs w:val="21"/>
        </w:rPr>
        <w:instrText xml:space="preserve"> ADDIN ZOTERO_ITEM CSL_CITATION {"citationID":"0OkFQjUA","properties":{"unsorted":false,"formattedCitation":"\\super 45\\nosupersub{}","plainCitation":"45","noteIndex":0},"citationItems":[{"id":1033,"uris":["http://zotero.org/users/8267882/items/3NUT7GZE"],"itemData":{"id":1033,"type":"article-journal","abstract":"In Paris, France, December 2015, the Conference of the Parties (COP) to the United Nations Framework Convention on Climate Change (UNFCCC) invited the Intergovernmental Panel on Climate Change (IPCC) to provide a special report in 2018 on the impacts of global warming of 1.5 °C above pre-industrial levels and related global greenhouse gas emission pathways. In Nairobi, Kenya, April 2016, the IPCC panel accepted the invitation. Here we describe the response devised within the Inter-Sectoral Impact Model Intercomparison Project (ISIMIP) to provide tailored, cross-sectorally consistent impact projections to broaden the scientific basis for the report. The simulation protocol is designed to allow for (1) separation of the impacts of historical warming starting from pre-industrial conditions from impacts of other drivers such as historical land-use changes (based on pre-industrial and historical impact model simulations); (2) quantification of the impacts of additional warming up to 1.5 °C, including a potential overshoot and long-term impacts up to 2299, and comparison to higher levels of global mean temperature change (based on the low-emissions Representative Concentration Pathway RCP2.6 and a no-mitigation pathway RCP6.0) with socio-economic conditions fixed at 2005 levels; and (3) assessment of the climate effects based on the same climate scenarios while accounting for simultaneous changes in socio-economic conditions following the middle-of-the-road Shared Socioeconomic Pathway (SSP2, Fricko et al., 2016) and in particular differential bioenergy requirements associated with the transformation of the energy system to comply with RCP2.6 compared to RCP6.0. With the aim of providing the scientific basis for an aggregation of impacts across sectors and analysis of cross-sectoral interactions that may dampen or amplify sectoral impacts, the protocol is designed to facilitate consistent impact projections from a range of impact models across different sectors (global and regional hydrology, lakes, global crops, global vegetation, regional forests, global and regional marine ecosystems and fisheries, global and regional coastal infrastructure, energy supply and demand, temperature-related mortality, and global terrestrial biodiversity).","container-title":"Geoscientific Model Development","DOI":"10.5194/gmd-10-4321-2017","ISSN":"1991-959X","issue":"12","language":"English","page":"4321-4345","publisher":"Copernicus GmbH","source":"Copernicus Online Journals","title":"Assessing the impacts of 1.5 °C global warming – simulation protocol of the Inter-Sectoral Impact Model Intercomparison Project (ISIMIP2b)","URL":"https://gmd.copernicus.org/articles/10/4321/2017/gmd-10-4321-2017-discussion.html","volume":"10","author":[{"family":"Frieler","given":"Katja"},{"family":"Lange","given":"Stefan"},{"family":"Piontek","given":"Franziska"},{"family":"Reyer","given":"Christopher P. O."},{"family":"Schewe","given":"Jacob"},{"family":"Warszawski","given":"Lila"},{"family":"Zhao","given":"Fang"},{"family":"Chini","given":"Louise"},{"family":"Denvil","given":"Sebastien"},{"family":"Emanuel","given":"Kerry"},{"family":"Geiger","given":"Tobias"},{"family":"Halladay","given":"Kate"},{"family":"Hurtt","given":"George"},{"family":"Mengel","given":"Matthias"},{"family":"Murakami","given":"Daisuke"},{"family":"Ostberg","given":"Sebastian"},{"family":"Popp","given":"Alexander"},{"family":"Riva","given":"Riccardo"},{"family":"Stevanovic","given":"Miodrag"},{"family":"Suzuki","given":"Tatsuo"},{"family":"Volkholz","given":"Jan"},{"family":"Burke","given":"Eleanor"},{"family":"Ciais","given":"Philippe"},{"family":"Ebi","given":"Kristie"},{"family":"Eddy","given":"Tyler D."},{"family":"Elliott","given":"Joshua"},{"family":"Galbraith","given":"Eric"},{"family":"Gosling","given":"Simon N."},{"family":"Hattermann","given":"Fred"},{"family":"Hickler","given":"Thomas"},{"family":"Hinkel","given":"Jochen"},{"family":"Hof","given":"Christian"},{"family":"Huber","given":"Veronika"},{"family":"Jägermeyr","given":"Jonas"},{"family":"Krysanova","given":"Valentina"},{"family":"Marcé","given":"Rafael"},{"family":"Müller Schmied","given":"Hannes"},{"family":"Mouratiadou","given":"Ioanna"},{"family":"Pierson","given":"Don"},{"family":"Tittensor","given":"Derek P."},{"family":"Vautard","given":"Robert"},{"family":"Vliet","given":"Michelle","non-dropping-particle":"van"},{"family":"Biber","given":"Matthias F."},{"family":"Betts","given":"Richard A."},{"family":"Bodirsky","given":"Benjamin Leon"},{"family":"Deryng","given":"Delphine"},{"family":"Frolking","given":"Steve"},{"family":"Jones","given":"Chris D."},{"family":"Lotze","given":"Heike K."},{"family":"Lotze-Campen","given":"Hermann"},{"family":"Sahajpal","given":"Ritvik"},{"family":"Thonicke","given":"Kirsten"},{"family":"Tian","given":"Hanqin"},{"family":"Yamagata","given":"Yoshiki"}],"accessed":{"date-parts":[["2023",4,7]]},"issued":{"date-parts":[["2017",11,30]]}}}],"schema":"https://github.com/citation-style-language/schema/raw/master/csl-citation.json"} </w:instrText>
      </w:r>
      <w:r w:rsidRPr="00AA2041">
        <w:rPr>
          <w:rFonts w:cs="Arial"/>
          <w:sz w:val="21"/>
          <w:szCs w:val="21"/>
        </w:rPr>
        <w:fldChar w:fldCharType="separate"/>
      </w:r>
      <w:r w:rsidR="00BC1514" w:rsidRPr="00BC1514">
        <w:rPr>
          <w:rFonts w:cs="Arial"/>
          <w:sz w:val="21"/>
          <w:vertAlign w:val="superscript"/>
        </w:rPr>
        <w:t>45</w:t>
      </w:r>
      <w:r w:rsidRPr="00AA2041">
        <w:rPr>
          <w:rFonts w:cs="Arial"/>
          <w:sz w:val="21"/>
          <w:szCs w:val="21"/>
        </w:rPr>
        <w:fldChar w:fldCharType="end"/>
      </w:r>
      <w:r w:rsidRPr="00AA2041">
        <w:rPr>
          <w:sz w:val="21"/>
          <w:szCs w:val="21"/>
        </w:rPr>
        <w:t xml:space="preserve"> and </w:t>
      </w:r>
      <w:r w:rsidRPr="00AA2041">
        <w:rPr>
          <w:rFonts w:cs="Arial"/>
          <w:i/>
          <w:iCs/>
          <w:sz w:val="21"/>
          <w:szCs w:val="21"/>
        </w:rPr>
        <w:t>osiris</w:t>
      </w:r>
      <w:r w:rsidRPr="00AA2041">
        <w:rPr>
          <w:rFonts w:cs="Arial"/>
          <w:sz w:val="21"/>
          <w:szCs w:val="21"/>
        </w:rPr>
        <w:fldChar w:fldCharType="begin"/>
      </w:r>
      <w:r w:rsidR="00BC1514">
        <w:rPr>
          <w:rFonts w:cs="Arial"/>
          <w:sz w:val="21"/>
          <w:szCs w:val="21"/>
        </w:rPr>
        <w:instrText xml:space="preserve"> ADDIN ZOTERO_ITEM CSL_CITATION {"citationID":"5jppMBZF","properties":{"unsorted":false,"formattedCitation":"\\super 46\\nosupersub{}","plainCitation":"46","noteIndex":0},"citationItems":[{"id":8,"uris":["http://zotero.org/users/8267882/items/U3DFEL2I"],"itemData":{"id":8,"type":"article-journal","abstract":"Ahsan et al., (2023). osiris: An R package to process climate impacts on agricultural yields for the Global Change Analysis Model. Journal of Open Source Software, 8(85), 5226, https://doi.org/10.21105/joss.05226","container-title":"Journal of Open Source Software","DOI":"10.21105/joss.05226","ISSN":"2475-9066","issue":"85","language":"en","page":"5226","source":"joss.theoj.org","title":"osiris: An R package to process climate impacts on agricultural yields for the Global Change Analysis Model","title-short":"osiris","URL":"https://joss.theoj.org/papers/10.21105/joss.05226","volume":"8","author":[{"family":"Ahsan","given":"Hamza"},{"family":"Khan","given":"Zarrar"},{"family":"Snyder","given":"Abigail"},{"family":"Kyle","given":"Page"},{"family":"Vernon","given":"Chris"}],"accessed":{"date-parts":[["2023",8,5]]},"issued":{"date-parts":[["2023",5,24]]}}}],"schema":"https://github.com/citation-style-language/schema/raw/master/csl-citation.json"} </w:instrText>
      </w:r>
      <w:r w:rsidRPr="00AA2041">
        <w:rPr>
          <w:rFonts w:cs="Arial"/>
          <w:sz w:val="21"/>
          <w:szCs w:val="21"/>
        </w:rPr>
        <w:fldChar w:fldCharType="separate"/>
      </w:r>
      <w:r w:rsidR="00BC1514" w:rsidRPr="00BC1514">
        <w:rPr>
          <w:rFonts w:cs="Arial"/>
          <w:sz w:val="21"/>
          <w:vertAlign w:val="superscript"/>
        </w:rPr>
        <w:t>46</w:t>
      </w:r>
      <w:r w:rsidRPr="00AA2041">
        <w:rPr>
          <w:rFonts w:cs="Arial"/>
          <w:sz w:val="21"/>
          <w:szCs w:val="21"/>
        </w:rPr>
        <w:fldChar w:fldCharType="end"/>
      </w:r>
      <w:r w:rsidRPr="00AA2041">
        <w:rPr>
          <w:rFonts w:cs="Arial"/>
          <w:sz w:val="21"/>
          <w:szCs w:val="21"/>
        </w:rPr>
        <w:t>.</w:t>
      </w:r>
    </w:p>
    <w:p w14:paraId="0F8E677A" w14:textId="77777777" w:rsidR="001E3563" w:rsidRPr="00A17A9F" w:rsidRDefault="001E3563" w:rsidP="00A17A9F">
      <w:pPr>
        <w:pStyle w:val="Heading1"/>
      </w:pPr>
      <w:bookmarkStart w:id="32" w:name="_Toc241138207"/>
      <w:r w:rsidRPr="00A17A9F">
        <w:lastRenderedPageBreak/>
        <w:t>Supplementary Section 3. Supplementary results</w:t>
      </w:r>
      <w:bookmarkEnd w:id="32"/>
      <w:r w:rsidRPr="00A17A9F">
        <w:t xml:space="preserve"> </w:t>
      </w:r>
    </w:p>
    <w:p w14:paraId="5EDB19DE" w14:textId="2E1987EC" w:rsidR="00A140E1" w:rsidRPr="00A17A9F" w:rsidRDefault="00A140E1" w:rsidP="00A17A9F">
      <w:pPr>
        <w:pStyle w:val="Heading2"/>
      </w:pPr>
      <w:bookmarkStart w:id="33" w:name="_Toc241138208"/>
      <w:r w:rsidRPr="00A17A9F">
        <w:t>Supplementary Section 3</w:t>
      </w:r>
      <w:r w:rsidR="00511331" w:rsidRPr="00A17A9F">
        <w:t>.1</w:t>
      </w:r>
      <w:r w:rsidRPr="00A17A9F">
        <w:t>. Long-term impacts and sensitivity analyses</w:t>
      </w:r>
      <w:bookmarkEnd w:id="33"/>
    </w:p>
    <w:p w14:paraId="1E5E66AB" w14:textId="0E1E5B23" w:rsidR="00412613" w:rsidRPr="00412613" w:rsidRDefault="00412613" w:rsidP="00412613">
      <w:pPr>
        <w:spacing w:line="276" w:lineRule="auto"/>
        <w:rPr>
          <w:rFonts w:cs="Arial"/>
        </w:rPr>
      </w:pPr>
      <w:r w:rsidRPr="00412613">
        <w:rPr>
          <w:rFonts w:cs="Arial"/>
        </w:rPr>
        <w:t>The supplementary analyses extend the long-term results in the main text by providing additional regional and sectoral detail and by testing the sensitivity of the principal findings to alternative yield and storage assumptions.</w:t>
      </w:r>
      <w:r w:rsidR="00F021C0">
        <w:rPr>
          <w:rFonts w:cs="Arial"/>
        </w:rPr>
        <w:t xml:space="preserve"> </w:t>
      </w:r>
      <w:r w:rsidR="00F021C0" w:rsidRPr="00F021C0">
        <w:rPr>
          <w:rFonts w:cs="Arial"/>
          <w:b/>
          <w:bCs/>
        </w:rPr>
        <w:fldChar w:fldCharType="begin"/>
      </w:r>
      <w:r w:rsidR="00F021C0" w:rsidRPr="00F021C0">
        <w:rPr>
          <w:rFonts w:cs="Arial"/>
          <w:b/>
          <w:bCs/>
        </w:rPr>
        <w:instrText xml:space="preserve"> REF _Ref241137543 \h </w:instrText>
      </w:r>
      <w:r w:rsidR="00F021C0">
        <w:rPr>
          <w:rFonts w:cs="Arial"/>
          <w:b/>
          <w:bCs/>
        </w:rPr>
        <w:instrText xml:space="preserve"> \* MERGEFORMAT </w:instrText>
      </w:r>
      <w:r w:rsidR="00F021C0" w:rsidRPr="00F021C0">
        <w:rPr>
          <w:rFonts w:cs="Arial"/>
          <w:b/>
          <w:bCs/>
        </w:rPr>
      </w:r>
      <w:r w:rsidR="00F021C0" w:rsidRPr="00F021C0">
        <w:rPr>
          <w:rFonts w:cs="Arial"/>
          <w:b/>
          <w:bCs/>
        </w:rPr>
        <w:fldChar w:fldCharType="separate"/>
      </w:r>
      <w:r w:rsidR="003E354C" w:rsidRPr="003E354C">
        <w:rPr>
          <w:b/>
          <w:bCs/>
        </w:rPr>
        <w:t xml:space="preserve">Supplementary Fig. </w:t>
      </w:r>
      <w:r w:rsidR="003E354C" w:rsidRPr="003E354C">
        <w:rPr>
          <w:b/>
          <w:bCs/>
          <w:noProof/>
        </w:rPr>
        <w:t>7</w:t>
      </w:r>
      <w:r w:rsidR="00F021C0" w:rsidRPr="00F021C0">
        <w:rPr>
          <w:rFonts w:cs="Arial"/>
          <w:b/>
          <w:bCs/>
        </w:rPr>
        <w:fldChar w:fldCharType="end"/>
      </w:r>
      <w:r w:rsidR="006E6BCC">
        <w:rPr>
          <w:rFonts w:cs="Arial"/>
        </w:rPr>
        <w:t xml:space="preserve"> </w:t>
      </w:r>
      <w:r w:rsidRPr="00412613">
        <w:rPr>
          <w:rFonts w:cs="Arial"/>
        </w:rPr>
        <w:t>reports the regional and sectoral composition of projected stocks in per-capita dietary-energy terms.</w:t>
      </w:r>
      <w:r w:rsidR="00F021C0">
        <w:rPr>
          <w:rFonts w:cs="Arial"/>
        </w:rPr>
        <w:t xml:space="preserve"> </w:t>
      </w:r>
      <w:r w:rsidR="00F021C0">
        <w:rPr>
          <w:rFonts w:cs="Arial"/>
        </w:rPr>
        <w:fldChar w:fldCharType="begin"/>
      </w:r>
      <w:r w:rsidR="00F021C0">
        <w:rPr>
          <w:rFonts w:cs="Arial"/>
        </w:rPr>
        <w:instrText xml:space="preserve"> REF _Ref237900758 \h  \* MERGEFORMAT </w:instrText>
      </w:r>
      <w:r w:rsidR="00F021C0">
        <w:rPr>
          <w:rFonts w:cs="Arial"/>
        </w:rPr>
      </w:r>
      <w:r w:rsidR="00F021C0">
        <w:rPr>
          <w:rFonts w:cs="Arial"/>
        </w:rPr>
        <w:fldChar w:fldCharType="separate"/>
      </w:r>
      <w:r w:rsidR="003E354C" w:rsidRPr="003E354C">
        <w:rPr>
          <w:b/>
          <w:bCs/>
        </w:rPr>
        <w:t xml:space="preserve">Supplementary Fig. </w:t>
      </w:r>
      <w:r w:rsidR="003E354C" w:rsidRPr="003E354C">
        <w:rPr>
          <w:b/>
          <w:bCs/>
          <w:noProof/>
        </w:rPr>
        <w:t>8</w:t>
      </w:r>
      <w:r w:rsidR="00F021C0">
        <w:rPr>
          <w:rFonts w:cs="Arial"/>
        </w:rPr>
        <w:fldChar w:fldCharType="end"/>
      </w:r>
      <w:r w:rsidR="00F021C0">
        <w:rPr>
          <w:rFonts w:cs="Arial"/>
        </w:rPr>
        <w:t xml:space="preserve"> and </w:t>
      </w:r>
      <w:r w:rsidR="00F021C0" w:rsidRPr="00F021C0">
        <w:rPr>
          <w:b/>
          <w:bCs/>
        </w:rPr>
        <w:fldChar w:fldCharType="begin"/>
      </w:r>
      <w:r w:rsidR="00F021C0" w:rsidRPr="00F021C0">
        <w:rPr>
          <w:b/>
          <w:bCs/>
        </w:rPr>
        <w:instrText xml:space="preserve"> REF _Ref237901190 \h </w:instrText>
      </w:r>
      <w:r w:rsidR="00F021C0">
        <w:rPr>
          <w:b/>
          <w:bCs/>
        </w:rPr>
        <w:instrText xml:space="preserve"> \* MERGEFORMAT </w:instrText>
      </w:r>
      <w:r w:rsidR="00F021C0" w:rsidRPr="00F021C0">
        <w:rPr>
          <w:b/>
          <w:bCs/>
        </w:rPr>
      </w:r>
      <w:r w:rsidR="00F021C0" w:rsidRPr="00F021C0">
        <w:rPr>
          <w:b/>
          <w:bCs/>
        </w:rPr>
        <w:fldChar w:fldCharType="separate"/>
      </w:r>
      <w:r w:rsidR="003E354C" w:rsidRPr="003E354C">
        <w:rPr>
          <w:b/>
          <w:bCs/>
        </w:rPr>
        <w:t>Supplementary Fig. 9</w:t>
      </w:r>
      <w:r w:rsidR="00F021C0" w:rsidRPr="00F021C0">
        <w:rPr>
          <w:b/>
          <w:bCs/>
        </w:rPr>
        <w:fldChar w:fldCharType="end"/>
      </w:r>
      <w:r w:rsidRPr="00F021C0">
        <w:rPr>
          <w:b/>
          <w:bCs/>
        </w:rPr>
        <w:t xml:space="preserve"> </w:t>
      </w:r>
      <w:r w:rsidRPr="00412613">
        <w:rPr>
          <w:rFonts w:cs="Arial"/>
        </w:rPr>
        <w:t>provide the full agroeconomic and environmental trajectories under Dynamic and Hidden Storage, respectively, including regional supply–utilization balances, land use, agricultural labor and capital inputs, irrigation water, fertilizer use, prices and cumulative emissions.</w:t>
      </w:r>
      <w:r w:rsidR="00F021C0">
        <w:rPr>
          <w:rFonts w:cs="Arial"/>
        </w:rPr>
        <w:t xml:space="preserve"> </w:t>
      </w:r>
      <w:r w:rsidR="00F021C0" w:rsidRPr="00F021C0">
        <w:rPr>
          <w:rFonts w:cs="Arial"/>
          <w:b/>
          <w:bCs/>
        </w:rPr>
        <w:fldChar w:fldCharType="begin"/>
      </w:r>
      <w:r w:rsidR="00F021C0" w:rsidRPr="00F021C0">
        <w:rPr>
          <w:rFonts w:cs="Arial"/>
          <w:b/>
          <w:bCs/>
        </w:rPr>
        <w:instrText xml:space="preserve"> REF _Ref241137601 \h </w:instrText>
      </w:r>
      <w:r w:rsidR="00F021C0">
        <w:rPr>
          <w:rFonts w:cs="Arial"/>
          <w:b/>
          <w:bCs/>
        </w:rPr>
        <w:instrText xml:space="preserve"> \* MERGEFORMAT </w:instrText>
      </w:r>
      <w:r w:rsidR="00F021C0" w:rsidRPr="00F021C0">
        <w:rPr>
          <w:rFonts w:cs="Arial"/>
          <w:b/>
          <w:bCs/>
        </w:rPr>
      </w:r>
      <w:r w:rsidR="00F021C0" w:rsidRPr="00F021C0">
        <w:rPr>
          <w:rFonts w:cs="Arial"/>
          <w:b/>
          <w:bCs/>
        </w:rPr>
        <w:fldChar w:fldCharType="separate"/>
      </w:r>
      <w:r w:rsidR="003E354C" w:rsidRPr="003E354C">
        <w:rPr>
          <w:b/>
          <w:bCs/>
        </w:rPr>
        <w:t xml:space="preserve">Supplementary Fig. </w:t>
      </w:r>
      <w:r w:rsidR="003E354C" w:rsidRPr="003E354C">
        <w:rPr>
          <w:b/>
          <w:bCs/>
          <w:noProof/>
        </w:rPr>
        <w:t>10</w:t>
      </w:r>
      <w:r w:rsidR="00F021C0" w:rsidRPr="00F021C0">
        <w:rPr>
          <w:rFonts w:cs="Arial"/>
          <w:b/>
          <w:bCs/>
        </w:rPr>
        <w:fldChar w:fldCharType="end"/>
      </w:r>
      <w:r w:rsidRPr="00412613">
        <w:rPr>
          <w:rFonts w:cs="Arial"/>
        </w:rPr>
        <w:t xml:space="preserve"> reports the corresponding Dynamic–Hidden differences. </w:t>
      </w:r>
      <w:r w:rsidR="00F021C0" w:rsidRPr="00F021C0">
        <w:rPr>
          <w:rFonts w:cs="Arial"/>
          <w:b/>
          <w:bCs/>
        </w:rPr>
        <w:fldChar w:fldCharType="begin"/>
      </w:r>
      <w:r w:rsidR="00F021C0" w:rsidRPr="00F021C0">
        <w:rPr>
          <w:rFonts w:cs="Arial"/>
          <w:b/>
          <w:bCs/>
        </w:rPr>
        <w:instrText xml:space="preserve"> REF _Ref241137617 \h  \* MERGEFORMAT </w:instrText>
      </w:r>
      <w:r w:rsidR="00F021C0" w:rsidRPr="00F021C0">
        <w:rPr>
          <w:rFonts w:cs="Arial"/>
          <w:b/>
          <w:bCs/>
        </w:rPr>
      </w:r>
      <w:r w:rsidR="00F021C0" w:rsidRPr="00F021C0">
        <w:rPr>
          <w:rFonts w:cs="Arial"/>
          <w:b/>
          <w:bCs/>
        </w:rPr>
        <w:fldChar w:fldCharType="separate"/>
      </w:r>
      <w:r w:rsidR="003E354C" w:rsidRPr="003E354C">
        <w:rPr>
          <w:b/>
          <w:bCs/>
        </w:rPr>
        <w:t xml:space="preserve">Supplementary Fig. </w:t>
      </w:r>
      <w:r w:rsidR="003E354C" w:rsidRPr="003E354C">
        <w:rPr>
          <w:b/>
          <w:bCs/>
          <w:noProof/>
        </w:rPr>
        <w:t>11</w:t>
      </w:r>
      <w:r w:rsidR="00F021C0" w:rsidRPr="00F021C0">
        <w:rPr>
          <w:rFonts w:cs="Arial"/>
          <w:b/>
          <w:bCs/>
        </w:rPr>
        <w:fldChar w:fldCharType="end"/>
      </w:r>
      <w:r w:rsidR="00F021C0" w:rsidRPr="00F021C0">
        <w:rPr>
          <w:rFonts w:cs="Arial"/>
          <w:b/>
          <w:bCs/>
        </w:rPr>
        <w:t>–</w:t>
      </w:r>
      <w:r w:rsidR="00F021C0" w:rsidRPr="00F021C0">
        <w:rPr>
          <w:rFonts w:cs="Arial"/>
          <w:b/>
          <w:bCs/>
        </w:rPr>
        <w:fldChar w:fldCharType="begin"/>
      </w:r>
      <w:r w:rsidR="00F021C0" w:rsidRPr="00F021C0">
        <w:rPr>
          <w:rFonts w:cs="Arial"/>
          <w:b/>
          <w:bCs/>
        </w:rPr>
        <w:instrText xml:space="preserve"> REF _Ref241137632 \h  \* MERGEFORMAT </w:instrText>
      </w:r>
      <w:r w:rsidR="00F021C0" w:rsidRPr="00F021C0">
        <w:rPr>
          <w:rFonts w:cs="Arial"/>
          <w:b/>
          <w:bCs/>
        </w:rPr>
      </w:r>
      <w:r w:rsidR="00F021C0" w:rsidRPr="00F021C0">
        <w:rPr>
          <w:rFonts w:cs="Arial"/>
          <w:b/>
          <w:bCs/>
        </w:rPr>
        <w:fldChar w:fldCharType="separate"/>
      </w:r>
      <w:r w:rsidR="003E354C" w:rsidRPr="003E354C">
        <w:rPr>
          <w:rFonts w:cs="Arial"/>
          <w:b/>
          <w:bCs/>
        </w:rPr>
        <w:t xml:space="preserve">Supplementary Fig. </w:t>
      </w:r>
      <w:r w:rsidR="003E354C" w:rsidRPr="003E354C">
        <w:rPr>
          <w:rFonts w:cs="Arial"/>
          <w:b/>
          <w:bCs/>
          <w:noProof/>
        </w:rPr>
        <w:t>13</w:t>
      </w:r>
      <w:r w:rsidR="00F021C0" w:rsidRPr="00F021C0">
        <w:rPr>
          <w:rFonts w:cs="Arial"/>
          <w:b/>
          <w:bCs/>
        </w:rPr>
        <w:fldChar w:fldCharType="end"/>
      </w:r>
      <w:r w:rsidRPr="00412613">
        <w:rPr>
          <w:rFonts w:cs="Arial"/>
        </w:rPr>
        <w:t xml:space="preserve"> then repeat the long-term comparison under biophysical yield shocks, Fixed-Ratio Storage and an alternative treatment of cross-period stock carryover, respectively.</w:t>
      </w:r>
    </w:p>
    <w:p w14:paraId="508DE58C" w14:textId="7960A541" w:rsidR="00412613" w:rsidRPr="00412613" w:rsidRDefault="00412613" w:rsidP="00412613">
      <w:pPr>
        <w:spacing w:line="276" w:lineRule="auto"/>
        <w:rPr>
          <w:rFonts w:cs="Arial"/>
        </w:rPr>
      </w:pPr>
      <w:r w:rsidRPr="00412613">
        <w:rPr>
          <w:rFonts w:cs="Arial"/>
        </w:rPr>
        <w:t>Projected changes in storage are heterogeneous across regions and commodities. Per-capita stocks increase across all IPCC R10 regions over the century, although the magnitude and commodity composition of the increase differ substantially (</w:t>
      </w:r>
      <w:r w:rsidR="00F021C0" w:rsidRPr="00F021C0">
        <w:rPr>
          <w:rFonts w:cs="Arial"/>
          <w:b/>
          <w:bCs/>
        </w:rPr>
        <w:fldChar w:fldCharType="begin"/>
      </w:r>
      <w:r w:rsidR="00F021C0" w:rsidRPr="00F021C0">
        <w:rPr>
          <w:rFonts w:cs="Arial"/>
          <w:b/>
          <w:bCs/>
        </w:rPr>
        <w:instrText xml:space="preserve"> REF _Ref241137543 \h </w:instrText>
      </w:r>
      <w:r w:rsidR="00F021C0">
        <w:rPr>
          <w:rFonts w:cs="Arial"/>
          <w:b/>
          <w:bCs/>
        </w:rPr>
        <w:instrText xml:space="preserve"> \* MERGEFORMAT </w:instrText>
      </w:r>
      <w:r w:rsidR="00F021C0" w:rsidRPr="00F021C0">
        <w:rPr>
          <w:rFonts w:cs="Arial"/>
          <w:b/>
          <w:bCs/>
        </w:rPr>
      </w:r>
      <w:r w:rsidR="00F021C0" w:rsidRPr="00F021C0">
        <w:rPr>
          <w:rFonts w:cs="Arial"/>
          <w:b/>
          <w:bCs/>
        </w:rPr>
        <w:fldChar w:fldCharType="separate"/>
      </w:r>
      <w:r w:rsidR="003E354C" w:rsidRPr="003E354C">
        <w:rPr>
          <w:b/>
          <w:bCs/>
        </w:rPr>
        <w:t xml:space="preserve">Supplementary Fig. </w:t>
      </w:r>
      <w:r w:rsidR="003E354C" w:rsidRPr="003E354C">
        <w:rPr>
          <w:b/>
          <w:bCs/>
          <w:noProof/>
        </w:rPr>
        <w:t>7</w:t>
      </w:r>
      <w:r w:rsidR="00F021C0" w:rsidRPr="00F021C0">
        <w:rPr>
          <w:rFonts w:cs="Arial"/>
          <w:b/>
          <w:bCs/>
        </w:rPr>
        <w:fldChar w:fldCharType="end"/>
      </w:r>
      <w:r w:rsidRPr="00412613">
        <w:rPr>
          <w:rFonts w:cs="Arial"/>
        </w:rPr>
        <w:t>). The full regional balances under Dynamic Storage further show how opening stocks contribute to supply while closing stocks and storage-associated losses constitute distinct demand components (</w:t>
      </w:r>
      <w:r w:rsidR="00F021C0">
        <w:rPr>
          <w:rFonts w:cs="Arial"/>
        </w:rPr>
        <w:fldChar w:fldCharType="begin"/>
      </w:r>
      <w:r w:rsidR="00F021C0">
        <w:rPr>
          <w:rFonts w:cs="Arial"/>
        </w:rPr>
        <w:instrText xml:space="preserve"> REF _Ref237900758 \h  \* MERGEFORMAT </w:instrText>
      </w:r>
      <w:r w:rsidR="00F021C0">
        <w:rPr>
          <w:rFonts w:cs="Arial"/>
        </w:rPr>
      </w:r>
      <w:r w:rsidR="00F021C0">
        <w:rPr>
          <w:rFonts w:cs="Arial"/>
        </w:rPr>
        <w:fldChar w:fldCharType="separate"/>
      </w:r>
      <w:r w:rsidR="003E354C" w:rsidRPr="003E354C">
        <w:rPr>
          <w:b/>
          <w:bCs/>
        </w:rPr>
        <w:t xml:space="preserve">Supplementary Fig. </w:t>
      </w:r>
      <w:r w:rsidR="003E354C" w:rsidRPr="003E354C">
        <w:rPr>
          <w:b/>
          <w:bCs/>
          <w:noProof/>
        </w:rPr>
        <w:t>8</w:t>
      </w:r>
      <w:r w:rsidR="00F021C0">
        <w:rPr>
          <w:rFonts w:cs="Arial"/>
        </w:rPr>
        <w:fldChar w:fldCharType="end"/>
      </w:r>
      <w:r w:rsidRPr="00412613">
        <w:rPr>
          <w:rFonts w:cs="Arial"/>
        </w:rPr>
        <w:t>). Under Hidden Storage, these flows remain embedded within other uses rather than evolving as explicit inventory accounts (</w:t>
      </w:r>
      <w:r w:rsidR="00F021C0" w:rsidRPr="00F021C0">
        <w:rPr>
          <w:b/>
          <w:bCs/>
        </w:rPr>
        <w:fldChar w:fldCharType="begin"/>
      </w:r>
      <w:r w:rsidR="00F021C0" w:rsidRPr="00F021C0">
        <w:rPr>
          <w:b/>
          <w:bCs/>
        </w:rPr>
        <w:instrText xml:space="preserve"> REF _Ref237901190 \h </w:instrText>
      </w:r>
      <w:r w:rsidR="00F021C0">
        <w:rPr>
          <w:b/>
          <w:bCs/>
        </w:rPr>
        <w:instrText xml:space="preserve"> \* MERGEFORMAT </w:instrText>
      </w:r>
      <w:r w:rsidR="00F021C0" w:rsidRPr="00F021C0">
        <w:rPr>
          <w:b/>
          <w:bCs/>
        </w:rPr>
      </w:r>
      <w:r w:rsidR="00F021C0" w:rsidRPr="00F021C0">
        <w:rPr>
          <w:b/>
          <w:bCs/>
        </w:rPr>
        <w:fldChar w:fldCharType="separate"/>
      </w:r>
      <w:r w:rsidR="003E354C" w:rsidRPr="003E354C">
        <w:rPr>
          <w:b/>
          <w:bCs/>
        </w:rPr>
        <w:t>Supplementary Fig. 9</w:t>
      </w:r>
      <w:r w:rsidR="00F021C0" w:rsidRPr="00F021C0">
        <w:rPr>
          <w:b/>
          <w:bCs/>
        </w:rPr>
        <w:fldChar w:fldCharType="end"/>
      </w:r>
      <w:r w:rsidRPr="00412613">
        <w:rPr>
          <w:rFonts w:cs="Arial"/>
        </w:rPr>
        <w:t>). The resulting differences propagate beyond commodity balances: Dynamic Storage generally lowers long-run agricultural production and associated resource requirements relative to Hidden Storage, while regional and sectoral responses can differ in magnitude and occasionally direction as production and trade are reallocated across markets (</w:t>
      </w:r>
      <w:r w:rsidR="00F021C0" w:rsidRPr="00F021C0">
        <w:rPr>
          <w:rFonts w:cs="Arial"/>
          <w:b/>
          <w:bCs/>
        </w:rPr>
        <w:fldChar w:fldCharType="begin"/>
      </w:r>
      <w:r w:rsidR="00F021C0" w:rsidRPr="00F021C0">
        <w:rPr>
          <w:rFonts w:cs="Arial"/>
          <w:b/>
          <w:bCs/>
        </w:rPr>
        <w:instrText xml:space="preserve"> REF _Ref241137601 \h </w:instrText>
      </w:r>
      <w:r w:rsidR="00F021C0">
        <w:rPr>
          <w:rFonts w:cs="Arial"/>
          <w:b/>
          <w:bCs/>
        </w:rPr>
        <w:instrText xml:space="preserve"> \* MERGEFORMAT </w:instrText>
      </w:r>
      <w:r w:rsidR="00F021C0" w:rsidRPr="00F021C0">
        <w:rPr>
          <w:rFonts w:cs="Arial"/>
          <w:b/>
          <w:bCs/>
        </w:rPr>
      </w:r>
      <w:r w:rsidR="00F021C0" w:rsidRPr="00F021C0">
        <w:rPr>
          <w:rFonts w:cs="Arial"/>
          <w:b/>
          <w:bCs/>
        </w:rPr>
        <w:fldChar w:fldCharType="separate"/>
      </w:r>
      <w:r w:rsidR="003E354C" w:rsidRPr="003E354C">
        <w:rPr>
          <w:b/>
          <w:bCs/>
        </w:rPr>
        <w:t xml:space="preserve">Supplementary Fig. </w:t>
      </w:r>
      <w:r w:rsidR="003E354C" w:rsidRPr="003E354C">
        <w:rPr>
          <w:b/>
          <w:bCs/>
          <w:noProof/>
        </w:rPr>
        <w:t>10</w:t>
      </w:r>
      <w:r w:rsidR="00F021C0" w:rsidRPr="00F021C0">
        <w:rPr>
          <w:rFonts w:cs="Arial"/>
          <w:b/>
          <w:bCs/>
        </w:rPr>
        <w:fldChar w:fldCharType="end"/>
      </w:r>
      <w:r w:rsidRPr="00412613">
        <w:rPr>
          <w:rFonts w:cs="Arial"/>
        </w:rPr>
        <w:t>).</w:t>
      </w:r>
    </w:p>
    <w:p w14:paraId="5B8B315B" w14:textId="368A2A04" w:rsidR="00412613" w:rsidRPr="00412613" w:rsidRDefault="00412613" w:rsidP="00412613">
      <w:pPr>
        <w:spacing w:line="276" w:lineRule="auto"/>
        <w:rPr>
          <w:rFonts w:cs="Arial"/>
        </w:rPr>
      </w:pPr>
      <w:r w:rsidRPr="00412613">
        <w:rPr>
          <w:rFonts w:cs="Arial"/>
        </w:rPr>
        <w:t>The long-term conclusions are qualitatively robust across the alternative model configurations examined. When the Dynamic–Hidden comparison is repeated under spatially and temporally varying biophysical yield shocks, stocks and net stock variation become less smooth, but explicit storage continues to produce lower long-run production, irrigation-water requirements and cumulative emissions than Hidden Storage (</w:t>
      </w:r>
      <w:r w:rsidR="00593E61" w:rsidRPr="00593E61">
        <w:rPr>
          <w:rFonts w:cs="Arial"/>
          <w:b/>
          <w:bCs/>
        </w:rPr>
        <w:fldChar w:fldCharType="begin"/>
      </w:r>
      <w:r w:rsidR="00593E61" w:rsidRPr="00593E61">
        <w:rPr>
          <w:rFonts w:cs="Arial"/>
          <w:b/>
          <w:bCs/>
        </w:rPr>
        <w:instrText xml:space="preserve"> REF _Ref241137617 \h </w:instrText>
      </w:r>
      <w:r w:rsidR="00593E61">
        <w:rPr>
          <w:rFonts w:cs="Arial"/>
          <w:b/>
          <w:bCs/>
        </w:rPr>
        <w:instrText xml:space="preserve"> \* MERGEFORMAT </w:instrText>
      </w:r>
      <w:r w:rsidR="00593E61" w:rsidRPr="00593E61">
        <w:rPr>
          <w:rFonts w:cs="Arial"/>
          <w:b/>
          <w:bCs/>
        </w:rPr>
      </w:r>
      <w:r w:rsidR="00593E61" w:rsidRPr="00593E61">
        <w:rPr>
          <w:rFonts w:cs="Arial"/>
          <w:b/>
          <w:bCs/>
        </w:rPr>
        <w:fldChar w:fldCharType="separate"/>
      </w:r>
      <w:r w:rsidR="003E354C" w:rsidRPr="003E354C">
        <w:rPr>
          <w:b/>
          <w:bCs/>
        </w:rPr>
        <w:t xml:space="preserve">Supplementary Fig. </w:t>
      </w:r>
      <w:r w:rsidR="003E354C" w:rsidRPr="003E354C">
        <w:rPr>
          <w:b/>
          <w:bCs/>
          <w:noProof/>
        </w:rPr>
        <w:t>11</w:t>
      </w:r>
      <w:r w:rsidR="00593E61" w:rsidRPr="00593E61">
        <w:rPr>
          <w:rFonts w:cs="Arial"/>
          <w:b/>
          <w:bCs/>
        </w:rPr>
        <w:fldChar w:fldCharType="end"/>
      </w:r>
      <w:r w:rsidRPr="00412613">
        <w:rPr>
          <w:rFonts w:cs="Arial"/>
        </w:rPr>
        <w:t>). Fixed-Ratio Storage produces broadly similar long-run effects despite disabling price-responsive stock reallocation (</w:t>
      </w:r>
      <w:r w:rsidR="00593E61" w:rsidRPr="00593E61">
        <w:rPr>
          <w:rFonts w:cs="Arial"/>
          <w:b/>
          <w:bCs/>
        </w:rPr>
        <w:fldChar w:fldCharType="begin"/>
      </w:r>
      <w:r w:rsidR="00593E61" w:rsidRPr="00593E61">
        <w:rPr>
          <w:rFonts w:cs="Arial"/>
          <w:b/>
          <w:bCs/>
        </w:rPr>
        <w:instrText xml:space="preserve"> REF _Ref241137741 \h </w:instrText>
      </w:r>
      <w:r w:rsidR="00593E61">
        <w:rPr>
          <w:rFonts w:cs="Arial"/>
          <w:b/>
          <w:bCs/>
        </w:rPr>
        <w:instrText xml:space="preserve"> \* MERGEFORMAT </w:instrText>
      </w:r>
      <w:r w:rsidR="00593E61" w:rsidRPr="00593E61">
        <w:rPr>
          <w:rFonts w:cs="Arial"/>
          <w:b/>
          <w:bCs/>
        </w:rPr>
      </w:r>
      <w:r w:rsidR="00593E61" w:rsidRPr="00593E61">
        <w:rPr>
          <w:rFonts w:cs="Arial"/>
          <w:b/>
          <w:bCs/>
        </w:rPr>
        <w:fldChar w:fldCharType="separate"/>
      </w:r>
      <w:r w:rsidR="003E354C" w:rsidRPr="003E354C">
        <w:rPr>
          <w:b/>
          <w:bCs/>
        </w:rPr>
        <w:t xml:space="preserve">Supplementary Fig. </w:t>
      </w:r>
      <w:r w:rsidR="003E354C" w:rsidRPr="003E354C">
        <w:rPr>
          <w:b/>
          <w:bCs/>
          <w:noProof/>
        </w:rPr>
        <w:t>12</w:t>
      </w:r>
      <w:r w:rsidR="00593E61" w:rsidRPr="00593E61">
        <w:rPr>
          <w:rFonts w:cs="Arial"/>
          <w:b/>
          <w:bCs/>
        </w:rPr>
        <w:fldChar w:fldCharType="end"/>
      </w:r>
      <w:r w:rsidRPr="00412613">
        <w:rPr>
          <w:rFonts w:cs="Arial"/>
        </w:rPr>
        <w:t>). This indicates that the structural long-run effects arise primarily from explicitly separating stock accumulation and storage-associated losses from other commodity demand, whereas endogenous stockholding behavior is more consequential for shorter-period shock transmission. Removing the default cross-period carryover adjustment changes the magnitude of several long-run impacts but does not reverse their principal direction (</w:t>
      </w:r>
      <w:r w:rsidR="00593E61" w:rsidRPr="00593E61">
        <w:rPr>
          <w:rFonts w:cs="Arial"/>
          <w:b/>
          <w:bCs/>
        </w:rPr>
        <w:fldChar w:fldCharType="begin"/>
      </w:r>
      <w:r w:rsidR="00593E61" w:rsidRPr="00593E61">
        <w:rPr>
          <w:rFonts w:cs="Arial"/>
          <w:b/>
          <w:bCs/>
        </w:rPr>
        <w:instrText xml:space="preserve"> REF _Ref241137632 \h </w:instrText>
      </w:r>
      <w:r w:rsidR="00593E61">
        <w:rPr>
          <w:rFonts w:cs="Arial"/>
          <w:b/>
          <w:bCs/>
        </w:rPr>
        <w:instrText xml:space="preserve"> \* MERGEFORMAT </w:instrText>
      </w:r>
      <w:r w:rsidR="00593E61" w:rsidRPr="00593E61">
        <w:rPr>
          <w:rFonts w:cs="Arial"/>
          <w:b/>
          <w:bCs/>
        </w:rPr>
      </w:r>
      <w:r w:rsidR="00593E61" w:rsidRPr="00593E61">
        <w:rPr>
          <w:rFonts w:cs="Arial"/>
          <w:b/>
          <w:bCs/>
        </w:rPr>
        <w:fldChar w:fldCharType="separate"/>
      </w:r>
      <w:r w:rsidR="003E354C" w:rsidRPr="003E354C">
        <w:rPr>
          <w:rFonts w:cs="Arial"/>
          <w:b/>
          <w:bCs/>
        </w:rPr>
        <w:t xml:space="preserve">Supplementary Fig. </w:t>
      </w:r>
      <w:r w:rsidR="003E354C" w:rsidRPr="003E354C">
        <w:rPr>
          <w:rFonts w:cs="Arial"/>
          <w:b/>
          <w:bCs/>
          <w:noProof/>
        </w:rPr>
        <w:t>13</w:t>
      </w:r>
      <w:r w:rsidR="00593E61" w:rsidRPr="00593E61">
        <w:rPr>
          <w:rFonts w:cs="Arial"/>
          <w:b/>
          <w:bCs/>
        </w:rPr>
        <w:fldChar w:fldCharType="end"/>
      </w:r>
      <w:r w:rsidR="00593E61">
        <w:rPr>
          <w:rFonts w:cs="Arial"/>
        </w:rPr>
        <w:t>)</w:t>
      </w:r>
      <w:r w:rsidRPr="00412613">
        <w:rPr>
          <w:rFonts w:cs="Arial"/>
        </w:rPr>
        <w:t>, indicating that the treatment of carryover between five-year model periods represents an important quantitative uncertainty but does not drive the basic structural result.</w:t>
      </w:r>
    </w:p>
    <w:p w14:paraId="5CE24C9A" w14:textId="194D18F2" w:rsidR="00412613" w:rsidRDefault="00412613" w:rsidP="00412613">
      <w:pPr>
        <w:spacing w:line="276" w:lineRule="auto"/>
        <w:rPr>
          <w:rFonts w:cs="Arial"/>
        </w:rPr>
      </w:pPr>
      <w:r w:rsidRPr="00412613">
        <w:rPr>
          <w:rFonts w:cs="Arial"/>
        </w:rPr>
        <w:t>These sensitivity analyses isolate several modeling choices that are particularly relevant to storage, but they are not intended to characterize the full uncertainty in future agrifood pathways. The shock sensitivity uses one internally consistent Earth system–crop-model realization, while storage costs, region–commodity loss rates and other behavioral parameters remain fixed within the corresponding experiments. The results should therefore be interpreted as evidence that the main structural conclusions persist across the storage and yield configurations examined, rather than as probabilistic bounds on future storage or its system-wide impacts.</w:t>
      </w:r>
    </w:p>
    <w:p w14:paraId="400510A0" w14:textId="77777777" w:rsidR="00412613" w:rsidRDefault="00412613" w:rsidP="00F7713A">
      <w:pPr>
        <w:rPr>
          <w:rFonts w:cs="Arial"/>
        </w:rPr>
      </w:pPr>
    </w:p>
    <w:p w14:paraId="163C83A3" w14:textId="335F61FE" w:rsidR="001D5460" w:rsidRDefault="001D5460" w:rsidP="00F7713A">
      <w:pPr>
        <w:rPr>
          <w:rFonts w:cs="Arial"/>
        </w:rPr>
      </w:pPr>
      <w:r>
        <w:rPr>
          <w:noProof/>
        </w:rPr>
        <w:lastRenderedPageBreak/>
        <w:drawing>
          <wp:inline distT="0" distB="0" distL="0" distR="0" wp14:anchorId="5AAEE6AF" wp14:editId="696B060D">
            <wp:extent cx="6858000" cy="3692525"/>
            <wp:effectExtent l="0" t="0" r="0" b="3175"/>
            <wp:docPr id="125703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0" cy="3692525"/>
                    </a:xfrm>
                    <a:prstGeom prst="rect">
                      <a:avLst/>
                    </a:prstGeom>
                    <a:noFill/>
                    <a:ln>
                      <a:noFill/>
                    </a:ln>
                  </pic:spPr>
                </pic:pic>
              </a:graphicData>
            </a:graphic>
          </wp:inline>
        </w:drawing>
      </w:r>
    </w:p>
    <w:p w14:paraId="35AB3352" w14:textId="08D6CBB7" w:rsidR="00F541CB" w:rsidRPr="00432651" w:rsidRDefault="00983273" w:rsidP="00CD7928">
      <w:pPr>
        <w:pStyle w:val="Caption"/>
        <w:jc w:val="both"/>
        <w:rPr>
          <w:vanish/>
          <w:specVanish/>
        </w:rPr>
      </w:pPr>
      <w:bookmarkStart w:id="34" w:name="_Ref241137543"/>
      <w:bookmarkStart w:id="35" w:name="_Ref241137517"/>
      <w:bookmarkStart w:id="36" w:name="_Toc241138226"/>
      <w:r w:rsidRPr="00930585">
        <w:t xml:space="preserve">Supplementary Fig. </w:t>
      </w:r>
      <w:fldSimple w:instr=" SEQ Figure \* ARABIC ">
        <w:r w:rsidR="003E354C">
          <w:rPr>
            <w:noProof/>
          </w:rPr>
          <w:t>7</w:t>
        </w:r>
      </w:fldSimple>
      <w:bookmarkEnd w:id="34"/>
      <w:r w:rsidRPr="00930585">
        <w:t xml:space="preserve"> | </w:t>
      </w:r>
      <w:r w:rsidR="00F541CB" w:rsidRPr="00930585">
        <w:t xml:space="preserve">Global and regional crop stocks in </w:t>
      </w:r>
      <w:r w:rsidR="002002BE">
        <w:t xml:space="preserve">per capita </w:t>
      </w:r>
      <w:r w:rsidR="00F541CB" w:rsidRPr="00930585">
        <w:t>dietary-energy terms.</w:t>
      </w:r>
      <w:bookmarkEnd w:id="35"/>
      <w:bookmarkEnd w:id="36"/>
    </w:p>
    <w:p w14:paraId="6A526678" w14:textId="77777777" w:rsidR="006C6FCC" w:rsidRDefault="00432651" w:rsidP="006C6FCC">
      <w:pPr>
        <w:jc w:val="both"/>
        <w:rPr>
          <w:noProof/>
        </w:rPr>
      </w:pPr>
      <w:r>
        <w:rPr>
          <w:noProof/>
        </w:rPr>
        <w:t xml:space="preserve"> </w:t>
      </w:r>
      <w:r w:rsidR="00F541CB" w:rsidRPr="00930585">
        <w:rPr>
          <w:noProof/>
        </w:rPr>
        <w:t>Stacked bars show closing stock levels by crop sector, converted to kilocalories per capita per day.</w:t>
      </w:r>
      <w:r>
        <w:rPr>
          <w:noProof/>
        </w:rPr>
        <w:t xml:space="preserve"> This figure supplements </w:t>
      </w:r>
      <w:r w:rsidR="00575947" w:rsidRPr="00575947">
        <w:rPr>
          <w:b/>
          <w:bCs/>
          <w:noProof/>
        </w:rPr>
        <w:t xml:space="preserve">Main </w:t>
      </w:r>
      <w:r w:rsidRPr="00575947">
        <w:rPr>
          <w:b/>
          <w:bCs/>
          <w:noProof/>
        </w:rPr>
        <w:t>Fig.4B</w:t>
      </w:r>
      <w:r w:rsidRPr="00CD7928">
        <w:rPr>
          <w:noProof/>
        </w:rPr>
        <w:t>.</w:t>
      </w:r>
      <w:r w:rsidR="00CD7928" w:rsidRPr="00CD7928">
        <w:rPr>
          <w:noProof/>
        </w:rPr>
        <w:t xml:space="preserve"> </w:t>
      </w:r>
      <w:r w:rsidR="00CD7928" w:rsidRPr="00CD7928">
        <w:rPr>
          <w:rFonts w:cs="Arial"/>
        </w:rPr>
        <w:t>Results are reported for IPCC R10 regions and the world.</w:t>
      </w:r>
      <w:r w:rsidRPr="00CD7928">
        <w:rPr>
          <w:noProof/>
        </w:rPr>
        <w:t xml:space="preserve"> Data source: GCAM simulation results.</w:t>
      </w:r>
      <w:r w:rsidR="00F541CB" w:rsidRPr="00CD7928">
        <w:rPr>
          <w:noProof/>
        </w:rPr>
        <w:t xml:space="preserve"> </w:t>
      </w:r>
    </w:p>
    <w:p w14:paraId="77D4329B" w14:textId="77777777" w:rsidR="006C6FCC" w:rsidRDefault="006C6FCC" w:rsidP="006C6FCC">
      <w:pPr>
        <w:jc w:val="both"/>
        <w:rPr>
          <w:noProof/>
        </w:rPr>
      </w:pPr>
    </w:p>
    <w:p w14:paraId="62B0E606" w14:textId="656F25DA" w:rsidR="006C6FCC" w:rsidRPr="006C6FCC" w:rsidRDefault="006C6FCC" w:rsidP="006C6FCC">
      <w:pPr>
        <w:jc w:val="both"/>
        <w:rPr>
          <w:rFonts w:cs="Arial"/>
        </w:rPr>
      </w:pPr>
      <w:r>
        <w:rPr>
          <w:rFonts w:ascii="Aptos" w:hAnsi="Aptos" w:cs="Arial"/>
          <w:noProof/>
        </w:rPr>
        <w:br w:type="page"/>
      </w:r>
    </w:p>
    <w:p w14:paraId="0EC0D91E" w14:textId="41011C8B" w:rsidR="00CD7928" w:rsidRDefault="00CD7928" w:rsidP="00CD7928">
      <w:pPr>
        <w:spacing w:after="120" w:line="240" w:lineRule="auto"/>
        <w:jc w:val="both"/>
        <w:rPr>
          <w:rFonts w:ascii="Aptos" w:hAnsi="Aptos" w:cs="Arial"/>
          <w:noProof/>
        </w:rPr>
      </w:pPr>
      <w:r>
        <w:rPr>
          <w:noProof/>
        </w:rPr>
        <w:lastRenderedPageBreak/>
        <w:drawing>
          <wp:inline distT="0" distB="0" distL="0" distR="0" wp14:anchorId="5C9EE5F0" wp14:editId="6DA3FD5D">
            <wp:extent cx="6858000" cy="7481570"/>
            <wp:effectExtent l="0" t="0" r="0" b="0"/>
            <wp:docPr id="5896080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0" cy="7481570"/>
                    </a:xfrm>
                    <a:prstGeom prst="rect">
                      <a:avLst/>
                    </a:prstGeom>
                    <a:noFill/>
                    <a:ln>
                      <a:noFill/>
                    </a:ln>
                  </pic:spPr>
                </pic:pic>
              </a:graphicData>
            </a:graphic>
          </wp:inline>
        </w:drawing>
      </w:r>
    </w:p>
    <w:p w14:paraId="62B1C9C7" w14:textId="45235924" w:rsidR="00CD7928" w:rsidRPr="00D37ED0" w:rsidRDefault="00CD7928" w:rsidP="00D37ED0">
      <w:pPr>
        <w:pStyle w:val="Caption"/>
        <w:jc w:val="both"/>
        <w:rPr>
          <w:vanish/>
          <w:sz w:val="16"/>
          <w:szCs w:val="12"/>
          <w:specVanish/>
        </w:rPr>
      </w:pPr>
      <w:bookmarkStart w:id="37" w:name="_Ref237900758"/>
      <w:bookmarkStart w:id="38" w:name="_Toc241138227"/>
      <w:r w:rsidRPr="00930585">
        <w:t xml:space="preserve">Supplementary Fig. </w:t>
      </w:r>
      <w:fldSimple w:instr=" SEQ Figure \* ARABIC ">
        <w:r w:rsidR="003E354C">
          <w:rPr>
            <w:noProof/>
          </w:rPr>
          <w:t>8</w:t>
        </w:r>
      </w:fldSimple>
      <w:bookmarkEnd w:id="37"/>
      <w:r w:rsidRPr="00930585">
        <w:t xml:space="preserve"> </w:t>
      </w:r>
      <w:r w:rsidRPr="003E641D">
        <w:t xml:space="preserve"> | Agroeconomic and environmental projections under dynamic storage.</w:t>
      </w:r>
      <w:bookmarkEnd w:id="38"/>
      <w:r w:rsidRPr="003E641D">
        <w:t xml:space="preserve"> </w:t>
      </w:r>
    </w:p>
    <w:p w14:paraId="17561636" w14:textId="23F8CDF0" w:rsidR="00CD7928" w:rsidRPr="00D37ED0" w:rsidRDefault="00CD7928" w:rsidP="00D37ED0">
      <w:pPr>
        <w:spacing w:after="120" w:line="240" w:lineRule="auto"/>
        <w:jc w:val="both"/>
        <w:rPr>
          <w:rFonts w:cs="Arial"/>
          <w:sz w:val="16"/>
          <w:szCs w:val="16"/>
        </w:rPr>
      </w:pPr>
      <w:r w:rsidRPr="00D37ED0">
        <w:rPr>
          <w:rFonts w:cs="Arial"/>
          <w:sz w:val="16"/>
          <w:szCs w:val="16"/>
        </w:rPr>
        <w:t>GCAM v9.1 projections from the Dynamic Storage scenario (S1). Panels A–C show regional supply–utilization accounts for cereal grains, oil crops and sugar crops, respectively, expressed in primary-commodity-equivalent (PCe) mass units. Supply elements are plotted above zero and demand elements below zero; opening stocks enter regional supply, whereas closing stocks and storage-associated losses enter demand. Panel D shows land cover and use by category (rock, ice, desert, tundra, and urban not included). Panels E–H show agricultural labor input, capital input, irrigation-water withdrawals, and nitrogen fertilizer use, respectively. Panel I shows producer-price indices for the four storable crop groups relative to 2021. Panel J shows cumulative agricultural CH</w:t>
      </w:r>
      <w:r w:rsidRPr="00D37ED0">
        <w:rPr>
          <w:rFonts w:cs="Arial"/>
          <w:sz w:val="16"/>
          <w:szCs w:val="16"/>
          <w:vertAlign w:val="subscript"/>
        </w:rPr>
        <w:t>4</w:t>
      </w:r>
      <w:r w:rsidRPr="00D37ED0">
        <w:rPr>
          <w:rFonts w:cs="Arial"/>
          <w:sz w:val="16"/>
          <w:szCs w:val="16"/>
        </w:rPr>
        <w:t xml:space="preserve"> and N</w:t>
      </w:r>
      <w:r w:rsidRPr="00D37ED0">
        <w:rPr>
          <w:rFonts w:cs="Arial"/>
          <w:sz w:val="16"/>
          <w:szCs w:val="16"/>
          <w:vertAlign w:val="subscript"/>
        </w:rPr>
        <w:t>2</w:t>
      </w:r>
      <w:r w:rsidRPr="00D37ED0">
        <w:rPr>
          <w:rFonts w:cs="Arial"/>
          <w:sz w:val="16"/>
          <w:szCs w:val="16"/>
        </w:rPr>
        <w:t>O emissions, converted to CO</w:t>
      </w:r>
      <w:r w:rsidRPr="00D37ED0">
        <w:rPr>
          <w:rFonts w:cs="Arial"/>
          <w:sz w:val="16"/>
          <w:szCs w:val="16"/>
          <w:vertAlign w:val="subscript"/>
        </w:rPr>
        <w:t>2</w:t>
      </w:r>
      <w:r w:rsidRPr="00D37ED0">
        <w:rPr>
          <w:rFonts w:cs="Arial"/>
          <w:sz w:val="16"/>
          <w:szCs w:val="16"/>
        </w:rPr>
        <w:t>-equivalent using 100-year global warming potentials (GWP100), together with CO</w:t>
      </w:r>
      <w:r w:rsidRPr="00D37ED0">
        <w:rPr>
          <w:rFonts w:cs="Arial"/>
          <w:sz w:val="16"/>
          <w:szCs w:val="16"/>
          <w:vertAlign w:val="subscript"/>
        </w:rPr>
        <w:t>2</w:t>
      </w:r>
      <w:r w:rsidRPr="00D37ED0">
        <w:rPr>
          <w:rFonts w:cs="Arial"/>
          <w:sz w:val="16"/>
          <w:szCs w:val="16"/>
        </w:rPr>
        <w:t xml:space="preserve"> emissions from land use, land-use change and forestry (LULUCF), accumulated from 2021 through each indicated year. Data source: GCAM simulation results.</w:t>
      </w:r>
    </w:p>
    <w:p w14:paraId="6CA9368B" w14:textId="197DA199" w:rsidR="00CD7928" w:rsidRDefault="00CD7928" w:rsidP="00CD7928">
      <w:pPr>
        <w:spacing w:after="120" w:line="240" w:lineRule="auto"/>
        <w:jc w:val="both"/>
        <w:rPr>
          <w:rFonts w:ascii="Aptos" w:hAnsi="Aptos" w:cs="Arial"/>
          <w:noProof/>
        </w:rPr>
      </w:pPr>
      <w:r>
        <w:rPr>
          <w:noProof/>
        </w:rPr>
        <w:lastRenderedPageBreak/>
        <w:drawing>
          <wp:inline distT="0" distB="0" distL="0" distR="0" wp14:anchorId="17B9F3C2" wp14:editId="40B693A0">
            <wp:extent cx="6858000" cy="7481570"/>
            <wp:effectExtent l="0" t="0" r="0" b="5080"/>
            <wp:docPr id="499945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7481570"/>
                    </a:xfrm>
                    <a:prstGeom prst="rect">
                      <a:avLst/>
                    </a:prstGeom>
                    <a:noFill/>
                    <a:ln>
                      <a:noFill/>
                    </a:ln>
                  </pic:spPr>
                </pic:pic>
              </a:graphicData>
            </a:graphic>
          </wp:inline>
        </w:drawing>
      </w:r>
    </w:p>
    <w:p w14:paraId="7947D2A8" w14:textId="21855BD6" w:rsidR="00AF6919" w:rsidRPr="00AF6919" w:rsidRDefault="00CD7928" w:rsidP="00CD7928">
      <w:pPr>
        <w:pStyle w:val="Caption"/>
        <w:jc w:val="both"/>
        <w:rPr>
          <w:vanish/>
          <w:sz w:val="20"/>
          <w:szCs w:val="20"/>
          <w:specVanish/>
        </w:rPr>
      </w:pPr>
      <w:bookmarkStart w:id="39" w:name="_Ref237901190"/>
      <w:bookmarkStart w:id="40" w:name="_Toc241138228"/>
      <w:r w:rsidRPr="00AF6919">
        <w:rPr>
          <w:sz w:val="20"/>
          <w:szCs w:val="20"/>
        </w:rPr>
        <w:t xml:space="preserve">Supplementary Fig. </w:t>
      </w:r>
      <w:r w:rsidRPr="00AF6919">
        <w:rPr>
          <w:sz w:val="20"/>
          <w:szCs w:val="20"/>
        </w:rPr>
        <w:fldChar w:fldCharType="begin"/>
      </w:r>
      <w:r w:rsidRPr="00AF6919">
        <w:rPr>
          <w:sz w:val="20"/>
          <w:szCs w:val="20"/>
        </w:rPr>
        <w:instrText xml:space="preserve"> SEQ Figure \* ARABIC </w:instrText>
      </w:r>
      <w:r w:rsidRPr="00AF6919">
        <w:rPr>
          <w:sz w:val="20"/>
          <w:szCs w:val="20"/>
        </w:rPr>
        <w:fldChar w:fldCharType="separate"/>
      </w:r>
      <w:r w:rsidR="003E354C">
        <w:rPr>
          <w:noProof/>
          <w:sz w:val="20"/>
          <w:szCs w:val="20"/>
        </w:rPr>
        <w:t>9</w:t>
      </w:r>
      <w:r w:rsidRPr="00AF6919">
        <w:rPr>
          <w:sz w:val="20"/>
          <w:szCs w:val="20"/>
        </w:rPr>
        <w:fldChar w:fldCharType="end"/>
      </w:r>
      <w:bookmarkEnd w:id="39"/>
      <w:r w:rsidRPr="00AF6919">
        <w:rPr>
          <w:sz w:val="20"/>
          <w:szCs w:val="20"/>
        </w:rPr>
        <w:t xml:space="preserve">  | Agroeconomic and environmental projections under hidden storage.</w:t>
      </w:r>
      <w:bookmarkEnd w:id="40"/>
      <w:r w:rsidR="00AF6919" w:rsidRPr="00AF6919">
        <w:rPr>
          <w:sz w:val="20"/>
          <w:szCs w:val="20"/>
        </w:rPr>
        <w:t xml:space="preserve"> </w:t>
      </w:r>
    </w:p>
    <w:p w14:paraId="299A40D2" w14:textId="18496277" w:rsidR="00CD7928" w:rsidRPr="00AF6919" w:rsidRDefault="00AF6919" w:rsidP="00AF6919">
      <w:pPr>
        <w:rPr>
          <w:rFonts w:ascii="Aptos" w:hAnsi="Aptos"/>
          <w:noProof/>
          <w:sz w:val="20"/>
          <w:szCs w:val="20"/>
        </w:rPr>
      </w:pPr>
      <w:r w:rsidRPr="00AF6919">
        <w:rPr>
          <w:sz w:val="20"/>
          <w:szCs w:val="20"/>
        </w:rPr>
        <w:t xml:space="preserve"> GCAM v9.1 projections from the </w:t>
      </w:r>
      <w:r w:rsidR="00D66429">
        <w:rPr>
          <w:sz w:val="20"/>
          <w:szCs w:val="20"/>
        </w:rPr>
        <w:t>Hidden</w:t>
      </w:r>
      <w:r w:rsidRPr="00AF6919">
        <w:rPr>
          <w:sz w:val="20"/>
          <w:szCs w:val="20"/>
        </w:rPr>
        <w:t xml:space="preserve"> Storage scenario (S</w:t>
      </w:r>
      <w:r w:rsidR="00D66429">
        <w:rPr>
          <w:sz w:val="20"/>
          <w:szCs w:val="20"/>
        </w:rPr>
        <w:t>2</w:t>
      </w:r>
      <w:r w:rsidRPr="00AF6919">
        <w:rPr>
          <w:sz w:val="20"/>
          <w:szCs w:val="20"/>
        </w:rPr>
        <w:t xml:space="preserve">). See </w:t>
      </w:r>
      <w:r w:rsidRPr="00AF6919">
        <w:rPr>
          <w:b/>
          <w:bCs/>
          <w:sz w:val="20"/>
          <w:szCs w:val="20"/>
        </w:rPr>
        <w:fldChar w:fldCharType="begin"/>
      </w:r>
      <w:r w:rsidRPr="00AF6919">
        <w:rPr>
          <w:b/>
          <w:bCs/>
          <w:sz w:val="20"/>
          <w:szCs w:val="20"/>
        </w:rPr>
        <w:instrText xml:space="preserve"> REF _Ref237900758 \h  \* MERGEFORMAT </w:instrText>
      </w:r>
      <w:r w:rsidRPr="00AF6919">
        <w:rPr>
          <w:b/>
          <w:bCs/>
          <w:sz w:val="20"/>
          <w:szCs w:val="20"/>
        </w:rPr>
      </w:r>
      <w:r w:rsidRPr="00AF6919">
        <w:rPr>
          <w:b/>
          <w:bCs/>
          <w:sz w:val="20"/>
          <w:szCs w:val="20"/>
        </w:rPr>
        <w:fldChar w:fldCharType="separate"/>
      </w:r>
      <w:r w:rsidR="003E354C" w:rsidRPr="003E354C">
        <w:rPr>
          <w:b/>
          <w:bCs/>
          <w:sz w:val="20"/>
          <w:szCs w:val="20"/>
        </w:rPr>
        <w:t xml:space="preserve">Supplementary Fig. </w:t>
      </w:r>
      <w:r w:rsidR="003E354C" w:rsidRPr="003E354C">
        <w:rPr>
          <w:b/>
          <w:bCs/>
          <w:noProof/>
          <w:sz w:val="20"/>
          <w:szCs w:val="20"/>
        </w:rPr>
        <w:t>8</w:t>
      </w:r>
      <w:r w:rsidRPr="00AF6919">
        <w:rPr>
          <w:b/>
          <w:bCs/>
          <w:sz w:val="20"/>
          <w:szCs w:val="20"/>
        </w:rPr>
        <w:fldChar w:fldCharType="end"/>
      </w:r>
      <w:r w:rsidRPr="00AF6919">
        <w:rPr>
          <w:sz w:val="20"/>
          <w:szCs w:val="20"/>
        </w:rPr>
        <w:t xml:space="preserve"> for detailed captions.</w:t>
      </w:r>
    </w:p>
    <w:p w14:paraId="37125867" w14:textId="60B99C39" w:rsidR="00CD7928" w:rsidRDefault="007A0932" w:rsidP="00CD7928">
      <w:pPr>
        <w:spacing w:after="120" w:line="240" w:lineRule="auto"/>
        <w:jc w:val="both"/>
        <w:rPr>
          <w:rFonts w:ascii="Aptos" w:hAnsi="Aptos" w:cs="Arial"/>
          <w:noProof/>
        </w:rPr>
      </w:pPr>
      <w:r>
        <w:rPr>
          <w:noProof/>
        </w:rPr>
        <w:lastRenderedPageBreak/>
        <w:drawing>
          <wp:inline distT="0" distB="0" distL="0" distR="0" wp14:anchorId="3BDC0EFA" wp14:editId="6D4D1218">
            <wp:extent cx="6858000" cy="7481570"/>
            <wp:effectExtent l="0" t="0" r="0" b="5080"/>
            <wp:docPr id="923438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0" cy="7481570"/>
                    </a:xfrm>
                    <a:prstGeom prst="rect">
                      <a:avLst/>
                    </a:prstGeom>
                    <a:noFill/>
                    <a:ln>
                      <a:noFill/>
                    </a:ln>
                  </pic:spPr>
                </pic:pic>
              </a:graphicData>
            </a:graphic>
          </wp:inline>
        </w:drawing>
      </w:r>
    </w:p>
    <w:p w14:paraId="6EB4F723" w14:textId="0F341169" w:rsidR="007A0932" w:rsidRPr="00D37ED0" w:rsidRDefault="007A0932" w:rsidP="00D37ED0">
      <w:pPr>
        <w:pStyle w:val="Caption"/>
        <w:jc w:val="both"/>
        <w:rPr>
          <w:vanish/>
          <w:szCs w:val="22"/>
          <w:specVanish/>
        </w:rPr>
      </w:pPr>
      <w:bookmarkStart w:id="41" w:name="_Ref241137601"/>
      <w:bookmarkStart w:id="42" w:name="_Toc241138229"/>
      <w:r w:rsidRPr="00D37ED0">
        <w:rPr>
          <w:szCs w:val="22"/>
        </w:rPr>
        <w:t xml:space="preserve">Supplementary Fig. </w:t>
      </w:r>
      <w:r w:rsidRPr="00D37ED0">
        <w:rPr>
          <w:szCs w:val="22"/>
        </w:rPr>
        <w:fldChar w:fldCharType="begin"/>
      </w:r>
      <w:r w:rsidRPr="00D37ED0">
        <w:rPr>
          <w:szCs w:val="22"/>
        </w:rPr>
        <w:instrText xml:space="preserve"> SEQ Figure \* ARABIC </w:instrText>
      </w:r>
      <w:r w:rsidRPr="00D37ED0">
        <w:rPr>
          <w:szCs w:val="22"/>
        </w:rPr>
        <w:fldChar w:fldCharType="separate"/>
      </w:r>
      <w:r w:rsidR="003E354C">
        <w:rPr>
          <w:noProof/>
          <w:szCs w:val="22"/>
        </w:rPr>
        <w:t>10</w:t>
      </w:r>
      <w:r w:rsidRPr="00D37ED0">
        <w:rPr>
          <w:szCs w:val="22"/>
        </w:rPr>
        <w:fldChar w:fldCharType="end"/>
      </w:r>
      <w:bookmarkEnd w:id="41"/>
      <w:r w:rsidRPr="00D37ED0">
        <w:rPr>
          <w:szCs w:val="22"/>
        </w:rPr>
        <w:t xml:space="preserve">  | Impact of dynamic storage representation (Dynamic vs. Hidden) on agroeconomic and environmental projections.</w:t>
      </w:r>
      <w:bookmarkEnd w:id="42"/>
      <w:r w:rsidRPr="00D37ED0">
        <w:rPr>
          <w:szCs w:val="22"/>
        </w:rPr>
        <w:t xml:space="preserve"> </w:t>
      </w:r>
    </w:p>
    <w:p w14:paraId="6329540C" w14:textId="4F68C630" w:rsidR="005E5CAE" w:rsidRPr="00D37ED0" w:rsidRDefault="007A0932" w:rsidP="00D37ED0">
      <w:pPr>
        <w:spacing w:line="240" w:lineRule="auto"/>
      </w:pPr>
      <w:r w:rsidRPr="00D37ED0">
        <w:t xml:space="preserve"> </w:t>
      </w:r>
      <w:r w:rsidR="00335389" w:rsidRPr="00D37ED0">
        <w:rPr>
          <w:sz w:val="16"/>
          <w:szCs w:val="16"/>
        </w:rPr>
        <w:t xml:space="preserve">Panels A–C show differences in balanced supply–utilization accounts between dynamic and hidden storage (S1−S2). Supply-side changes are plotted as S1−S2, whereas demand-side changes are sign-reversed; positive values therefore indicate higher supply or lower demand under dynamic storage, and negative values indicate the reverse. Black points show explicit net stock variation (closing minus opening stocks), which enters the balance as a demand item and </w:t>
      </w:r>
      <w:r w:rsidR="005E5CAE" w:rsidRPr="00D37ED0">
        <w:rPr>
          <w:sz w:val="16"/>
          <w:szCs w:val="16"/>
        </w:rPr>
        <w:t>uses</w:t>
      </w:r>
      <w:r w:rsidR="00335389" w:rsidRPr="00D37ED0">
        <w:rPr>
          <w:sz w:val="16"/>
          <w:szCs w:val="16"/>
        </w:rPr>
        <w:t xml:space="preserve"> the same sign convention. In the hidden-storage scenario, this flow is not separately represented but remains embedded within “other uses”.</w:t>
      </w:r>
      <w:r w:rsidR="005E5CAE" w:rsidRPr="00D37ED0">
        <w:rPr>
          <w:sz w:val="16"/>
          <w:szCs w:val="16"/>
        </w:rPr>
        <w:t xml:space="preserve"> Including net stock variation, total positive and total negative contributions offset in each region and model year.</w:t>
      </w:r>
      <w:r w:rsidR="00335389" w:rsidRPr="00D37ED0">
        <w:rPr>
          <w:sz w:val="16"/>
          <w:szCs w:val="16"/>
        </w:rPr>
        <w:t xml:space="preserve"> </w:t>
      </w:r>
      <w:r w:rsidR="005E5CAE" w:rsidRPr="00D37ED0">
        <w:rPr>
          <w:sz w:val="16"/>
          <w:szCs w:val="16"/>
        </w:rPr>
        <w:t xml:space="preserve">See </w:t>
      </w:r>
      <w:r w:rsidR="005E5CAE" w:rsidRPr="002B5865">
        <w:rPr>
          <w:b/>
          <w:bCs/>
          <w:sz w:val="16"/>
          <w:szCs w:val="16"/>
        </w:rPr>
        <w:fldChar w:fldCharType="begin"/>
      </w:r>
      <w:r w:rsidR="005E5CAE" w:rsidRPr="002B5865">
        <w:rPr>
          <w:b/>
          <w:bCs/>
          <w:sz w:val="16"/>
          <w:szCs w:val="16"/>
        </w:rPr>
        <w:instrText xml:space="preserve"> REF _Ref237900758 \h  \* MERGEFORMAT </w:instrText>
      </w:r>
      <w:r w:rsidR="005E5CAE" w:rsidRPr="002B5865">
        <w:rPr>
          <w:b/>
          <w:bCs/>
          <w:sz w:val="16"/>
          <w:szCs w:val="16"/>
        </w:rPr>
      </w:r>
      <w:r w:rsidR="005E5CAE" w:rsidRPr="002B5865">
        <w:rPr>
          <w:b/>
          <w:bCs/>
          <w:sz w:val="16"/>
          <w:szCs w:val="16"/>
        </w:rPr>
        <w:fldChar w:fldCharType="separate"/>
      </w:r>
      <w:r w:rsidR="003E354C" w:rsidRPr="003E354C">
        <w:rPr>
          <w:b/>
          <w:bCs/>
          <w:sz w:val="16"/>
          <w:szCs w:val="16"/>
        </w:rPr>
        <w:t xml:space="preserve">Supplementary Fig. </w:t>
      </w:r>
      <w:r w:rsidR="003E354C" w:rsidRPr="003E354C">
        <w:rPr>
          <w:b/>
          <w:bCs/>
          <w:noProof/>
          <w:sz w:val="16"/>
          <w:szCs w:val="16"/>
        </w:rPr>
        <w:t>8</w:t>
      </w:r>
      <w:r w:rsidR="005E5CAE" w:rsidRPr="002B5865">
        <w:rPr>
          <w:b/>
          <w:bCs/>
          <w:sz w:val="16"/>
          <w:szCs w:val="16"/>
        </w:rPr>
        <w:fldChar w:fldCharType="end"/>
      </w:r>
      <w:r w:rsidR="005E5CAE" w:rsidRPr="002B5865">
        <w:rPr>
          <w:b/>
          <w:bCs/>
          <w:sz w:val="16"/>
          <w:szCs w:val="16"/>
        </w:rPr>
        <w:t xml:space="preserve"> </w:t>
      </w:r>
      <w:r w:rsidR="005E5CAE" w:rsidRPr="002B5865">
        <w:rPr>
          <w:sz w:val="16"/>
          <w:szCs w:val="16"/>
        </w:rPr>
        <w:t>and</w:t>
      </w:r>
      <w:r w:rsidR="005E5CAE" w:rsidRPr="002B5865">
        <w:rPr>
          <w:b/>
          <w:bCs/>
          <w:sz w:val="16"/>
          <w:szCs w:val="16"/>
        </w:rPr>
        <w:t xml:space="preserve"> </w:t>
      </w:r>
      <w:r w:rsidR="002B5865" w:rsidRPr="002B5865">
        <w:rPr>
          <w:b/>
          <w:bCs/>
          <w:sz w:val="16"/>
          <w:szCs w:val="16"/>
        </w:rPr>
        <w:fldChar w:fldCharType="begin"/>
      </w:r>
      <w:r w:rsidR="002B5865" w:rsidRPr="002B5865">
        <w:rPr>
          <w:b/>
          <w:bCs/>
          <w:sz w:val="16"/>
          <w:szCs w:val="16"/>
        </w:rPr>
        <w:instrText xml:space="preserve"> REF _Ref237901190 \h  \* MERGEFORMAT </w:instrText>
      </w:r>
      <w:r w:rsidR="002B5865" w:rsidRPr="002B5865">
        <w:rPr>
          <w:b/>
          <w:bCs/>
          <w:sz w:val="16"/>
          <w:szCs w:val="16"/>
        </w:rPr>
      </w:r>
      <w:r w:rsidR="002B5865" w:rsidRPr="002B5865">
        <w:rPr>
          <w:b/>
          <w:bCs/>
          <w:sz w:val="16"/>
          <w:szCs w:val="16"/>
        </w:rPr>
        <w:fldChar w:fldCharType="separate"/>
      </w:r>
      <w:r w:rsidR="003E354C" w:rsidRPr="003E354C">
        <w:rPr>
          <w:b/>
          <w:bCs/>
          <w:sz w:val="16"/>
          <w:szCs w:val="16"/>
        </w:rPr>
        <w:t xml:space="preserve">Supplementary Fig. </w:t>
      </w:r>
      <w:r w:rsidR="003E354C" w:rsidRPr="003E354C">
        <w:rPr>
          <w:b/>
          <w:bCs/>
          <w:noProof/>
          <w:sz w:val="16"/>
          <w:szCs w:val="16"/>
        </w:rPr>
        <w:t>9</w:t>
      </w:r>
      <w:r w:rsidR="002B5865" w:rsidRPr="002B5865">
        <w:rPr>
          <w:b/>
          <w:bCs/>
          <w:sz w:val="16"/>
          <w:szCs w:val="16"/>
        </w:rPr>
        <w:fldChar w:fldCharType="end"/>
      </w:r>
      <w:r w:rsidR="005E5CAE" w:rsidRPr="002B5865">
        <w:rPr>
          <w:b/>
          <w:bCs/>
          <w:sz w:val="16"/>
          <w:szCs w:val="16"/>
        </w:rPr>
        <w:t xml:space="preserve"> </w:t>
      </w:r>
      <w:r w:rsidR="005E5CAE" w:rsidRPr="002B5865">
        <w:rPr>
          <w:sz w:val="16"/>
          <w:szCs w:val="16"/>
        </w:rPr>
        <w:t>for add</w:t>
      </w:r>
      <w:r w:rsidR="005E5CAE" w:rsidRPr="00D37ED0">
        <w:rPr>
          <w:sz w:val="16"/>
          <w:szCs w:val="16"/>
        </w:rPr>
        <w:t>itional details.</w:t>
      </w:r>
    </w:p>
    <w:p w14:paraId="2173B35F" w14:textId="17B2FAAB" w:rsidR="007A0932" w:rsidRDefault="00345171" w:rsidP="00CD7928">
      <w:pPr>
        <w:spacing w:after="120" w:line="240" w:lineRule="auto"/>
        <w:jc w:val="both"/>
        <w:rPr>
          <w:rFonts w:ascii="Aptos" w:hAnsi="Aptos" w:cs="Arial"/>
          <w:noProof/>
        </w:rPr>
      </w:pPr>
      <w:r>
        <w:rPr>
          <w:noProof/>
        </w:rPr>
        <w:lastRenderedPageBreak/>
        <w:drawing>
          <wp:inline distT="0" distB="0" distL="0" distR="0" wp14:anchorId="3FCA45E2" wp14:editId="1C482980">
            <wp:extent cx="6858000" cy="6858000"/>
            <wp:effectExtent l="0" t="0" r="0" b="0"/>
            <wp:docPr id="12284475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47552" name="Picture 3"/>
                    <pic:cNvPicPr>
                      <a:picLocks noChangeAspect="1" noChangeArrowheads="1"/>
                    </pic:cNvPicPr>
                  </pic:nvPicPr>
                  <pic:blipFill>
                    <a:blip r:embed="rId21"/>
                    <a:stretch>
                      <a:fillRect/>
                    </a:stretch>
                  </pic:blipFill>
                  <pic:spPr bwMode="auto">
                    <a:xfrm>
                      <a:off x="0" y="0"/>
                      <a:ext cx="6858000" cy="6858000"/>
                    </a:xfrm>
                    <a:prstGeom prst="rect">
                      <a:avLst/>
                    </a:prstGeom>
                    <a:noFill/>
                    <a:ln>
                      <a:noFill/>
                    </a:ln>
                  </pic:spPr>
                </pic:pic>
              </a:graphicData>
            </a:graphic>
          </wp:inline>
        </w:drawing>
      </w:r>
    </w:p>
    <w:p w14:paraId="430D1AC7" w14:textId="7CD88FA4" w:rsidR="00345171" w:rsidRPr="006F3978" w:rsidRDefault="00345171" w:rsidP="00345171">
      <w:pPr>
        <w:pStyle w:val="Caption"/>
        <w:jc w:val="both"/>
        <w:rPr>
          <w:vanish/>
          <w:szCs w:val="22"/>
          <w:specVanish/>
        </w:rPr>
      </w:pPr>
      <w:bookmarkStart w:id="43" w:name="_Ref241137617"/>
      <w:bookmarkStart w:id="44" w:name="_Toc241138230"/>
      <w:r w:rsidRPr="006F3978">
        <w:rPr>
          <w:szCs w:val="22"/>
        </w:rPr>
        <w:t xml:space="preserve">Supplementary Fig. </w:t>
      </w:r>
      <w:r w:rsidRPr="006F3978">
        <w:rPr>
          <w:szCs w:val="22"/>
        </w:rPr>
        <w:fldChar w:fldCharType="begin"/>
      </w:r>
      <w:r w:rsidRPr="006F3978">
        <w:rPr>
          <w:szCs w:val="22"/>
        </w:rPr>
        <w:instrText xml:space="preserve"> SEQ Figure \* ARABIC </w:instrText>
      </w:r>
      <w:r w:rsidRPr="006F3978">
        <w:rPr>
          <w:szCs w:val="22"/>
        </w:rPr>
        <w:fldChar w:fldCharType="separate"/>
      </w:r>
      <w:r w:rsidR="003E354C">
        <w:rPr>
          <w:noProof/>
          <w:szCs w:val="22"/>
        </w:rPr>
        <w:t>11</w:t>
      </w:r>
      <w:r w:rsidRPr="006F3978">
        <w:rPr>
          <w:szCs w:val="22"/>
        </w:rPr>
        <w:fldChar w:fldCharType="end"/>
      </w:r>
      <w:bookmarkEnd w:id="43"/>
      <w:r w:rsidRPr="006F3978">
        <w:rPr>
          <w:szCs w:val="22"/>
        </w:rPr>
        <w:t xml:space="preserve">  | Agricultural storage dynamics and multisectoral impacts under biophysical yield shocks.</w:t>
      </w:r>
      <w:bookmarkEnd w:id="44"/>
      <w:r w:rsidRPr="006F3978">
        <w:rPr>
          <w:szCs w:val="22"/>
        </w:rPr>
        <w:t xml:space="preserve"> </w:t>
      </w:r>
    </w:p>
    <w:p w14:paraId="5D604340" w14:textId="5C1C7D84" w:rsidR="00345171" w:rsidRPr="006F3978" w:rsidRDefault="00345171" w:rsidP="00345171">
      <w:pPr>
        <w:spacing w:after="120" w:line="240" w:lineRule="auto"/>
        <w:jc w:val="both"/>
        <w:rPr>
          <w:rFonts w:ascii="Aptos" w:hAnsi="Aptos" w:cs="Arial"/>
          <w:noProof/>
          <w:sz w:val="24"/>
          <w:szCs w:val="24"/>
        </w:rPr>
      </w:pPr>
      <w:r w:rsidRPr="006F3978">
        <w:t xml:space="preserve"> Panels A–D show projected closing stocks, their regional and sectoral composition, net stock variation</w:t>
      </w:r>
      <w:r w:rsidR="00AD7D48" w:rsidRPr="006F3978">
        <w:t>,</w:t>
      </w:r>
      <w:r w:rsidRPr="006F3978">
        <w:t xml:space="preserve"> and storage-associated losses under dynamic storage with HadGEM2-ES–GEPIC yield shocks (S3). Panels E–J show differences between dynamic and hidden storage under the same yield shocks (S3</w:t>
      </w:r>
      <w:r w:rsidR="00AD7D48" w:rsidRPr="006F3978">
        <w:t xml:space="preserve"> vs. </w:t>
      </w:r>
      <w:r w:rsidRPr="006F3978">
        <w:t>S4) in production, irrigation-water withdrawals, land use</w:t>
      </w:r>
      <w:r w:rsidR="00AD7D48" w:rsidRPr="006F3978">
        <w:t>,</w:t>
      </w:r>
      <w:r w:rsidRPr="006F3978">
        <w:t xml:space="preserve"> and cumulative agricultural and LULUCF emissions. Panels I–J show impacts accumulated from 2021 to 2100. Panel definitions, sign conventions, and units follow </w:t>
      </w:r>
      <w:r w:rsidRPr="006F3978">
        <w:rPr>
          <w:b/>
          <w:bCs/>
        </w:rPr>
        <w:t>Main Fig. 4</w:t>
      </w:r>
      <w:r w:rsidRPr="006F3978">
        <w:t>. Data source: GCAM simulation results.</w:t>
      </w:r>
    </w:p>
    <w:p w14:paraId="4FB35132" w14:textId="4DF5BD2D" w:rsidR="00345171" w:rsidRDefault="00345171" w:rsidP="00CD7928">
      <w:pPr>
        <w:spacing w:after="120" w:line="240" w:lineRule="auto"/>
        <w:jc w:val="both"/>
        <w:rPr>
          <w:rFonts w:ascii="Aptos" w:hAnsi="Aptos" w:cs="Arial"/>
          <w:noProof/>
        </w:rPr>
      </w:pPr>
      <w:r>
        <w:rPr>
          <w:noProof/>
        </w:rPr>
        <w:lastRenderedPageBreak/>
        <w:drawing>
          <wp:inline distT="0" distB="0" distL="0" distR="0" wp14:anchorId="077003F1" wp14:editId="4345548D">
            <wp:extent cx="6858000" cy="6858000"/>
            <wp:effectExtent l="0" t="0" r="0" b="0"/>
            <wp:docPr id="205612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12304" name="Picture 4"/>
                    <pic:cNvPicPr>
                      <a:picLocks noChangeAspect="1" noChangeArrowheads="1"/>
                    </pic:cNvPicPr>
                  </pic:nvPicPr>
                  <pic:blipFill>
                    <a:blip r:embed="rId22"/>
                    <a:stretch>
                      <a:fillRect/>
                    </a:stretch>
                  </pic:blipFill>
                  <pic:spPr bwMode="auto">
                    <a:xfrm>
                      <a:off x="0" y="0"/>
                      <a:ext cx="6858000" cy="6858000"/>
                    </a:xfrm>
                    <a:prstGeom prst="rect">
                      <a:avLst/>
                    </a:prstGeom>
                    <a:noFill/>
                    <a:ln>
                      <a:noFill/>
                    </a:ln>
                  </pic:spPr>
                </pic:pic>
              </a:graphicData>
            </a:graphic>
          </wp:inline>
        </w:drawing>
      </w:r>
    </w:p>
    <w:p w14:paraId="548B3CC0" w14:textId="6EAE45EC" w:rsidR="00AC2EA7" w:rsidRPr="008E53F9" w:rsidRDefault="00AC2EA7" w:rsidP="00AC2EA7">
      <w:pPr>
        <w:pStyle w:val="Caption"/>
        <w:jc w:val="both"/>
        <w:rPr>
          <w:vanish/>
          <w:szCs w:val="22"/>
          <w:specVanish/>
        </w:rPr>
      </w:pPr>
      <w:bookmarkStart w:id="45" w:name="_Ref241137741"/>
      <w:bookmarkStart w:id="46" w:name="_Toc241138231"/>
      <w:r w:rsidRPr="008E53F9">
        <w:rPr>
          <w:szCs w:val="22"/>
        </w:rPr>
        <w:t xml:space="preserve">Supplementary Fig. </w:t>
      </w:r>
      <w:r w:rsidRPr="008E53F9">
        <w:rPr>
          <w:szCs w:val="22"/>
        </w:rPr>
        <w:fldChar w:fldCharType="begin"/>
      </w:r>
      <w:r w:rsidRPr="008E53F9">
        <w:rPr>
          <w:szCs w:val="22"/>
        </w:rPr>
        <w:instrText xml:space="preserve"> SEQ Figure \* ARABIC </w:instrText>
      </w:r>
      <w:r w:rsidRPr="008E53F9">
        <w:rPr>
          <w:szCs w:val="22"/>
        </w:rPr>
        <w:fldChar w:fldCharType="separate"/>
      </w:r>
      <w:r w:rsidR="003E354C">
        <w:rPr>
          <w:noProof/>
          <w:szCs w:val="22"/>
        </w:rPr>
        <w:t>12</w:t>
      </w:r>
      <w:r w:rsidRPr="008E53F9">
        <w:rPr>
          <w:szCs w:val="22"/>
        </w:rPr>
        <w:fldChar w:fldCharType="end"/>
      </w:r>
      <w:bookmarkEnd w:id="45"/>
      <w:r w:rsidRPr="008E53F9">
        <w:rPr>
          <w:szCs w:val="22"/>
        </w:rPr>
        <w:t xml:space="preserve">  | Agricultural storage dynamics and multisectoral impacts under fixed-ratio </w:t>
      </w:r>
      <w:r w:rsidR="003E4FA8" w:rsidRPr="008E53F9">
        <w:rPr>
          <w:szCs w:val="22"/>
        </w:rPr>
        <w:t>storage</w:t>
      </w:r>
      <w:r w:rsidRPr="008E53F9">
        <w:rPr>
          <w:szCs w:val="22"/>
        </w:rPr>
        <w:t>.</w:t>
      </w:r>
      <w:bookmarkEnd w:id="46"/>
      <w:r w:rsidRPr="008E53F9">
        <w:rPr>
          <w:szCs w:val="22"/>
        </w:rPr>
        <w:t xml:space="preserve"> </w:t>
      </w:r>
    </w:p>
    <w:p w14:paraId="4557CE1E" w14:textId="271BACCC" w:rsidR="00AC2EA7" w:rsidRPr="008E53F9" w:rsidRDefault="00AC2EA7" w:rsidP="00CD7928">
      <w:pPr>
        <w:spacing w:after="120" w:line="240" w:lineRule="auto"/>
        <w:jc w:val="both"/>
        <w:rPr>
          <w:rFonts w:ascii="Aptos" w:hAnsi="Aptos" w:cs="Arial"/>
          <w:noProof/>
          <w:sz w:val="24"/>
          <w:szCs w:val="24"/>
        </w:rPr>
      </w:pPr>
      <w:r w:rsidRPr="008E53F9">
        <w:t xml:space="preserve"> Panels A–D show projected closing stocks, their regional and sectoral composition, net stock variation, and storage-associated losses in the fixed-ratio scenario with smooth yields (S5), in which initial stock-to-gross-use ratios are held fixed and price-responsive stock reallocation is disabled. Panels E–J show differences between fixed-ratio and hidden storage under smooth yields (S5−S2) in production, irrigation-water withdrawals, land use, and cumulative agricultural and LULUCF emissions. Panels I–J show impacts accumulated from 2021 to 2100. Panel definitions, sign conventions, and units follow </w:t>
      </w:r>
      <w:r w:rsidRPr="008E53F9">
        <w:rPr>
          <w:b/>
          <w:bCs/>
        </w:rPr>
        <w:t>Main Fig. 4</w:t>
      </w:r>
      <w:r w:rsidRPr="008E53F9">
        <w:t>. Data source: GCAM simulation results.</w:t>
      </w:r>
    </w:p>
    <w:p w14:paraId="628E9F51" w14:textId="77777777" w:rsidR="007A0932" w:rsidRDefault="007A0932">
      <w:pPr>
        <w:rPr>
          <w:rFonts w:cs="Arial"/>
        </w:rPr>
      </w:pPr>
    </w:p>
    <w:p w14:paraId="4ED03628" w14:textId="5A1CDFE5" w:rsidR="00DF045F" w:rsidRDefault="00DF045F">
      <w:pPr>
        <w:rPr>
          <w:rFonts w:cs="Arial"/>
        </w:rPr>
      </w:pPr>
      <w:r>
        <w:rPr>
          <w:noProof/>
        </w:rPr>
        <w:lastRenderedPageBreak/>
        <w:drawing>
          <wp:inline distT="0" distB="0" distL="0" distR="0" wp14:anchorId="1F00E647" wp14:editId="30472187">
            <wp:extent cx="6858000" cy="6858000"/>
            <wp:effectExtent l="0" t="0" r="0" b="0"/>
            <wp:docPr id="18538371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37133" name="Picture 5"/>
                    <pic:cNvPicPr>
                      <a:picLocks noChangeAspect="1" noChangeArrowheads="1"/>
                    </pic:cNvPicPr>
                  </pic:nvPicPr>
                  <pic:blipFill>
                    <a:blip r:embed="rId23"/>
                    <a:stretch>
                      <a:fillRect/>
                    </a:stretch>
                  </pic:blipFill>
                  <pic:spPr bwMode="auto">
                    <a:xfrm>
                      <a:off x="0" y="0"/>
                      <a:ext cx="6858000" cy="6858000"/>
                    </a:xfrm>
                    <a:prstGeom prst="rect">
                      <a:avLst/>
                    </a:prstGeom>
                    <a:noFill/>
                    <a:ln>
                      <a:noFill/>
                    </a:ln>
                  </pic:spPr>
                </pic:pic>
              </a:graphicData>
            </a:graphic>
          </wp:inline>
        </w:drawing>
      </w:r>
    </w:p>
    <w:p w14:paraId="52665DBF" w14:textId="46DC1763" w:rsidR="00DF045F" w:rsidRPr="008E53F9" w:rsidRDefault="00DF045F" w:rsidP="008E53F9">
      <w:pPr>
        <w:pStyle w:val="Caption"/>
        <w:jc w:val="both"/>
        <w:rPr>
          <w:rFonts w:cs="Arial"/>
          <w:vanish/>
          <w:szCs w:val="22"/>
          <w:specVanish/>
        </w:rPr>
      </w:pPr>
      <w:bookmarkStart w:id="47" w:name="_Ref241137632"/>
      <w:bookmarkStart w:id="48" w:name="_Toc241138232"/>
      <w:r w:rsidRPr="008E53F9">
        <w:rPr>
          <w:rFonts w:cs="Arial"/>
          <w:szCs w:val="22"/>
        </w:rPr>
        <w:t xml:space="preserve">Supplementary Fig. </w:t>
      </w:r>
      <w:r w:rsidRPr="008E53F9">
        <w:rPr>
          <w:rFonts w:cs="Arial"/>
          <w:szCs w:val="22"/>
        </w:rPr>
        <w:fldChar w:fldCharType="begin"/>
      </w:r>
      <w:r w:rsidRPr="008E53F9">
        <w:rPr>
          <w:rFonts w:cs="Arial"/>
          <w:szCs w:val="22"/>
        </w:rPr>
        <w:instrText xml:space="preserve"> SEQ Figure \* ARABIC </w:instrText>
      </w:r>
      <w:r w:rsidRPr="008E53F9">
        <w:rPr>
          <w:rFonts w:cs="Arial"/>
          <w:szCs w:val="22"/>
        </w:rPr>
        <w:fldChar w:fldCharType="separate"/>
      </w:r>
      <w:r w:rsidR="003E354C">
        <w:rPr>
          <w:rFonts w:cs="Arial"/>
          <w:noProof/>
          <w:szCs w:val="22"/>
        </w:rPr>
        <w:t>13</w:t>
      </w:r>
      <w:r w:rsidRPr="008E53F9">
        <w:rPr>
          <w:rFonts w:cs="Arial"/>
          <w:szCs w:val="22"/>
        </w:rPr>
        <w:fldChar w:fldCharType="end"/>
      </w:r>
      <w:bookmarkEnd w:id="47"/>
      <w:r w:rsidRPr="008E53F9">
        <w:rPr>
          <w:rFonts w:cs="Arial"/>
          <w:szCs w:val="22"/>
        </w:rPr>
        <w:t xml:space="preserve">  | Agricultural storage dynamics and multisectoral impacts under dynamic storage witho</w:t>
      </w:r>
      <w:r w:rsidR="00A63667" w:rsidRPr="008E53F9">
        <w:rPr>
          <w:rFonts w:cs="Arial"/>
          <w:szCs w:val="22"/>
        </w:rPr>
        <w:t>ut</w:t>
      </w:r>
      <w:r w:rsidRPr="008E53F9">
        <w:rPr>
          <w:rFonts w:cs="Arial"/>
          <w:szCs w:val="22"/>
        </w:rPr>
        <w:t xml:space="preserve"> </w:t>
      </w:r>
      <w:r w:rsidR="00A63667" w:rsidRPr="008E53F9">
        <w:rPr>
          <w:rFonts w:cs="Arial"/>
          <w:szCs w:val="22"/>
        </w:rPr>
        <w:t>cross</w:t>
      </w:r>
      <w:r w:rsidRPr="008E53F9">
        <w:rPr>
          <w:rFonts w:cs="Arial"/>
          <w:szCs w:val="22"/>
        </w:rPr>
        <w:t xml:space="preserve">-period </w:t>
      </w:r>
      <w:r w:rsidR="00D95F0A" w:rsidRPr="00D95F0A">
        <w:rPr>
          <w:rFonts w:cs="Arial"/>
          <w:szCs w:val="22"/>
        </w:rPr>
        <w:t>carryover adjustmen</w:t>
      </w:r>
      <w:r w:rsidR="00D95F0A">
        <w:rPr>
          <w:rFonts w:cs="Arial"/>
          <w:szCs w:val="22"/>
        </w:rPr>
        <w:t>t</w:t>
      </w:r>
      <w:r w:rsidRPr="008E53F9">
        <w:rPr>
          <w:rFonts w:cs="Arial"/>
          <w:szCs w:val="22"/>
        </w:rPr>
        <w:t>.</w:t>
      </w:r>
      <w:bookmarkEnd w:id="48"/>
    </w:p>
    <w:p w14:paraId="2DAAD45F" w14:textId="77777777" w:rsidR="00DF045F" w:rsidRPr="008E53F9" w:rsidRDefault="00DF045F" w:rsidP="008E53F9">
      <w:pPr>
        <w:spacing w:after="120" w:line="240" w:lineRule="auto"/>
        <w:jc w:val="both"/>
        <w:rPr>
          <w:rFonts w:cs="Arial"/>
          <w:vanish/>
          <w:specVanish/>
        </w:rPr>
      </w:pPr>
      <w:r w:rsidRPr="008E53F9">
        <w:rPr>
          <w:rFonts w:cs="Arial"/>
        </w:rPr>
        <w:t xml:space="preserve"> </w:t>
      </w:r>
    </w:p>
    <w:p w14:paraId="6B30F758" w14:textId="3F384D9F" w:rsidR="00223982" w:rsidRPr="008E53F9" w:rsidRDefault="00223982" w:rsidP="008E53F9">
      <w:pPr>
        <w:spacing w:after="120" w:line="240" w:lineRule="auto"/>
        <w:jc w:val="both"/>
        <w:rPr>
          <w:rFonts w:cs="Arial"/>
          <w:sz w:val="21"/>
          <w:szCs w:val="21"/>
        </w:rPr>
      </w:pPr>
      <w:r w:rsidRPr="008E53F9">
        <w:rPr>
          <w:rFonts w:cs="Arial"/>
          <w:sz w:val="21"/>
          <w:szCs w:val="21"/>
        </w:rPr>
        <w:t xml:space="preserve">Panels A–D show projected closing stocks, their regional and sectoral composition, net stock variation, and storage-associated losses in a Dynamic Storage sensitivity scenario in which the </w:t>
      </w:r>
      <w:r w:rsidR="00A63667" w:rsidRPr="008E53F9">
        <w:rPr>
          <w:rFonts w:cs="Arial"/>
          <w:sz w:val="21"/>
          <w:szCs w:val="21"/>
        </w:rPr>
        <w:t>cross</w:t>
      </w:r>
      <w:r w:rsidR="00EE0D20" w:rsidRPr="008E53F9">
        <w:rPr>
          <w:rFonts w:cs="Arial"/>
          <w:sz w:val="21"/>
          <w:szCs w:val="21"/>
        </w:rPr>
        <w:t xml:space="preserve">-period </w:t>
      </w:r>
      <w:r w:rsidRPr="008E53F9">
        <w:rPr>
          <w:rFonts w:cs="Arial"/>
          <w:sz w:val="21"/>
          <w:szCs w:val="21"/>
        </w:rPr>
        <w:t>carryover adjustment factor is set to unity (</w:t>
      </w:r>
      <m:oMath>
        <m:r>
          <w:rPr>
            <w:rFonts w:ascii="Cambria Math" w:hAnsi="Cambria Math" w:cs="Arial"/>
            <w:sz w:val="21"/>
            <w:szCs w:val="21"/>
          </w:rPr>
          <m:t>δ=1</m:t>
        </m:r>
      </m:oMath>
      <w:r w:rsidRPr="008E53F9">
        <w:rPr>
          <w:rFonts w:cs="Arial"/>
          <w:sz w:val="21"/>
          <w:szCs w:val="21"/>
        </w:rPr>
        <w:t xml:space="preserve">). </w:t>
      </w:r>
      <w:r w:rsidR="00F45D9D" w:rsidRPr="008E53F9">
        <w:rPr>
          <w:rFonts w:cs="Arial"/>
          <w:sz w:val="21"/>
          <w:szCs w:val="21"/>
        </w:rPr>
        <w:t>C</w:t>
      </w:r>
      <w:r w:rsidRPr="008E53F9">
        <w:rPr>
          <w:rFonts w:cs="Arial"/>
          <w:sz w:val="21"/>
          <w:szCs w:val="21"/>
        </w:rPr>
        <w:t xml:space="preserve">losing stocks in one model period therefore become opening stocks in the next without </w:t>
      </w:r>
      <w:r w:rsidR="00A63667" w:rsidRPr="008E53F9">
        <w:rPr>
          <w:rFonts w:cs="Arial"/>
          <w:sz w:val="21"/>
          <w:szCs w:val="21"/>
        </w:rPr>
        <w:t>cross</w:t>
      </w:r>
      <w:r w:rsidR="00F45D9D" w:rsidRPr="008E53F9">
        <w:rPr>
          <w:rFonts w:cs="Arial"/>
          <w:sz w:val="21"/>
          <w:szCs w:val="21"/>
        </w:rPr>
        <w:t>-period adjustments (e.g.,</w:t>
      </w:r>
      <w:r w:rsidRPr="008E53F9">
        <w:rPr>
          <w:rFonts w:cs="Arial"/>
          <w:sz w:val="21"/>
          <w:szCs w:val="21"/>
        </w:rPr>
        <w:t xml:space="preserve"> </w:t>
      </w:r>
      <w:r w:rsidR="003E4FA8" w:rsidRPr="008E53F9">
        <w:rPr>
          <w:rFonts w:cs="Arial"/>
          <w:sz w:val="21"/>
          <w:szCs w:val="21"/>
        </w:rPr>
        <w:t>population-linked carryover adjustment applied</w:t>
      </w:r>
      <w:r w:rsidR="00F45D9D" w:rsidRPr="008E53F9">
        <w:rPr>
          <w:rFonts w:cs="Arial"/>
          <w:sz w:val="21"/>
          <w:szCs w:val="21"/>
        </w:rPr>
        <w:t xml:space="preserve"> in the default dynamic storage scenario)</w:t>
      </w:r>
      <w:r w:rsidRPr="008E53F9">
        <w:rPr>
          <w:rFonts w:cs="Arial"/>
          <w:sz w:val="21"/>
          <w:szCs w:val="21"/>
        </w:rPr>
        <w:t>, while price-responsive stockholding remains active at model years. Panels E–J show differences between this sensitivity scenario and hidden storage under smooth yields in agricultural production, irrigation-water withdrawals, land use</w:t>
      </w:r>
      <w:r w:rsidR="00940786" w:rsidRPr="008E53F9">
        <w:rPr>
          <w:rFonts w:cs="Arial"/>
          <w:sz w:val="21"/>
          <w:szCs w:val="21"/>
        </w:rPr>
        <w:t>,</w:t>
      </w:r>
      <w:r w:rsidRPr="008E53F9">
        <w:rPr>
          <w:rFonts w:cs="Arial"/>
          <w:sz w:val="21"/>
          <w:szCs w:val="21"/>
        </w:rPr>
        <w:t xml:space="preserve"> and cumulative agricultural and LULUCF emissions. Panels I–J show impacts accumulated from 2021 to 2100. Panel definitions, units, and sign conventions follow </w:t>
      </w:r>
      <w:r w:rsidRPr="008E53F9">
        <w:rPr>
          <w:rFonts w:cs="Arial"/>
          <w:b/>
          <w:bCs/>
          <w:sz w:val="21"/>
          <w:szCs w:val="21"/>
        </w:rPr>
        <w:t>Main Fig. 4</w:t>
      </w:r>
      <w:r w:rsidRPr="008E53F9">
        <w:rPr>
          <w:rFonts w:cs="Arial"/>
          <w:sz w:val="21"/>
          <w:szCs w:val="21"/>
        </w:rPr>
        <w:t>. Data source: GCAM simulation results.</w:t>
      </w:r>
    </w:p>
    <w:p w14:paraId="20A2D803" w14:textId="77777777" w:rsidR="00E04288" w:rsidRPr="00A17A9F" w:rsidRDefault="00E04288" w:rsidP="00A17A9F">
      <w:pPr>
        <w:pStyle w:val="Heading2"/>
      </w:pPr>
      <w:bookmarkStart w:id="49" w:name="_Toc241138209"/>
      <w:r w:rsidRPr="00A17A9F">
        <w:lastRenderedPageBreak/>
        <w:t>Supplementary Section 3.2. Transmission of biophysical yield shocks</w:t>
      </w:r>
      <w:bookmarkEnd w:id="49"/>
    </w:p>
    <w:p w14:paraId="1A3C66EF" w14:textId="0F7366C6" w:rsidR="00A17A9F" w:rsidRPr="00A17A9F" w:rsidRDefault="00A17A9F" w:rsidP="00A17A9F">
      <w:pPr>
        <w:spacing w:line="276" w:lineRule="auto"/>
      </w:pPr>
      <w:r w:rsidRPr="00A17A9F">
        <w:t>The supplementary analyses provide a more complete characterization of how biophysical yield shocks propagate through agricultural markets than is shown in the main text.</w:t>
      </w:r>
      <w:r w:rsidR="00593E61">
        <w:t xml:space="preserve"> </w:t>
      </w:r>
      <w:r w:rsidR="00593E61" w:rsidRPr="00593E61">
        <w:rPr>
          <w:b/>
          <w:bCs/>
        </w:rPr>
        <w:fldChar w:fldCharType="begin"/>
      </w:r>
      <w:r w:rsidR="00593E61" w:rsidRPr="00593E61">
        <w:rPr>
          <w:b/>
          <w:bCs/>
        </w:rPr>
        <w:instrText xml:space="preserve"> REF _Ref241137795 \h </w:instrText>
      </w:r>
      <w:r w:rsidR="00593E61">
        <w:rPr>
          <w:b/>
          <w:bCs/>
        </w:rPr>
        <w:instrText xml:space="preserve"> \* MERGEFORMAT </w:instrText>
      </w:r>
      <w:r w:rsidR="00593E61" w:rsidRPr="00593E61">
        <w:rPr>
          <w:b/>
          <w:bCs/>
        </w:rPr>
      </w:r>
      <w:r w:rsidR="00593E61" w:rsidRPr="00593E61">
        <w:rPr>
          <w:b/>
          <w:bCs/>
        </w:rPr>
        <w:fldChar w:fldCharType="separate"/>
      </w:r>
      <w:r w:rsidR="003E354C" w:rsidRPr="003E354C">
        <w:rPr>
          <w:b/>
          <w:bCs/>
        </w:rPr>
        <w:t xml:space="preserve">Supplementary Fig. </w:t>
      </w:r>
      <w:r w:rsidR="003E354C" w:rsidRPr="003E354C">
        <w:rPr>
          <w:b/>
          <w:bCs/>
          <w:noProof/>
        </w:rPr>
        <w:t>14</w:t>
      </w:r>
      <w:r w:rsidR="00593E61" w:rsidRPr="00593E61">
        <w:rPr>
          <w:b/>
          <w:bCs/>
        </w:rPr>
        <w:fldChar w:fldCharType="end"/>
      </w:r>
      <w:r w:rsidRPr="00A17A9F">
        <w:t xml:space="preserve"> traces cumulative responses under Dynamic Storage throughout the projection period, while</w:t>
      </w:r>
      <w:r w:rsidR="00593E61">
        <w:t xml:space="preserve"> </w:t>
      </w:r>
      <w:r w:rsidR="00593E61" w:rsidRPr="00593E61">
        <w:rPr>
          <w:b/>
          <w:bCs/>
        </w:rPr>
        <w:fldChar w:fldCharType="begin"/>
      </w:r>
      <w:r w:rsidR="00593E61" w:rsidRPr="00593E61">
        <w:rPr>
          <w:b/>
          <w:bCs/>
        </w:rPr>
        <w:instrText xml:space="preserve"> REF _Ref238585124 \h </w:instrText>
      </w:r>
      <w:r w:rsidR="00593E61">
        <w:rPr>
          <w:b/>
          <w:bCs/>
        </w:rPr>
        <w:instrText xml:space="preserve"> \* MERGEFORMAT </w:instrText>
      </w:r>
      <w:r w:rsidR="00593E61" w:rsidRPr="00593E61">
        <w:rPr>
          <w:b/>
          <w:bCs/>
        </w:rPr>
      </w:r>
      <w:r w:rsidR="00593E61" w:rsidRPr="00593E61">
        <w:rPr>
          <w:b/>
          <w:bCs/>
        </w:rPr>
        <w:fldChar w:fldCharType="separate"/>
      </w:r>
      <w:r w:rsidR="003E354C" w:rsidRPr="003E354C">
        <w:rPr>
          <w:b/>
          <w:bCs/>
        </w:rPr>
        <w:t xml:space="preserve">Supplementary Fig. </w:t>
      </w:r>
      <w:r w:rsidR="003E354C" w:rsidRPr="003E354C">
        <w:rPr>
          <w:b/>
          <w:bCs/>
          <w:noProof/>
        </w:rPr>
        <w:t>15</w:t>
      </w:r>
      <w:r w:rsidR="00593E61" w:rsidRPr="00593E61">
        <w:rPr>
          <w:b/>
          <w:bCs/>
        </w:rPr>
        <w:fldChar w:fldCharType="end"/>
      </w:r>
      <w:r w:rsidR="00593E61">
        <w:t xml:space="preserve"> and </w:t>
      </w:r>
      <w:r w:rsidR="00593E61" w:rsidRPr="00593E61">
        <w:rPr>
          <w:b/>
          <w:bCs/>
        </w:rPr>
        <w:fldChar w:fldCharType="begin"/>
      </w:r>
      <w:r w:rsidR="00593E61" w:rsidRPr="00593E61">
        <w:rPr>
          <w:b/>
          <w:bCs/>
        </w:rPr>
        <w:instrText xml:space="preserve"> REF _Ref241137827 \h </w:instrText>
      </w:r>
      <w:r w:rsidR="00593E61">
        <w:rPr>
          <w:b/>
          <w:bCs/>
        </w:rPr>
        <w:instrText xml:space="preserve"> \* MERGEFORMAT </w:instrText>
      </w:r>
      <w:r w:rsidR="00593E61" w:rsidRPr="00593E61">
        <w:rPr>
          <w:b/>
          <w:bCs/>
        </w:rPr>
      </w:r>
      <w:r w:rsidR="00593E61" w:rsidRPr="00593E61">
        <w:rPr>
          <w:b/>
          <w:bCs/>
        </w:rPr>
        <w:fldChar w:fldCharType="separate"/>
      </w:r>
      <w:r w:rsidR="003E354C" w:rsidRPr="003E354C">
        <w:rPr>
          <w:b/>
          <w:bCs/>
        </w:rPr>
        <w:t xml:space="preserve">Supplementary Fig. </w:t>
      </w:r>
      <w:r w:rsidR="003E354C" w:rsidRPr="003E354C">
        <w:rPr>
          <w:b/>
          <w:bCs/>
          <w:noProof/>
        </w:rPr>
        <w:t>16</w:t>
      </w:r>
      <w:r w:rsidR="00593E61" w:rsidRPr="00593E61">
        <w:rPr>
          <w:b/>
          <w:bCs/>
        </w:rPr>
        <w:fldChar w:fldCharType="end"/>
      </w:r>
      <w:r w:rsidRPr="00A17A9F">
        <w:t xml:space="preserve"> compare cumulative transmission across Dynamic, Hidden</w:t>
      </w:r>
      <w:r w:rsidR="00101545">
        <w:t>,</w:t>
      </w:r>
      <w:r w:rsidRPr="00A17A9F">
        <w:t xml:space="preserve"> and Fixed-Ratio Storage at the 2050 and 2100 horizons. </w:t>
      </w:r>
      <w:r w:rsidR="00593E61" w:rsidRPr="00593E61">
        <w:rPr>
          <w:b/>
          <w:bCs/>
        </w:rPr>
        <w:fldChar w:fldCharType="begin"/>
      </w:r>
      <w:r w:rsidR="00593E61" w:rsidRPr="00593E61">
        <w:rPr>
          <w:b/>
          <w:bCs/>
        </w:rPr>
        <w:instrText xml:space="preserve"> REF _Ref238565770 \h </w:instrText>
      </w:r>
      <w:r w:rsidR="00593E61">
        <w:rPr>
          <w:b/>
          <w:bCs/>
        </w:rPr>
        <w:instrText xml:space="preserve"> \* MERGEFORMAT </w:instrText>
      </w:r>
      <w:r w:rsidR="00593E61" w:rsidRPr="00593E61">
        <w:rPr>
          <w:b/>
          <w:bCs/>
        </w:rPr>
      </w:r>
      <w:r w:rsidR="00593E61" w:rsidRPr="00593E61">
        <w:rPr>
          <w:b/>
          <w:bCs/>
        </w:rPr>
        <w:fldChar w:fldCharType="separate"/>
      </w:r>
      <w:r w:rsidR="003E354C" w:rsidRPr="003E354C">
        <w:rPr>
          <w:b/>
          <w:bCs/>
        </w:rPr>
        <w:t xml:space="preserve">Supplementary Fig. </w:t>
      </w:r>
      <w:r w:rsidR="003E354C" w:rsidRPr="003E354C">
        <w:rPr>
          <w:b/>
          <w:bCs/>
          <w:noProof/>
        </w:rPr>
        <w:t>17</w:t>
      </w:r>
      <w:r w:rsidR="00593E61" w:rsidRPr="00593E61">
        <w:rPr>
          <w:b/>
          <w:bCs/>
        </w:rPr>
        <w:fldChar w:fldCharType="end"/>
      </w:r>
      <w:r w:rsidR="00593E61">
        <w:t xml:space="preserve"> and </w:t>
      </w:r>
      <w:r w:rsidR="00593E61" w:rsidRPr="00593E61">
        <w:rPr>
          <w:b/>
          <w:bCs/>
        </w:rPr>
        <w:fldChar w:fldCharType="begin"/>
      </w:r>
      <w:r w:rsidR="00593E61" w:rsidRPr="00593E61">
        <w:rPr>
          <w:b/>
          <w:bCs/>
        </w:rPr>
        <w:instrText xml:space="preserve"> REF _Ref241137856 \h </w:instrText>
      </w:r>
      <w:r w:rsidR="00593E61">
        <w:rPr>
          <w:b/>
          <w:bCs/>
        </w:rPr>
        <w:instrText xml:space="preserve"> \* MERGEFORMAT </w:instrText>
      </w:r>
      <w:r w:rsidR="00593E61" w:rsidRPr="00593E61">
        <w:rPr>
          <w:b/>
          <w:bCs/>
        </w:rPr>
      </w:r>
      <w:r w:rsidR="00593E61" w:rsidRPr="00593E61">
        <w:rPr>
          <w:b/>
          <w:bCs/>
        </w:rPr>
        <w:fldChar w:fldCharType="separate"/>
      </w:r>
      <w:r w:rsidR="003E354C" w:rsidRPr="003E354C">
        <w:rPr>
          <w:b/>
          <w:bCs/>
        </w:rPr>
        <w:t xml:space="preserve">Supplementary Fig. </w:t>
      </w:r>
      <w:r w:rsidR="003E354C" w:rsidRPr="003E354C">
        <w:rPr>
          <w:b/>
          <w:bCs/>
          <w:noProof/>
        </w:rPr>
        <w:t>18</w:t>
      </w:r>
      <w:r w:rsidR="00593E61" w:rsidRPr="00593E61">
        <w:rPr>
          <w:b/>
          <w:bCs/>
        </w:rPr>
        <w:fldChar w:fldCharType="end"/>
      </w:r>
      <w:r w:rsidR="00593E61">
        <w:t xml:space="preserve"> </w:t>
      </w:r>
      <w:r w:rsidRPr="00A17A9F">
        <w:t xml:space="preserve">resolve the Dynamic Storage responses between successive model periods and across regions, respectively, and </w:t>
      </w:r>
      <w:r w:rsidR="00593E61" w:rsidRPr="00593E61">
        <w:rPr>
          <w:b/>
          <w:bCs/>
        </w:rPr>
        <w:fldChar w:fldCharType="begin"/>
      </w:r>
      <w:r w:rsidR="00593E61" w:rsidRPr="00593E61">
        <w:rPr>
          <w:b/>
          <w:bCs/>
        </w:rPr>
        <w:instrText xml:space="preserve"> REF _Ref241137880 \h </w:instrText>
      </w:r>
      <w:r w:rsidR="00593E61">
        <w:rPr>
          <w:b/>
          <w:bCs/>
        </w:rPr>
        <w:instrText xml:space="preserve"> \* MERGEFORMAT </w:instrText>
      </w:r>
      <w:r w:rsidR="00593E61" w:rsidRPr="00593E61">
        <w:rPr>
          <w:b/>
          <w:bCs/>
        </w:rPr>
      </w:r>
      <w:r w:rsidR="00593E61" w:rsidRPr="00593E61">
        <w:rPr>
          <w:b/>
          <w:bCs/>
        </w:rPr>
        <w:fldChar w:fldCharType="separate"/>
      </w:r>
      <w:r w:rsidR="003E354C" w:rsidRPr="003E354C">
        <w:rPr>
          <w:b/>
          <w:bCs/>
        </w:rPr>
        <w:t xml:space="preserve">Supplementary Fig. </w:t>
      </w:r>
      <w:r w:rsidR="003E354C" w:rsidRPr="003E354C">
        <w:rPr>
          <w:b/>
          <w:bCs/>
          <w:noProof/>
        </w:rPr>
        <w:t>19</w:t>
      </w:r>
      <w:r w:rsidR="00593E61" w:rsidRPr="00593E61">
        <w:rPr>
          <w:b/>
          <w:bCs/>
        </w:rPr>
        <w:fldChar w:fldCharType="end"/>
      </w:r>
      <w:r w:rsidRPr="00A17A9F">
        <w:t xml:space="preserve"> extends the period-to-period comparison across all three storage representations. Together, these figures distinguish cumulative endpoint responses from shorter-period adjustments and show the substantial temporal, regional</w:t>
      </w:r>
      <w:r w:rsidR="00101545">
        <w:t xml:space="preserve">, and crop-specific heterogeneity underlying the pooled relationships reported in </w:t>
      </w:r>
      <w:r w:rsidR="00101545" w:rsidRPr="00593E61">
        <w:rPr>
          <w:b/>
          <w:bCs/>
        </w:rPr>
        <w:t>Main Fig. 5</w:t>
      </w:r>
      <w:r w:rsidR="00101545">
        <w:t>.</w:t>
      </w:r>
      <w:r w:rsidR="00593E61">
        <w:t xml:space="preserve"> </w:t>
      </w:r>
      <w:r w:rsidR="00101545">
        <w:t xml:space="preserve"> </w:t>
      </w:r>
      <w:r w:rsidR="00593E61" w:rsidRPr="00593E61">
        <w:rPr>
          <w:b/>
          <w:bCs/>
        </w:rPr>
        <w:fldChar w:fldCharType="begin"/>
      </w:r>
      <w:r w:rsidR="00593E61" w:rsidRPr="00593E61">
        <w:rPr>
          <w:b/>
          <w:bCs/>
        </w:rPr>
        <w:instrText xml:space="preserve"> REF _Ref241137509 \h </w:instrText>
      </w:r>
      <w:r w:rsidR="00593E61">
        <w:rPr>
          <w:b/>
          <w:bCs/>
        </w:rPr>
        <w:instrText xml:space="preserve"> \* MERGEFORMAT </w:instrText>
      </w:r>
      <w:r w:rsidR="00593E61" w:rsidRPr="00593E61">
        <w:rPr>
          <w:b/>
          <w:bCs/>
        </w:rPr>
      </w:r>
      <w:r w:rsidR="00593E61" w:rsidRPr="00593E61">
        <w:rPr>
          <w:b/>
          <w:bCs/>
        </w:rPr>
        <w:fldChar w:fldCharType="separate"/>
      </w:r>
      <w:r w:rsidR="003E354C" w:rsidRPr="003E354C">
        <w:rPr>
          <w:b/>
          <w:bCs/>
        </w:rPr>
        <w:t xml:space="preserve">Supplementary Table </w:t>
      </w:r>
      <w:r w:rsidR="003E354C" w:rsidRPr="003E354C">
        <w:rPr>
          <w:b/>
          <w:bCs/>
          <w:noProof/>
        </w:rPr>
        <w:t>7</w:t>
      </w:r>
      <w:r w:rsidR="00593E61" w:rsidRPr="00593E61">
        <w:rPr>
          <w:b/>
          <w:bCs/>
        </w:rPr>
        <w:fldChar w:fldCharType="end"/>
      </w:r>
      <w:r w:rsidR="00593E61" w:rsidRPr="00593E61">
        <w:rPr>
          <w:b/>
          <w:bCs/>
        </w:rPr>
        <w:t>–</w:t>
      </w:r>
      <w:r w:rsidR="00593E61" w:rsidRPr="00593E61">
        <w:rPr>
          <w:b/>
          <w:bCs/>
        </w:rPr>
        <w:fldChar w:fldCharType="begin"/>
      </w:r>
      <w:r w:rsidR="00593E61" w:rsidRPr="00593E61">
        <w:rPr>
          <w:b/>
          <w:bCs/>
        </w:rPr>
        <w:instrText xml:space="preserve"> REF _Ref241137915 \h </w:instrText>
      </w:r>
      <w:r w:rsidR="00593E61">
        <w:rPr>
          <w:b/>
          <w:bCs/>
        </w:rPr>
        <w:instrText xml:space="preserve"> \* MERGEFORMAT </w:instrText>
      </w:r>
      <w:r w:rsidR="00593E61" w:rsidRPr="00593E61">
        <w:rPr>
          <w:b/>
          <w:bCs/>
        </w:rPr>
      </w:r>
      <w:r w:rsidR="00593E61" w:rsidRPr="00593E61">
        <w:rPr>
          <w:b/>
          <w:bCs/>
        </w:rPr>
        <w:fldChar w:fldCharType="separate"/>
      </w:r>
      <w:r w:rsidR="003E354C" w:rsidRPr="003E354C">
        <w:rPr>
          <w:b/>
          <w:bCs/>
        </w:rPr>
        <w:t xml:space="preserve">Supplementary Table </w:t>
      </w:r>
      <w:r w:rsidR="003E354C" w:rsidRPr="003E354C">
        <w:rPr>
          <w:b/>
          <w:bCs/>
          <w:noProof/>
        </w:rPr>
        <w:t>9</w:t>
      </w:r>
      <w:r w:rsidR="00593E61" w:rsidRPr="00593E61">
        <w:rPr>
          <w:b/>
          <w:bCs/>
        </w:rPr>
        <w:fldChar w:fldCharType="end"/>
      </w:r>
      <w:r w:rsidR="00101545">
        <w:t xml:space="preserve"> provide the corresponding transmission coefficients, cross-market distributions, pairwise tests across storage representations,</w:t>
      </w:r>
      <w:r w:rsidRPr="00A17A9F">
        <w:t xml:space="preserve"> and fixed-effect robustness specifications. </w:t>
      </w:r>
    </w:p>
    <w:p w14:paraId="1A45A1E3" w14:textId="6E57EBF9" w:rsidR="00A17A9F" w:rsidRPr="00A17A9F" w:rsidRDefault="00A17A9F" w:rsidP="00A17A9F">
      <w:pPr>
        <w:spacing w:line="276" w:lineRule="auto"/>
      </w:pPr>
      <w:r w:rsidRPr="00A17A9F">
        <w:t>Under Dynamic Storage, cumulative responses evolve considerably over time and vary across regions and crop groups (</w:t>
      </w:r>
      <w:r w:rsidR="00781CBD" w:rsidRPr="00781CBD">
        <w:rPr>
          <w:b/>
          <w:bCs/>
        </w:rPr>
        <w:fldChar w:fldCharType="begin"/>
      </w:r>
      <w:r w:rsidR="00781CBD" w:rsidRPr="00781CBD">
        <w:rPr>
          <w:b/>
          <w:bCs/>
        </w:rPr>
        <w:instrText xml:space="preserve"> REF _Ref241137795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Fig. </w:t>
      </w:r>
      <w:r w:rsidR="003E354C" w:rsidRPr="003E354C">
        <w:rPr>
          <w:b/>
          <w:bCs/>
          <w:noProof/>
        </w:rPr>
        <w:t>14</w:t>
      </w:r>
      <w:r w:rsidR="00781CBD" w:rsidRPr="00781CBD">
        <w:rPr>
          <w:b/>
          <w:bCs/>
        </w:rPr>
        <w:fldChar w:fldCharType="end"/>
      </w:r>
      <w:r w:rsidRPr="00A17A9F">
        <w:t>). Realized yield closely follows the imposed biophysical perturbation, while adjustments in harvested area, production, trade, consumption</w:t>
      </w:r>
      <w:r w:rsidR="00781CBD">
        <w:t>,</w:t>
      </w:r>
      <w:r w:rsidRPr="00A17A9F">
        <w:t xml:space="preserve"> and prices redistribute its effects through the agricultural system. Inventory responses are particularly variable because stockbuilding in one period may subsequently be offset by drawdown, so cumulative changes can remain modest even when inventories are actively adjusting along the pathway. The absolute-response panels complement the percentage responses by showing changes in net stock variation and net exports directly in physical quantities. These panels show that both inventory adjustment and international trade remain active response margins in level terms, rather than being features arising only from the logarithmic formulation of the transmission metrics. </w:t>
      </w:r>
      <w:r w:rsidR="00781CBD" w:rsidRPr="00781CBD">
        <w:rPr>
          <w:b/>
          <w:bCs/>
        </w:rPr>
        <w:fldChar w:fldCharType="begin"/>
      </w:r>
      <w:r w:rsidR="00781CBD" w:rsidRPr="00781CBD">
        <w:rPr>
          <w:b/>
          <w:bCs/>
        </w:rPr>
        <w:instrText xml:space="preserve"> REF _Ref241137795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Fig. </w:t>
      </w:r>
      <w:r w:rsidR="003E354C" w:rsidRPr="003E354C">
        <w:rPr>
          <w:b/>
          <w:bCs/>
          <w:noProof/>
        </w:rPr>
        <w:t>14</w:t>
      </w:r>
      <w:r w:rsidR="00781CBD" w:rsidRPr="00781CBD">
        <w:rPr>
          <w:b/>
          <w:bCs/>
        </w:rPr>
        <w:fldChar w:fldCharType="end"/>
      </w:r>
      <w:r w:rsidRPr="00A17A9F">
        <w:t xml:space="preserve"> presents this evolution across model years, while the corresponding absolute-response panels in </w:t>
      </w:r>
      <w:r w:rsidR="00781CBD" w:rsidRPr="00781CBD">
        <w:rPr>
          <w:b/>
          <w:bCs/>
        </w:rPr>
        <w:fldChar w:fldCharType="begin"/>
      </w:r>
      <w:r w:rsidR="00781CBD" w:rsidRPr="00781CBD">
        <w:rPr>
          <w:b/>
          <w:bCs/>
        </w:rPr>
        <w:instrText xml:space="preserve"> REF _Ref238585124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Fig. </w:t>
      </w:r>
      <w:r w:rsidR="003E354C" w:rsidRPr="003E354C">
        <w:rPr>
          <w:b/>
          <w:bCs/>
          <w:noProof/>
        </w:rPr>
        <w:t>15</w:t>
      </w:r>
      <w:r w:rsidR="00781CBD" w:rsidRPr="00781CBD">
        <w:rPr>
          <w:b/>
          <w:bCs/>
        </w:rPr>
        <w:fldChar w:fldCharType="end"/>
      </w:r>
      <w:r w:rsidR="00781CBD" w:rsidRPr="00781CBD">
        <w:rPr>
          <w:b/>
          <w:bCs/>
        </w:rPr>
        <w:t xml:space="preserve"> </w:t>
      </w:r>
      <w:r w:rsidR="00781CBD" w:rsidRPr="00781CBD">
        <w:t>and</w:t>
      </w:r>
      <w:r w:rsidR="00781CBD" w:rsidRPr="00781CBD">
        <w:rPr>
          <w:b/>
          <w:bCs/>
        </w:rPr>
        <w:t xml:space="preserve"> </w:t>
      </w:r>
      <w:r w:rsidR="00781CBD" w:rsidRPr="00781CBD">
        <w:rPr>
          <w:b/>
          <w:bCs/>
        </w:rPr>
        <w:fldChar w:fldCharType="begin"/>
      </w:r>
      <w:r w:rsidR="00781CBD" w:rsidRPr="00781CBD">
        <w:rPr>
          <w:b/>
          <w:bCs/>
        </w:rPr>
        <w:instrText xml:space="preserve"> REF _Ref241137827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Fig. </w:t>
      </w:r>
      <w:r w:rsidR="003E354C" w:rsidRPr="003E354C">
        <w:rPr>
          <w:b/>
          <w:bCs/>
          <w:noProof/>
        </w:rPr>
        <w:t>16</w:t>
      </w:r>
      <w:r w:rsidR="00781CBD" w:rsidRPr="00781CBD">
        <w:rPr>
          <w:b/>
          <w:bCs/>
        </w:rPr>
        <w:fldChar w:fldCharType="end"/>
      </w:r>
      <w:r w:rsidRPr="00A17A9F">
        <w:t xml:space="preserve"> show the same stock and trade margins at the 2050 and 2100 cumulative horizons. </w:t>
      </w:r>
    </w:p>
    <w:p w14:paraId="7C604ABE" w14:textId="579BE2E0" w:rsidR="00A17A9F" w:rsidRPr="00A17A9F" w:rsidRDefault="00A17A9F" w:rsidP="00A17A9F">
      <w:pPr>
        <w:spacing w:line="276" w:lineRule="auto"/>
      </w:pPr>
      <w:r w:rsidRPr="00A17A9F">
        <w:t>The horizon comparisons further illustrate why cumulative measures alone provide an incomplete view of storage. At 2050, the cumulative closing-stock relationship under Dynamic Storage is weak relative to the responses in production and trade, whereas by 2100 a clearer positive stock response is evident (</w:t>
      </w:r>
      <w:r w:rsidR="00781CBD" w:rsidRPr="00781CBD">
        <w:rPr>
          <w:b/>
          <w:bCs/>
        </w:rPr>
        <w:fldChar w:fldCharType="begin"/>
      </w:r>
      <w:r w:rsidR="00781CBD" w:rsidRPr="00781CBD">
        <w:rPr>
          <w:b/>
          <w:bCs/>
        </w:rPr>
        <w:instrText xml:space="preserve"> REF _Ref238585124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Fig. </w:t>
      </w:r>
      <w:r w:rsidR="003E354C" w:rsidRPr="003E354C">
        <w:rPr>
          <w:b/>
          <w:bCs/>
          <w:noProof/>
        </w:rPr>
        <w:t>15</w:t>
      </w:r>
      <w:r w:rsidR="00781CBD" w:rsidRPr="00781CBD">
        <w:rPr>
          <w:b/>
          <w:bCs/>
        </w:rPr>
        <w:fldChar w:fldCharType="end"/>
      </w:r>
      <w:r w:rsidR="00781CBD" w:rsidRPr="00781CBD">
        <w:rPr>
          <w:b/>
          <w:bCs/>
        </w:rPr>
        <w:t xml:space="preserve"> </w:t>
      </w:r>
      <w:r w:rsidR="00781CBD" w:rsidRPr="00781CBD">
        <w:t>and</w:t>
      </w:r>
      <w:r w:rsidR="00781CBD" w:rsidRPr="00781CBD">
        <w:rPr>
          <w:b/>
          <w:bCs/>
        </w:rPr>
        <w:t xml:space="preserve"> </w:t>
      </w:r>
      <w:r w:rsidR="00781CBD" w:rsidRPr="00781CBD">
        <w:rPr>
          <w:b/>
          <w:bCs/>
        </w:rPr>
        <w:fldChar w:fldCharType="begin"/>
      </w:r>
      <w:r w:rsidR="00781CBD" w:rsidRPr="00781CBD">
        <w:rPr>
          <w:b/>
          <w:bCs/>
        </w:rPr>
        <w:instrText xml:space="preserve"> REF _Ref241137827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Fig. </w:t>
      </w:r>
      <w:r w:rsidR="003E354C" w:rsidRPr="003E354C">
        <w:rPr>
          <w:b/>
          <w:bCs/>
          <w:noProof/>
        </w:rPr>
        <w:t>16</w:t>
      </w:r>
      <w:r w:rsidR="00781CBD" w:rsidRPr="00781CBD">
        <w:rPr>
          <w:b/>
          <w:bCs/>
        </w:rPr>
        <w:fldChar w:fldCharType="end"/>
      </w:r>
      <w:r w:rsidRPr="00A17A9F">
        <w:t>;</w:t>
      </w:r>
      <w:r w:rsidR="00781CBD">
        <w:t xml:space="preserve"> </w:t>
      </w:r>
      <w:r w:rsidR="00781CBD" w:rsidRPr="00781CBD">
        <w:rPr>
          <w:b/>
          <w:bCs/>
        </w:rPr>
        <w:fldChar w:fldCharType="begin"/>
      </w:r>
      <w:r w:rsidR="00781CBD" w:rsidRPr="00781CBD">
        <w:rPr>
          <w:b/>
          <w:bCs/>
        </w:rPr>
        <w:instrText xml:space="preserve"> REF _Ref241137509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Table </w:t>
      </w:r>
      <w:r w:rsidR="003E354C" w:rsidRPr="003E354C">
        <w:rPr>
          <w:b/>
          <w:bCs/>
          <w:noProof/>
        </w:rPr>
        <w:t>7</w:t>
      </w:r>
      <w:r w:rsidR="00781CBD" w:rsidRPr="00781CBD">
        <w:rPr>
          <w:b/>
          <w:bCs/>
        </w:rPr>
        <w:fldChar w:fldCharType="end"/>
      </w:r>
      <w:r w:rsidRPr="00A17A9F">
        <w:t xml:space="preserve">). This difference is consistent with inventories serving as an intertemporal adjustment margin: accumulation and drawdown occurring at intermediate dates can offset when only the change between the base year and a single future endpoint is considered. The absolute stock-variation panels provide a complementary view of this process, while the net-export panels show that trade also responds materially to the imposed yield perturbations. Hidden Storage does not provide a separately identifiable inventory response because stocks are not represented explicitly. </w:t>
      </w:r>
    </w:p>
    <w:p w14:paraId="15204D97" w14:textId="340F2621" w:rsidR="00A17A9F" w:rsidRPr="00A17A9F" w:rsidRDefault="00A17A9F" w:rsidP="00A17A9F">
      <w:pPr>
        <w:spacing w:line="276" w:lineRule="auto"/>
      </w:pPr>
      <w:r w:rsidRPr="00A17A9F">
        <w:t xml:space="preserve">Resolving responses between successive model periods makes these temporal adjustments more apparent. </w:t>
      </w:r>
      <w:r w:rsidR="00781CBD" w:rsidRPr="00781CBD">
        <w:rPr>
          <w:b/>
          <w:bCs/>
        </w:rPr>
        <w:fldChar w:fldCharType="begin"/>
      </w:r>
      <w:r w:rsidR="00781CBD" w:rsidRPr="00781CBD">
        <w:rPr>
          <w:b/>
          <w:bCs/>
        </w:rPr>
        <w:instrText xml:space="preserve"> REF _Ref238565770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Fig. </w:t>
      </w:r>
      <w:r w:rsidR="003E354C" w:rsidRPr="003E354C">
        <w:rPr>
          <w:b/>
          <w:bCs/>
          <w:noProof/>
        </w:rPr>
        <w:t>17</w:t>
      </w:r>
      <w:r w:rsidR="00781CBD" w:rsidRPr="00781CBD">
        <w:rPr>
          <w:b/>
          <w:bCs/>
        </w:rPr>
        <w:fldChar w:fldCharType="end"/>
      </w:r>
      <w:r w:rsidRPr="00A17A9F">
        <w:t xml:space="preserve"> shows that the direction and magnitude of period-to-period responses vary substantially across transitions, including alternating stock accumulation and drawdown as the sign and magnitude of yield perturbations change. Its absolute-response panels similarly show sizeable positive and negative movements in net stock variation and net exports across periods. </w:t>
      </w:r>
      <w:r w:rsidR="00781CBD" w:rsidRPr="00781CBD">
        <w:rPr>
          <w:b/>
          <w:bCs/>
        </w:rPr>
        <w:fldChar w:fldCharType="begin"/>
      </w:r>
      <w:r w:rsidR="00781CBD" w:rsidRPr="00781CBD">
        <w:rPr>
          <w:b/>
          <w:bCs/>
        </w:rPr>
        <w:instrText xml:space="preserve"> REF _Ref241137856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Fig. </w:t>
      </w:r>
      <w:r w:rsidR="003E354C" w:rsidRPr="003E354C">
        <w:rPr>
          <w:b/>
          <w:bCs/>
          <w:noProof/>
        </w:rPr>
        <w:t>18</w:t>
      </w:r>
      <w:r w:rsidR="00781CBD" w:rsidRPr="00781CBD">
        <w:rPr>
          <w:b/>
          <w:bCs/>
        </w:rPr>
        <w:fldChar w:fldCharType="end"/>
      </w:r>
      <w:r w:rsidRPr="00A17A9F">
        <w:t xml:space="preserve"> reorganizes the same responses by region and reveals substantial geographic and crop-specific heterogeneity in the use of inventories, trade and other adjustment margins. Thus, the pooled relationships in the main analysis summarize a broad distribution of responses rather than a uniform adjustment across markets. </w:t>
      </w:r>
    </w:p>
    <w:p w14:paraId="134D695C" w14:textId="2D9A798E" w:rsidR="00A17A9F" w:rsidRPr="00A17A9F" w:rsidRDefault="00781CBD" w:rsidP="00A17A9F">
      <w:pPr>
        <w:spacing w:line="276" w:lineRule="auto"/>
      </w:pPr>
      <w:r w:rsidRPr="00781CBD">
        <w:rPr>
          <w:b/>
          <w:bCs/>
        </w:rPr>
        <w:lastRenderedPageBreak/>
        <w:fldChar w:fldCharType="begin"/>
      </w:r>
      <w:r w:rsidRPr="00781CBD">
        <w:rPr>
          <w:b/>
          <w:bCs/>
        </w:rPr>
        <w:instrText xml:space="preserve"> REF _Ref241137880 \h </w:instrText>
      </w:r>
      <w:r>
        <w:rPr>
          <w:b/>
          <w:bCs/>
        </w:rPr>
        <w:instrText xml:space="preserve"> \* MERGEFORMAT </w:instrText>
      </w:r>
      <w:r w:rsidRPr="00781CBD">
        <w:rPr>
          <w:b/>
          <w:bCs/>
        </w:rPr>
      </w:r>
      <w:r w:rsidRPr="00781CBD">
        <w:rPr>
          <w:b/>
          <w:bCs/>
        </w:rPr>
        <w:fldChar w:fldCharType="separate"/>
      </w:r>
      <w:r w:rsidR="003E354C" w:rsidRPr="003E354C">
        <w:rPr>
          <w:b/>
          <w:bCs/>
        </w:rPr>
        <w:t xml:space="preserve">Supplementary Fig. </w:t>
      </w:r>
      <w:r w:rsidR="003E354C" w:rsidRPr="003E354C">
        <w:rPr>
          <w:b/>
          <w:bCs/>
          <w:noProof/>
        </w:rPr>
        <w:t>19</w:t>
      </w:r>
      <w:r w:rsidRPr="00781CBD">
        <w:rPr>
          <w:b/>
          <w:bCs/>
        </w:rPr>
        <w:fldChar w:fldCharType="end"/>
      </w:r>
      <w:r w:rsidR="00A17A9F" w:rsidRPr="00781CBD">
        <w:rPr>
          <w:b/>
          <w:bCs/>
        </w:rPr>
        <w:t xml:space="preserve"> </w:t>
      </w:r>
      <w:r w:rsidR="00A17A9F" w:rsidRPr="00A17A9F">
        <w:t>compares these period-to-period relationships directly across storage representations. Dynamic Storage exhibits a substantially stronger positive relationship between yield perturbations and closing stocks than Fixed-Ratio Storage, reflecting endogenous stockbuilding following favorable yield changes and drawdown following adverse changes. The absolute-response panel shows the same distinction in physical stock variation and also demonstrates a clear response of net exports, reinforcing the role of both inventories and trade as adjustment margins. Differences across storage representations are also evident for harvested area, production, exports</w:t>
      </w:r>
      <w:r>
        <w:t>,</w:t>
      </w:r>
      <w:r w:rsidR="00A17A9F" w:rsidRPr="00A17A9F">
        <w:t xml:space="preserve"> and producer prices, whereas realized yield and consumption are much less sensitive to the representation of storage. Hidden Storage has no explicit closing-stock outcome and therefore cannot provide a separately identifiable inventory-transmission response. </w:t>
      </w:r>
    </w:p>
    <w:p w14:paraId="1BCF972F" w14:textId="21F73629" w:rsidR="00A17A9F" w:rsidRPr="00A17A9F" w:rsidRDefault="00A17A9F" w:rsidP="00A17A9F">
      <w:pPr>
        <w:spacing w:line="276" w:lineRule="auto"/>
      </w:pPr>
      <w:r w:rsidRPr="00A17A9F">
        <w:t xml:space="preserve">The complete coefficient estimates support these </w:t>
      </w:r>
      <w:r w:rsidR="006922A6" w:rsidRPr="006922A6">
        <w:t>transmission</w:t>
      </w:r>
      <w:r w:rsidR="006922A6">
        <w:t xml:space="preserve"> </w:t>
      </w:r>
      <w:r w:rsidRPr="00A17A9F">
        <w:t>patterns (</w:t>
      </w:r>
      <w:r w:rsidR="00905E79" w:rsidRPr="00781CBD">
        <w:rPr>
          <w:b/>
          <w:bCs/>
        </w:rPr>
        <w:fldChar w:fldCharType="begin"/>
      </w:r>
      <w:r w:rsidR="00905E79" w:rsidRPr="00781CBD">
        <w:rPr>
          <w:b/>
          <w:bCs/>
        </w:rPr>
        <w:instrText xml:space="preserve"> REF _Ref241137509 \h </w:instrText>
      </w:r>
      <w:r w:rsidR="00905E79">
        <w:rPr>
          <w:b/>
          <w:bCs/>
        </w:rPr>
        <w:instrText xml:space="preserve"> \* MERGEFORMAT </w:instrText>
      </w:r>
      <w:r w:rsidR="00905E79" w:rsidRPr="00781CBD">
        <w:rPr>
          <w:b/>
          <w:bCs/>
        </w:rPr>
      </w:r>
      <w:r w:rsidR="00905E79" w:rsidRPr="00781CBD">
        <w:rPr>
          <w:b/>
          <w:bCs/>
        </w:rPr>
        <w:fldChar w:fldCharType="separate"/>
      </w:r>
      <w:r w:rsidR="00905E79" w:rsidRPr="003E354C">
        <w:rPr>
          <w:b/>
          <w:bCs/>
        </w:rPr>
        <w:t xml:space="preserve">Supplementary Table </w:t>
      </w:r>
      <w:r w:rsidR="00905E79" w:rsidRPr="003E354C">
        <w:rPr>
          <w:b/>
          <w:bCs/>
          <w:noProof/>
        </w:rPr>
        <w:t>7</w:t>
      </w:r>
      <w:r w:rsidR="00905E79" w:rsidRPr="00781CBD">
        <w:rPr>
          <w:b/>
          <w:bCs/>
        </w:rPr>
        <w:fldChar w:fldCharType="end"/>
      </w:r>
      <w:r w:rsidRPr="00A17A9F">
        <w:t>). Cumulative inventory transmission is sensitive to the endpoint considered, whereas the period-to-period estimates reveal a substantially stronger inventory response under Dynamic Storage; the distribution of market-specific slopes additionally confirms considerable heterogeneity across region–crop markets. Pairwise Wald tests show that the representation of storage significantly alters several transmission margins, including harvested area, production, exports</w:t>
      </w:r>
      <w:r w:rsidR="00101545">
        <w:t>,</w:t>
      </w:r>
      <w:r w:rsidRPr="00A17A9F">
        <w:t xml:space="preserve"> and producer prices, while differences for some other outcomes are comparatively small (</w:t>
      </w:r>
      <w:r w:rsidR="00781CBD" w:rsidRPr="00781CBD">
        <w:rPr>
          <w:b/>
          <w:bCs/>
        </w:rPr>
        <w:fldChar w:fldCharType="begin"/>
      </w:r>
      <w:r w:rsidR="00781CBD" w:rsidRPr="00781CBD">
        <w:rPr>
          <w:b/>
          <w:bCs/>
        </w:rPr>
        <w:instrText xml:space="preserve"> REF _Ref241138139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Table </w:t>
      </w:r>
      <w:r w:rsidR="003E354C" w:rsidRPr="003E354C">
        <w:rPr>
          <w:b/>
          <w:bCs/>
          <w:noProof/>
        </w:rPr>
        <w:t>8</w:t>
      </w:r>
      <w:r w:rsidR="00781CBD" w:rsidRPr="00781CBD">
        <w:rPr>
          <w:b/>
          <w:bCs/>
        </w:rPr>
        <w:fldChar w:fldCharType="end"/>
      </w:r>
      <w:r w:rsidRPr="00A17A9F">
        <w:t>). The difference in the closing-stock response between Dynamic and Fixed-Ratio Storage is particularly pronounced. Re-estimating the period-to-period relationships with region and region–crop-market fixed effects produces closely similar transmission patterns, including the inventory response, supporting robustness to the fixed-effect specifications examined (</w:t>
      </w:r>
      <w:r w:rsidR="00781CBD" w:rsidRPr="00781CBD">
        <w:rPr>
          <w:b/>
          <w:bCs/>
        </w:rPr>
        <w:fldChar w:fldCharType="begin"/>
      </w:r>
      <w:r w:rsidR="00781CBD" w:rsidRPr="00781CBD">
        <w:rPr>
          <w:b/>
          <w:bCs/>
        </w:rPr>
        <w:instrText xml:space="preserve"> REF _Ref241137915 \h </w:instrText>
      </w:r>
      <w:r w:rsidR="00781CBD">
        <w:rPr>
          <w:b/>
          <w:bCs/>
        </w:rPr>
        <w:instrText xml:space="preserve"> \* MERGEFORMAT </w:instrText>
      </w:r>
      <w:r w:rsidR="00781CBD" w:rsidRPr="00781CBD">
        <w:rPr>
          <w:b/>
          <w:bCs/>
        </w:rPr>
      </w:r>
      <w:r w:rsidR="00781CBD" w:rsidRPr="00781CBD">
        <w:rPr>
          <w:b/>
          <w:bCs/>
        </w:rPr>
        <w:fldChar w:fldCharType="separate"/>
      </w:r>
      <w:r w:rsidR="003E354C" w:rsidRPr="003E354C">
        <w:rPr>
          <w:b/>
          <w:bCs/>
        </w:rPr>
        <w:t xml:space="preserve">Supplementary Table </w:t>
      </w:r>
      <w:r w:rsidR="003E354C" w:rsidRPr="003E354C">
        <w:rPr>
          <w:b/>
          <w:bCs/>
          <w:noProof/>
        </w:rPr>
        <w:t>9</w:t>
      </w:r>
      <w:r w:rsidR="00781CBD" w:rsidRPr="00781CBD">
        <w:rPr>
          <w:b/>
          <w:bCs/>
        </w:rPr>
        <w:fldChar w:fldCharType="end"/>
      </w:r>
      <w:r w:rsidRPr="00A17A9F">
        <w:t>).</w:t>
      </w:r>
    </w:p>
    <w:p w14:paraId="4656937A" w14:textId="77777777" w:rsidR="00A17A9F" w:rsidRDefault="00A17A9F"/>
    <w:p w14:paraId="7787A186" w14:textId="77777777" w:rsidR="00A17A9F" w:rsidRDefault="00A17A9F"/>
    <w:p w14:paraId="179AEADC" w14:textId="77777777" w:rsidR="008E53F9" w:rsidRDefault="008E53F9">
      <w:r>
        <w:rPr>
          <w:noProof/>
        </w:rPr>
        <w:lastRenderedPageBreak/>
        <w:drawing>
          <wp:inline distT="0" distB="0" distL="0" distR="0" wp14:anchorId="7D6F5BF2" wp14:editId="7D6D0F4E">
            <wp:extent cx="6858000" cy="6858000"/>
            <wp:effectExtent l="0" t="0" r="0" b="0"/>
            <wp:docPr id="478245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4505" name="Picture 5"/>
                    <pic:cNvPicPr>
                      <a:picLocks noChangeAspect="1" noChangeArrowheads="1"/>
                    </pic:cNvPicPr>
                  </pic:nvPicPr>
                  <pic:blipFill>
                    <a:blip r:embed="rId24"/>
                    <a:stretch>
                      <a:fillRect/>
                    </a:stretch>
                  </pic:blipFill>
                  <pic:spPr bwMode="auto">
                    <a:xfrm>
                      <a:off x="0" y="0"/>
                      <a:ext cx="6858000" cy="6858000"/>
                    </a:xfrm>
                    <a:prstGeom prst="rect">
                      <a:avLst/>
                    </a:prstGeom>
                    <a:noFill/>
                    <a:ln>
                      <a:noFill/>
                    </a:ln>
                  </pic:spPr>
                </pic:pic>
              </a:graphicData>
            </a:graphic>
          </wp:inline>
        </w:drawing>
      </w:r>
    </w:p>
    <w:p w14:paraId="5D8AA81C" w14:textId="6C738D4D" w:rsidR="008E53F9" w:rsidRPr="008E53F9" w:rsidRDefault="008E53F9" w:rsidP="008F1A25">
      <w:pPr>
        <w:pStyle w:val="Caption"/>
        <w:jc w:val="both"/>
        <w:rPr>
          <w:vanish/>
          <w:specVanish/>
        </w:rPr>
      </w:pPr>
      <w:bookmarkStart w:id="50" w:name="_Ref241137795"/>
      <w:bookmarkStart w:id="51" w:name="_Toc241138233"/>
      <w:r w:rsidRPr="00AF6919">
        <w:t xml:space="preserve">Supplementary Fig. </w:t>
      </w:r>
      <w:fldSimple w:instr=" SEQ Figure \* ARABIC ">
        <w:r w:rsidR="003E354C">
          <w:rPr>
            <w:noProof/>
          </w:rPr>
          <w:t>14</w:t>
        </w:r>
      </w:fldSimple>
      <w:bookmarkEnd w:id="50"/>
      <w:r w:rsidRPr="00AF6919">
        <w:t xml:space="preserve"> |</w:t>
      </w:r>
      <w:r w:rsidRPr="00067BD2">
        <w:rPr>
          <w:noProof/>
        </w:rPr>
        <w:t xml:space="preserve"> </w:t>
      </w:r>
      <w:r w:rsidRPr="008E53F9">
        <w:t>Cumulative agroeconomic responses to biophysical yield shocks under Dynamic Storage.</w:t>
      </w:r>
      <w:bookmarkEnd w:id="51"/>
      <w:r w:rsidRPr="008E53F9">
        <w:t xml:space="preserve"> </w:t>
      </w:r>
    </w:p>
    <w:p w14:paraId="45C1A401" w14:textId="1BBB07F5" w:rsidR="00B94C82" w:rsidRPr="008F1A25" w:rsidRDefault="008E53F9" w:rsidP="008F1A25">
      <w:pPr>
        <w:spacing w:line="240" w:lineRule="auto"/>
        <w:jc w:val="both"/>
        <w:rPr>
          <w:sz w:val="19"/>
          <w:szCs w:val="19"/>
        </w:rPr>
      </w:pPr>
      <w:r>
        <w:t xml:space="preserve"> </w:t>
      </w:r>
      <w:r w:rsidRPr="008F1A25">
        <w:rPr>
          <w:sz w:val="19"/>
          <w:szCs w:val="19"/>
        </w:rPr>
        <w:t xml:space="preserve">Panel A shows cumulative percentage responses since 2021, calculated as the difference between cumulative log changes in the Dynamic Storage shock and Smooth scenarios (S3 relative to S1) from the common 2021 base year to each model year. Panel B shows corresponding responses </w:t>
      </w:r>
      <w:r w:rsidR="008F1A25" w:rsidRPr="008F1A25">
        <w:rPr>
          <w:sz w:val="20"/>
          <w:szCs w:val="20"/>
        </w:rPr>
        <w:t xml:space="preserve">in </w:t>
      </w:r>
      <w:r w:rsidR="008F1A25" w:rsidRPr="008F1A25">
        <w:rPr>
          <w:rFonts w:cs="Arial"/>
          <w:noProof/>
          <w:sz w:val="20"/>
          <w:szCs w:val="20"/>
        </w:rPr>
        <w:t xml:space="preserve">absolute </w:t>
      </w:r>
      <w:r w:rsidR="008F1A25" w:rsidRPr="008F1A25">
        <w:rPr>
          <w:sz w:val="20"/>
          <w:szCs w:val="20"/>
        </w:rPr>
        <w:t>diffe</w:t>
      </w:r>
      <w:r w:rsidR="008F1A25" w:rsidRPr="008F1A25">
        <w:rPr>
          <w:sz w:val="19"/>
          <w:szCs w:val="19"/>
        </w:rPr>
        <w:t xml:space="preserve">rences </w:t>
      </w:r>
      <w:r w:rsidRPr="008F1A25">
        <w:rPr>
          <w:sz w:val="19"/>
          <w:szCs w:val="19"/>
        </w:rPr>
        <w:t>for net stock variation and net exports, calculated as differences in level changes from the 2021 base. Because the paired scenarios share the same base-year calibration, these measures are equivalent to the S3−S1 deviation at each model year.</w:t>
      </w:r>
      <w:r w:rsidR="00625B17" w:rsidRPr="008F1A25">
        <w:rPr>
          <w:sz w:val="19"/>
          <w:szCs w:val="19"/>
        </w:rPr>
        <w:t xml:space="preserve"> </w:t>
      </w:r>
      <w:r w:rsidR="005D3215" w:rsidRPr="008F1A25">
        <w:rPr>
          <w:sz w:val="19"/>
          <w:szCs w:val="19"/>
        </w:rPr>
        <w:t>Both mass (Mt) and dietary-energy (</w:t>
      </w:r>
      <w:r w:rsidR="00A10D69">
        <w:rPr>
          <w:sz w:val="19"/>
          <w:szCs w:val="19"/>
        </w:rPr>
        <w:t>P</w:t>
      </w:r>
      <w:r w:rsidR="005D3215" w:rsidRPr="008F1A25">
        <w:rPr>
          <w:sz w:val="19"/>
          <w:szCs w:val="19"/>
        </w:rPr>
        <w:t>cal) measures are included for stock-related variables.</w:t>
      </w:r>
      <w:r w:rsidRPr="008F1A25">
        <w:rPr>
          <w:sz w:val="19"/>
          <w:szCs w:val="19"/>
        </w:rPr>
        <w:t xml:space="preserve"> For each model year, boxplots summarize the distribution across 10 IPCC R10 regions and four crop groups, yielding up to 40 region–crop observations. Boxes indicate the interquartile range, center lines the median, and whiskers the 5th–95th percentile range. Colored points show individual region–crop observations, and colored lines show world-level responses by crop group. Data source: GCAM simulation results.</w:t>
      </w:r>
    </w:p>
    <w:p w14:paraId="5EAAD101" w14:textId="27EF036A" w:rsidR="00153680" w:rsidRDefault="000C3934" w:rsidP="00923EA0">
      <w:pPr>
        <w:spacing w:line="240" w:lineRule="auto"/>
        <w:jc w:val="center"/>
      </w:pPr>
      <w:r>
        <w:rPr>
          <w:noProof/>
        </w:rPr>
        <w:lastRenderedPageBreak/>
        <w:drawing>
          <wp:inline distT="0" distB="0" distL="0" distR="0" wp14:anchorId="46774267" wp14:editId="33D6252D">
            <wp:extent cx="6675119" cy="7092315"/>
            <wp:effectExtent l="0" t="0" r="0" b="0"/>
            <wp:docPr id="203740345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03458" name="Picture 16"/>
                    <pic:cNvPicPr>
                      <a:picLocks noChangeAspect="1" noChangeArrowheads="1"/>
                    </pic:cNvPicPr>
                  </pic:nvPicPr>
                  <pic:blipFill>
                    <a:blip r:embed="rId25"/>
                    <a:stretch>
                      <a:fillRect/>
                    </a:stretch>
                  </pic:blipFill>
                  <pic:spPr bwMode="auto">
                    <a:xfrm>
                      <a:off x="0" y="0"/>
                      <a:ext cx="6675119" cy="7092315"/>
                    </a:xfrm>
                    <a:prstGeom prst="rect">
                      <a:avLst/>
                    </a:prstGeom>
                    <a:noFill/>
                    <a:ln>
                      <a:noFill/>
                    </a:ln>
                  </pic:spPr>
                </pic:pic>
              </a:graphicData>
            </a:graphic>
          </wp:inline>
        </w:drawing>
      </w:r>
    </w:p>
    <w:p w14:paraId="2E2621B7" w14:textId="75ACCD71" w:rsidR="00AE2DBF" w:rsidRPr="00AE2DBF" w:rsidRDefault="00B94C82" w:rsidP="00DC2CDA">
      <w:pPr>
        <w:pStyle w:val="Caption"/>
        <w:jc w:val="both"/>
        <w:rPr>
          <w:vanish/>
          <w:specVanish/>
        </w:rPr>
      </w:pPr>
      <w:bookmarkStart w:id="52" w:name="_Ref238585124"/>
      <w:bookmarkStart w:id="53" w:name="_Toc241138234"/>
      <w:r w:rsidRPr="004101F1">
        <w:t xml:space="preserve">Supplementary Fig. </w:t>
      </w:r>
      <w:fldSimple w:instr=" SEQ Figure \* ARABIC ">
        <w:r w:rsidR="003E354C">
          <w:rPr>
            <w:noProof/>
          </w:rPr>
          <w:t>15</w:t>
        </w:r>
      </w:fldSimple>
      <w:bookmarkEnd w:id="52"/>
      <w:r w:rsidR="004101F1" w:rsidRPr="004101F1">
        <w:t xml:space="preserve"> | </w:t>
      </w:r>
      <w:r w:rsidR="007A6699">
        <w:t>T</w:t>
      </w:r>
      <w:r w:rsidR="004101F1" w:rsidRPr="004101F1">
        <w:t xml:space="preserve">ransmission of </w:t>
      </w:r>
      <w:r w:rsidR="007A6699">
        <w:t>c</w:t>
      </w:r>
      <w:r w:rsidR="007A6699" w:rsidRPr="004101F1">
        <w:t xml:space="preserve">umulative </w:t>
      </w:r>
      <w:r w:rsidR="004101F1" w:rsidRPr="004101F1">
        <w:t>biophysical yield shocks to agroeconomic outcomes in 2050.</w:t>
      </w:r>
      <w:bookmarkEnd w:id="53"/>
      <w:r w:rsidR="00AE2DBF">
        <w:t xml:space="preserve"> </w:t>
      </w:r>
    </w:p>
    <w:p w14:paraId="23F03BC1" w14:textId="682ADAD0" w:rsidR="004101F1" w:rsidRPr="00DC2CDA" w:rsidRDefault="00AE2DBF" w:rsidP="00DC2CDA">
      <w:pPr>
        <w:rPr>
          <w:sz w:val="18"/>
          <w:szCs w:val="18"/>
          <w:specVanish/>
        </w:rPr>
      </w:pPr>
      <w:r>
        <w:t xml:space="preserve"> </w:t>
      </w:r>
      <w:r w:rsidR="004101F1" w:rsidRPr="00DC2CDA">
        <w:rPr>
          <w:sz w:val="18"/>
          <w:szCs w:val="18"/>
        </w:rPr>
        <w:t>Panel A shows cumulative percentage responses from 2021 to 2050 under Dynamic, Hidden</w:t>
      </w:r>
      <w:r w:rsidR="007A6699" w:rsidRPr="00DC2CDA">
        <w:rPr>
          <w:sz w:val="18"/>
          <w:szCs w:val="18"/>
        </w:rPr>
        <w:t>,</w:t>
      </w:r>
      <w:r w:rsidR="004101F1" w:rsidRPr="00DC2CDA">
        <w:rPr>
          <w:sz w:val="18"/>
          <w:szCs w:val="18"/>
        </w:rPr>
        <w:t xml:space="preserve"> and Fixed-Ratio Storage. Responses are calculated as differences in cumulative log changes between the corresponding biophysical-shock and Smooth scenarios: S3 relative to S1 for Dynamic Storage, S4 relative to S2 for Hidden Storage</w:t>
      </w:r>
      <w:r w:rsidR="007A6699" w:rsidRPr="00DC2CDA">
        <w:rPr>
          <w:sz w:val="18"/>
          <w:szCs w:val="18"/>
        </w:rPr>
        <w:t>,</w:t>
      </w:r>
      <w:r w:rsidR="004101F1" w:rsidRPr="00DC2CDA">
        <w:rPr>
          <w:sz w:val="18"/>
          <w:szCs w:val="18"/>
        </w:rPr>
        <w:t xml:space="preserve"> and S6 relative to S5 for Fixed-Ratio Storage. The horizontal axis shows the cumulative biophysical yield deviation, and the vertical axis shows the corresponding cumulative response in each outcome. Panel B shows responses</w:t>
      </w:r>
      <w:r w:rsidR="000C3934" w:rsidRPr="00DC2CDA">
        <w:rPr>
          <w:sz w:val="18"/>
          <w:szCs w:val="18"/>
        </w:rPr>
        <w:t xml:space="preserve"> (absolute differences)</w:t>
      </w:r>
      <w:r w:rsidR="004101F1" w:rsidRPr="00DC2CDA">
        <w:rPr>
          <w:sz w:val="18"/>
          <w:szCs w:val="18"/>
        </w:rPr>
        <w:t xml:space="preserve"> for net stock variation and net exports. Each point represents one IPCC R10 region–crop-group observation, yielding up to 40 observations per storage representation. Colors distinguish storage representations. Lines show scenario-specific ordinary least-squares </w:t>
      </w:r>
      <w:r w:rsidR="00AF6C44" w:rsidRPr="00DC2CDA">
        <w:rPr>
          <w:sz w:val="18"/>
          <w:szCs w:val="18"/>
        </w:rPr>
        <w:t>fit</w:t>
      </w:r>
      <w:r w:rsidR="004101F1" w:rsidRPr="00DC2CDA">
        <w:rPr>
          <w:sz w:val="18"/>
          <w:szCs w:val="18"/>
        </w:rPr>
        <w:t xml:space="preserve"> with an intercept, and shaded bands show 95% confidence intervals for the fitted mean relationship.  Grey diagonal lines </w:t>
      </w:r>
      <w:r w:rsidR="00AF6C44" w:rsidRPr="00DC2CDA">
        <w:rPr>
          <w:sz w:val="18"/>
          <w:szCs w:val="18"/>
        </w:rPr>
        <w:t xml:space="preserve">in Panel A </w:t>
      </w:r>
      <w:r w:rsidR="004101F1" w:rsidRPr="00DC2CDA">
        <w:rPr>
          <w:sz w:val="18"/>
          <w:szCs w:val="18"/>
        </w:rPr>
        <w:t xml:space="preserve">indicate a one-to-one response. Hidden Storage does not report </w:t>
      </w:r>
      <w:r w:rsidR="004101F1" w:rsidRPr="00DC2CDA">
        <w:rPr>
          <w:sz w:val="18"/>
          <w:szCs w:val="18"/>
        </w:rPr>
        <w:lastRenderedPageBreak/>
        <w:t>explicit closing stocks or storage-associated losses. Stock-related variables are reported using both mass (Mt) and dietary-energy (</w:t>
      </w:r>
      <w:r w:rsidR="00A10D69">
        <w:rPr>
          <w:sz w:val="18"/>
          <w:szCs w:val="18"/>
        </w:rPr>
        <w:t>P</w:t>
      </w:r>
      <w:r w:rsidR="004101F1" w:rsidRPr="00DC2CDA">
        <w:rPr>
          <w:sz w:val="18"/>
          <w:szCs w:val="18"/>
        </w:rPr>
        <w:t>cal) measures. Data source: GCAM simulation results.</w:t>
      </w:r>
    </w:p>
    <w:p w14:paraId="68DDB616" w14:textId="12371E56" w:rsidR="004101F1" w:rsidRPr="00AE2DBF" w:rsidRDefault="0064542B" w:rsidP="00DC2CDA">
      <w:pPr>
        <w:rPr>
          <w:vanish/>
          <w:sz w:val="21"/>
          <w:szCs w:val="21"/>
          <w:specVanish/>
        </w:rPr>
      </w:pPr>
      <w:r>
        <w:rPr>
          <w:noProof/>
        </w:rPr>
        <w:drawing>
          <wp:inline distT="0" distB="0" distL="0" distR="0" wp14:anchorId="7967BFBA" wp14:editId="355D5D7E">
            <wp:extent cx="6857999" cy="7286625"/>
            <wp:effectExtent l="0" t="0" r="635" b="0"/>
            <wp:docPr id="426334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34344" name="Picture 1"/>
                    <pic:cNvPicPr>
                      <a:picLocks noChangeAspect="1" noChangeArrowheads="1"/>
                    </pic:cNvPicPr>
                  </pic:nvPicPr>
                  <pic:blipFill>
                    <a:blip r:embed="rId26"/>
                    <a:stretch>
                      <a:fillRect/>
                    </a:stretch>
                  </pic:blipFill>
                  <pic:spPr bwMode="auto">
                    <a:xfrm>
                      <a:off x="0" y="0"/>
                      <a:ext cx="6857999" cy="7286625"/>
                    </a:xfrm>
                    <a:prstGeom prst="rect">
                      <a:avLst/>
                    </a:prstGeom>
                    <a:noFill/>
                    <a:ln>
                      <a:noFill/>
                    </a:ln>
                  </pic:spPr>
                </pic:pic>
              </a:graphicData>
            </a:graphic>
          </wp:inline>
        </w:drawing>
      </w:r>
    </w:p>
    <w:p w14:paraId="615BA4CE" w14:textId="46F1696E" w:rsidR="007A6699" w:rsidRPr="00AE2DBF" w:rsidRDefault="00AE2DBF" w:rsidP="00AE2DBF">
      <w:pPr>
        <w:pStyle w:val="Caption"/>
        <w:jc w:val="both"/>
        <w:rPr>
          <w:vanish/>
          <w:specVanish/>
        </w:rPr>
      </w:pPr>
      <w:r>
        <w:t xml:space="preserve"> </w:t>
      </w:r>
      <w:bookmarkStart w:id="54" w:name="_Ref241137827"/>
      <w:bookmarkStart w:id="55" w:name="_Toc241138235"/>
      <w:r w:rsidR="00A22D3A" w:rsidRPr="00AE2DBF">
        <w:t xml:space="preserve">Supplementary Fig. </w:t>
      </w:r>
      <w:fldSimple w:instr=" SEQ Figure \* ARABIC ">
        <w:r w:rsidR="003E354C">
          <w:rPr>
            <w:noProof/>
          </w:rPr>
          <w:t>16</w:t>
        </w:r>
      </w:fldSimple>
      <w:bookmarkEnd w:id="54"/>
      <w:r w:rsidRPr="00AE2DBF">
        <w:t xml:space="preserve"> </w:t>
      </w:r>
      <w:r w:rsidR="004101F1" w:rsidRPr="00AE2DBF">
        <w:t>| Cumulative transmission of biophysical yield shocks to agroeconomic outcomes in 2100.</w:t>
      </w:r>
      <w:bookmarkEnd w:id="55"/>
      <w:r w:rsidR="004101F1" w:rsidRPr="00AE2DBF">
        <w:t xml:space="preserve"> </w:t>
      </w:r>
    </w:p>
    <w:p w14:paraId="4B052D2C" w14:textId="24977A5A" w:rsidR="00E04288" w:rsidRPr="008E53F9" w:rsidRDefault="00AE2DBF" w:rsidP="00AE2DBF">
      <w:pPr>
        <w:jc w:val="both"/>
      </w:pPr>
      <w:r>
        <w:t xml:space="preserve"> </w:t>
      </w:r>
      <w:r w:rsidR="004101F1" w:rsidRPr="00923EA0">
        <w:t>Scenario pairings, calculations, panel definitions, units, statistical fits</w:t>
      </w:r>
      <w:r w:rsidR="007A6699" w:rsidRPr="00923EA0">
        <w:t>,</w:t>
      </w:r>
      <w:r w:rsidR="004101F1" w:rsidRPr="00923EA0">
        <w:t xml:space="preserve"> and other conventions follow </w:t>
      </w:r>
      <w:r w:rsidR="004101F1" w:rsidRPr="00923EA0">
        <w:rPr>
          <w:b/>
          <w:bCs/>
        </w:rPr>
        <w:fldChar w:fldCharType="begin"/>
      </w:r>
      <w:r w:rsidR="004101F1" w:rsidRPr="00923EA0">
        <w:rPr>
          <w:b/>
          <w:bCs/>
        </w:rPr>
        <w:instrText xml:space="preserve"> REF _Ref238585124 \h  \* MERGEFORMAT </w:instrText>
      </w:r>
      <w:r w:rsidR="004101F1" w:rsidRPr="00923EA0">
        <w:rPr>
          <w:b/>
          <w:bCs/>
        </w:rPr>
      </w:r>
      <w:r w:rsidR="004101F1" w:rsidRPr="00923EA0">
        <w:rPr>
          <w:b/>
          <w:bCs/>
        </w:rPr>
        <w:fldChar w:fldCharType="separate"/>
      </w:r>
      <w:r w:rsidR="003E354C" w:rsidRPr="003E354C">
        <w:rPr>
          <w:b/>
          <w:bCs/>
        </w:rPr>
        <w:t xml:space="preserve">Supplementary Fig. </w:t>
      </w:r>
      <w:r w:rsidR="003E354C" w:rsidRPr="003E354C">
        <w:rPr>
          <w:b/>
          <w:bCs/>
          <w:noProof/>
        </w:rPr>
        <w:t>15</w:t>
      </w:r>
      <w:r w:rsidR="004101F1" w:rsidRPr="00923EA0">
        <w:rPr>
          <w:b/>
          <w:bCs/>
        </w:rPr>
        <w:fldChar w:fldCharType="end"/>
      </w:r>
      <w:r w:rsidR="004101F1" w:rsidRPr="00923EA0">
        <w:t>. Data source: GCAM simulation results.</w:t>
      </w:r>
      <w:r w:rsidR="007A6699" w:rsidRPr="00923EA0">
        <w:t xml:space="preserve"> The fitted slopes are interpreted as cumulative yield-shock transmission elasticities at 2100. </w:t>
      </w:r>
      <w:r w:rsidR="00E04288" w:rsidRPr="008E53F9">
        <w:br w:type="page"/>
      </w:r>
    </w:p>
    <w:p w14:paraId="3BD73476" w14:textId="45F2D667" w:rsidR="00834C28" w:rsidRDefault="008E53F9">
      <w:r>
        <w:rPr>
          <w:noProof/>
        </w:rPr>
        <w:lastRenderedPageBreak/>
        <w:drawing>
          <wp:inline distT="0" distB="0" distL="0" distR="0" wp14:anchorId="1C9A3D36" wp14:editId="5032740A">
            <wp:extent cx="6858000" cy="6858000"/>
            <wp:effectExtent l="0" t="0" r="0" b="0"/>
            <wp:docPr id="5624910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91031" name="Picture 6"/>
                    <pic:cNvPicPr>
                      <a:picLocks noChangeAspect="1" noChangeArrowheads="1"/>
                    </pic:cNvPicPr>
                  </pic:nvPicPr>
                  <pic:blipFill>
                    <a:blip r:embed="rId27"/>
                    <a:stretch>
                      <a:fillRect/>
                    </a:stretch>
                  </pic:blipFill>
                  <pic:spPr bwMode="auto">
                    <a:xfrm>
                      <a:off x="0" y="0"/>
                      <a:ext cx="6858000" cy="6858000"/>
                    </a:xfrm>
                    <a:prstGeom prst="rect">
                      <a:avLst/>
                    </a:prstGeom>
                    <a:noFill/>
                    <a:ln>
                      <a:noFill/>
                    </a:ln>
                  </pic:spPr>
                </pic:pic>
              </a:graphicData>
            </a:graphic>
          </wp:inline>
        </w:drawing>
      </w:r>
    </w:p>
    <w:p w14:paraId="2988406F" w14:textId="3E87BD14" w:rsidR="007373EC" w:rsidRPr="007373EC" w:rsidRDefault="007373EC" w:rsidP="005D3215">
      <w:pPr>
        <w:pStyle w:val="Caption"/>
        <w:jc w:val="both"/>
        <w:rPr>
          <w:noProof/>
          <w:vanish/>
          <w:szCs w:val="22"/>
          <w:specVanish/>
        </w:rPr>
      </w:pPr>
      <w:bookmarkStart w:id="56" w:name="_Ref238565770"/>
      <w:bookmarkStart w:id="57" w:name="_Toc241138236"/>
      <w:r w:rsidRPr="00AF6919">
        <w:t xml:space="preserve">Supplementary Fig. </w:t>
      </w:r>
      <w:fldSimple w:instr=" SEQ Figure \* ARABIC ">
        <w:r w:rsidR="003E354C">
          <w:rPr>
            <w:noProof/>
          </w:rPr>
          <w:t>17</w:t>
        </w:r>
      </w:fldSimple>
      <w:bookmarkEnd w:id="56"/>
      <w:r w:rsidRPr="00AF6919">
        <w:t xml:space="preserve">  |</w:t>
      </w:r>
      <w:r w:rsidR="00834C28" w:rsidRPr="00067BD2">
        <w:rPr>
          <w:noProof/>
        </w:rPr>
        <w:t xml:space="preserve">  </w:t>
      </w:r>
      <w:r w:rsidR="006F14B6" w:rsidRPr="006F14B6">
        <w:rPr>
          <w:noProof/>
        </w:rPr>
        <w:t>Period-to-period agroeconomic responses to biophysical yield shocks under Dynamic Storage, by model period.</w:t>
      </w:r>
      <w:bookmarkEnd w:id="57"/>
    </w:p>
    <w:p w14:paraId="34857F50" w14:textId="77777777" w:rsidR="006F14B6" w:rsidRPr="009E3008" w:rsidRDefault="007373EC" w:rsidP="005D3215">
      <w:pPr>
        <w:spacing w:line="240" w:lineRule="auto"/>
        <w:jc w:val="both"/>
        <w:rPr>
          <w:rFonts w:cs="Arial"/>
          <w:noProof/>
          <w:vanish/>
          <w:sz w:val="21"/>
          <w:szCs w:val="21"/>
          <w:specVanish/>
        </w:rPr>
      </w:pPr>
      <w:r w:rsidRPr="007373EC">
        <w:rPr>
          <w:rFonts w:cs="Arial"/>
          <w:noProof/>
        </w:rPr>
        <w:t xml:space="preserve"> </w:t>
      </w:r>
    </w:p>
    <w:p w14:paraId="301C9E20" w14:textId="1B0C7B6E" w:rsidR="006F14B6" w:rsidRPr="009E3008" w:rsidRDefault="006F14B6" w:rsidP="005D3215">
      <w:pPr>
        <w:spacing w:line="240" w:lineRule="auto"/>
        <w:jc w:val="both"/>
        <w:rPr>
          <w:rFonts w:cs="Arial"/>
          <w:noProof/>
          <w:sz w:val="21"/>
          <w:szCs w:val="21"/>
        </w:rPr>
      </w:pPr>
      <w:r w:rsidRPr="009E3008">
        <w:rPr>
          <w:rFonts w:cs="Arial"/>
          <w:noProof/>
          <w:sz w:val="21"/>
          <w:szCs w:val="21"/>
        </w:rPr>
        <w:t xml:space="preserve">Panel A shows shock-induced percentage responses for each transition between successive GCAM model periods, calculated as the difference in log growth between the Dynamic Storage shock and Smooth scenarios (S3 relative to S1). Panel B shows corresponding responses </w:t>
      </w:r>
      <w:r w:rsidR="008F1A25" w:rsidRPr="008F1A25">
        <w:rPr>
          <w:rFonts w:cs="Arial"/>
          <w:noProof/>
          <w:sz w:val="21"/>
          <w:szCs w:val="21"/>
        </w:rPr>
        <w:t xml:space="preserve">in </w:t>
      </w:r>
      <w:r w:rsidR="008F1A25">
        <w:rPr>
          <w:rFonts w:cs="Arial"/>
          <w:noProof/>
          <w:sz w:val="21"/>
          <w:szCs w:val="21"/>
        </w:rPr>
        <w:t>absolute</w:t>
      </w:r>
      <w:r w:rsidR="008F1A25" w:rsidRPr="008F1A25">
        <w:rPr>
          <w:rFonts w:cs="Arial"/>
          <w:noProof/>
          <w:sz w:val="21"/>
          <w:szCs w:val="21"/>
        </w:rPr>
        <w:t xml:space="preserve"> differences </w:t>
      </w:r>
      <w:r w:rsidRPr="009E3008">
        <w:rPr>
          <w:rFonts w:cs="Arial"/>
          <w:noProof/>
          <w:sz w:val="21"/>
          <w:szCs w:val="21"/>
        </w:rPr>
        <w:t xml:space="preserve">for net stock variation and net exports, for which logarithmic responses are not defined consistently. </w:t>
      </w:r>
      <w:r w:rsidR="005D3215" w:rsidRPr="008F1A25">
        <w:rPr>
          <w:rFonts w:cs="Arial"/>
          <w:noProof/>
          <w:sz w:val="21"/>
          <w:szCs w:val="21"/>
        </w:rPr>
        <w:t>Both mass (Mt) and dietary-energy (</w:t>
      </w:r>
      <w:r w:rsidR="00A10D69">
        <w:rPr>
          <w:rFonts w:cs="Arial"/>
          <w:noProof/>
          <w:sz w:val="21"/>
          <w:szCs w:val="21"/>
        </w:rPr>
        <w:t>P</w:t>
      </w:r>
      <w:r w:rsidR="005D3215" w:rsidRPr="008F1A25">
        <w:rPr>
          <w:rFonts w:cs="Arial"/>
          <w:noProof/>
          <w:sz w:val="21"/>
          <w:szCs w:val="21"/>
        </w:rPr>
        <w:t xml:space="preserve">cal) measures are included for stock-related variables. </w:t>
      </w:r>
      <w:r w:rsidRPr="009E3008">
        <w:rPr>
          <w:rFonts w:cs="Arial"/>
          <w:noProof/>
          <w:sz w:val="21"/>
          <w:szCs w:val="21"/>
        </w:rPr>
        <w:t>For each model-period transition, boxplots summarize the distribution across 10 IPCC R10 regions and four crop groups, yielding up to 40 region–crop observations. Boxes indicate the interquartile range, center lines the median, and whiskers the 5</w:t>
      </w:r>
      <w:r w:rsidRPr="009E3008">
        <w:rPr>
          <w:rFonts w:cs="Arial"/>
          <w:noProof/>
          <w:sz w:val="21"/>
          <w:szCs w:val="21"/>
          <w:vertAlign w:val="superscript"/>
        </w:rPr>
        <w:t>th</w:t>
      </w:r>
      <w:r w:rsidRPr="009E3008">
        <w:rPr>
          <w:rFonts w:cs="Arial"/>
          <w:noProof/>
          <w:sz w:val="21"/>
          <w:szCs w:val="21"/>
        </w:rPr>
        <w:t>–95</w:t>
      </w:r>
      <w:r w:rsidRPr="009E3008">
        <w:rPr>
          <w:rFonts w:cs="Arial"/>
          <w:noProof/>
          <w:sz w:val="21"/>
          <w:szCs w:val="21"/>
          <w:vertAlign w:val="superscript"/>
        </w:rPr>
        <w:t>th</w:t>
      </w:r>
      <w:r w:rsidRPr="009E3008">
        <w:rPr>
          <w:rFonts w:cs="Arial"/>
          <w:noProof/>
          <w:sz w:val="21"/>
          <w:szCs w:val="21"/>
        </w:rPr>
        <w:t xml:space="preserve"> percentile range. Colored points show individual region–crop observations, and colored lines show world-level responses by crop group. Data source: GCAM simulation results.</w:t>
      </w:r>
    </w:p>
    <w:p w14:paraId="6455A724" w14:textId="2D0224DE" w:rsidR="007373EC" w:rsidRDefault="008E53F9">
      <w:r>
        <w:rPr>
          <w:noProof/>
        </w:rPr>
        <w:lastRenderedPageBreak/>
        <w:drawing>
          <wp:inline distT="0" distB="0" distL="0" distR="0" wp14:anchorId="6B9EC865" wp14:editId="52FA8612">
            <wp:extent cx="6858000" cy="6858000"/>
            <wp:effectExtent l="0" t="0" r="0" b="0"/>
            <wp:docPr id="1637221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2125" name="Picture 7"/>
                    <pic:cNvPicPr>
                      <a:picLocks noChangeAspect="1" noChangeArrowheads="1"/>
                    </pic:cNvPicPr>
                  </pic:nvPicPr>
                  <pic:blipFill>
                    <a:blip r:embed="rId28"/>
                    <a:stretch>
                      <a:fillRect/>
                    </a:stretch>
                  </pic:blipFill>
                  <pic:spPr bwMode="auto">
                    <a:xfrm>
                      <a:off x="0" y="0"/>
                      <a:ext cx="6858000" cy="6858000"/>
                    </a:xfrm>
                    <a:prstGeom prst="rect">
                      <a:avLst/>
                    </a:prstGeom>
                    <a:noFill/>
                    <a:ln>
                      <a:noFill/>
                    </a:ln>
                  </pic:spPr>
                </pic:pic>
              </a:graphicData>
            </a:graphic>
          </wp:inline>
        </w:drawing>
      </w:r>
    </w:p>
    <w:p w14:paraId="67BD4875" w14:textId="1185FAAC" w:rsidR="007373EC" w:rsidRPr="007373EC" w:rsidRDefault="007373EC" w:rsidP="006F14B6">
      <w:pPr>
        <w:pStyle w:val="Caption"/>
        <w:jc w:val="both"/>
        <w:rPr>
          <w:noProof/>
          <w:vanish/>
          <w:szCs w:val="22"/>
          <w:specVanish/>
        </w:rPr>
      </w:pPr>
      <w:bookmarkStart w:id="58" w:name="_Ref241137856"/>
      <w:bookmarkStart w:id="59" w:name="_Toc241138237"/>
      <w:r w:rsidRPr="007373EC">
        <w:rPr>
          <w:szCs w:val="22"/>
        </w:rPr>
        <w:t xml:space="preserve">Supplementary Fig. </w:t>
      </w:r>
      <w:r w:rsidRPr="007373EC">
        <w:rPr>
          <w:szCs w:val="22"/>
        </w:rPr>
        <w:fldChar w:fldCharType="begin"/>
      </w:r>
      <w:r w:rsidRPr="007373EC">
        <w:rPr>
          <w:szCs w:val="22"/>
        </w:rPr>
        <w:instrText xml:space="preserve"> SEQ Figure \* ARABIC </w:instrText>
      </w:r>
      <w:r w:rsidRPr="007373EC">
        <w:rPr>
          <w:szCs w:val="22"/>
        </w:rPr>
        <w:fldChar w:fldCharType="separate"/>
      </w:r>
      <w:r w:rsidR="003E354C">
        <w:rPr>
          <w:noProof/>
          <w:szCs w:val="22"/>
        </w:rPr>
        <w:t>18</w:t>
      </w:r>
      <w:r w:rsidRPr="007373EC">
        <w:rPr>
          <w:szCs w:val="22"/>
        </w:rPr>
        <w:fldChar w:fldCharType="end"/>
      </w:r>
      <w:bookmarkEnd w:id="58"/>
      <w:r w:rsidRPr="007373EC">
        <w:rPr>
          <w:szCs w:val="22"/>
        </w:rPr>
        <w:t xml:space="preserve">  |</w:t>
      </w:r>
      <w:r w:rsidRPr="007373EC">
        <w:rPr>
          <w:noProof/>
          <w:szCs w:val="22"/>
        </w:rPr>
        <w:t xml:space="preserve"> </w:t>
      </w:r>
      <w:r w:rsidR="006F14B6" w:rsidRPr="006F14B6">
        <w:rPr>
          <w:noProof/>
          <w:szCs w:val="22"/>
        </w:rPr>
        <w:t>Period-to-period agroeconomic responses to biophysical yield shocks under Dynamic Storage, by region</w:t>
      </w:r>
      <w:r w:rsidRPr="007373EC">
        <w:rPr>
          <w:noProof/>
          <w:szCs w:val="22"/>
        </w:rPr>
        <w:t>.</w:t>
      </w:r>
      <w:bookmarkEnd w:id="59"/>
      <w:r w:rsidRPr="007373EC">
        <w:rPr>
          <w:noProof/>
          <w:szCs w:val="22"/>
        </w:rPr>
        <w:t xml:space="preserve"> </w:t>
      </w:r>
    </w:p>
    <w:p w14:paraId="44F9FCE0" w14:textId="1A502B01" w:rsidR="007373EC" w:rsidRDefault="006F14B6" w:rsidP="006F14B6">
      <w:pPr>
        <w:spacing w:line="240" w:lineRule="auto"/>
        <w:jc w:val="both"/>
        <w:rPr>
          <w:rFonts w:cs="Arial"/>
          <w:noProof/>
        </w:rPr>
      </w:pPr>
      <w:r w:rsidRPr="006F14B6">
        <w:rPr>
          <w:rFonts w:cs="Arial"/>
          <w:noProof/>
        </w:rPr>
        <w:t xml:space="preserve">This figure presents the same period-to-period responses as </w:t>
      </w:r>
      <w:r w:rsidRPr="006F14B6">
        <w:rPr>
          <w:rFonts w:cs="Arial"/>
          <w:b/>
          <w:bCs/>
          <w:noProof/>
        </w:rPr>
        <w:fldChar w:fldCharType="begin"/>
      </w:r>
      <w:r w:rsidRPr="006F14B6">
        <w:rPr>
          <w:rFonts w:cs="Arial"/>
          <w:b/>
          <w:bCs/>
          <w:noProof/>
        </w:rPr>
        <w:instrText xml:space="preserve"> REF _Ref238565770 \h </w:instrText>
      </w:r>
      <w:r>
        <w:rPr>
          <w:rFonts w:cs="Arial"/>
          <w:b/>
          <w:bCs/>
          <w:noProof/>
        </w:rPr>
        <w:instrText xml:space="preserve"> \* MERGEFORMAT </w:instrText>
      </w:r>
      <w:r w:rsidRPr="006F14B6">
        <w:rPr>
          <w:rFonts w:cs="Arial"/>
          <w:b/>
          <w:bCs/>
          <w:noProof/>
        </w:rPr>
      </w:r>
      <w:r w:rsidRPr="006F14B6">
        <w:rPr>
          <w:rFonts w:cs="Arial"/>
          <w:b/>
          <w:bCs/>
          <w:noProof/>
        </w:rPr>
        <w:fldChar w:fldCharType="separate"/>
      </w:r>
      <w:r w:rsidR="003E354C" w:rsidRPr="003E354C">
        <w:rPr>
          <w:b/>
          <w:bCs/>
        </w:rPr>
        <w:t xml:space="preserve">Supplementary Fig. </w:t>
      </w:r>
      <w:r w:rsidR="003E354C" w:rsidRPr="003E354C">
        <w:rPr>
          <w:b/>
          <w:bCs/>
          <w:noProof/>
        </w:rPr>
        <w:t>17</w:t>
      </w:r>
      <w:r w:rsidRPr="006F14B6">
        <w:rPr>
          <w:rFonts w:cs="Arial"/>
          <w:b/>
          <w:bCs/>
          <w:noProof/>
        </w:rPr>
        <w:fldChar w:fldCharType="end"/>
      </w:r>
      <w:r w:rsidRPr="006F14B6">
        <w:rPr>
          <w:rFonts w:cs="Arial"/>
          <w:noProof/>
        </w:rPr>
        <w:t>, regrouped by IPCC R10 region. Panel A shows percentage responses, and Panel B shows</w:t>
      </w:r>
      <w:r w:rsidR="008F1A25">
        <w:rPr>
          <w:rFonts w:cs="Arial"/>
          <w:noProof/>
        </w:rPr>
        <w:t xml:space="preserve"> </w:t>
      </w:r>
      <w:r w:rsidRPr="006F14B6">
        <w:rPr>
          <w:rFonts w:cs="Arial"/>
          <w:noProof/>
        </w:rPr>
        <w:t>responses</w:t>
      </w:r>
      <w:r w:rsidR="008F1A25">
        <w:rPr>
          <w:rFonts w:cs="Arial"/>
          <w:noProof/>
        </w:rPr>
        <w:t xml:space="preserve"> in absolute differences</w:t>
      </w:r>
      <w:r w:rsidRPr="006F14B6">
        <w:rPr>
          <w:rFonts w:cs="Arial"/>
          <w:noProof/>
        </w:rPr>
        <w:t xml:space="preserve"> for net stock variation and net exports. Within each region, boxplots summarize the distribution across 16 model-period transitions and four crop groups, yielding up to 64 period–crop observations. Boxes indicate the interquartile range, </w:t>
      </w:r>
      <w:r>
        <w:rPr>
          <w:rFonts w:cs="Arial"/>
          <w:noProof/>
        </w:rPr>
        <w:t>center lines the median,</w:t>
      </w:r>
      <w:r w:rsidRPr="006F14B6">
        <w:rPr>
          <w:rFonts w:cs="Arial"/>
          <w:noProof/>
        </w:rPr>
        <w:t xml:space="preserve"> and whiskers the 5</w:t>
      </w:r>
      <w:r w:rsidRPr="006F14B6">
        <w:rPr>
          <w:rFonts w:cs="Arial"/>
          <w:noProof/>
          <w:vertAlign w:val="superscript"/>
        </w:rPr>
        <w:t>th</w:t>
      </w:r>
      <w:r w:rsidRPr="006F14B6">
        <w:rPr>
          <w:rFonts w:cs="Arial"/>
          <w:noProof/>
        </w:rPr>
        <w:t>–95</w:t>
      </w:r>
      <w:r w:rsidRPr="006F14B6">
        <w:rPr>
          <w:rFonts w:cs="Arial"/>
          <w:noProof/>
          <w:vertAlign w:val="superscript"/>
        </w:rPr>
        <w:t>th</w:t>
      </w:r>
      <w:r w:rsidRPr="006F14B6">
        <w:rPr>
          <w:rFonts w:cs="Arial"/>
          <w:noProof/>
        </w:rPr>
        <w:t xml:space="preserve"> percentile range; colored points distinguish crop groups. The World category shows corresponding globally aggregated responses across model periods and crop groups. Data source: GCAM simulation results.</w:t>
      </w:r>
      <w:r w:rsidR="007373EC" w:rsidRPr="007373EC">
        <w:rPr>
          <w:rFonts w:cs="Arial"/>
          <w:noProof/>
        </w:rPr>
        <w:t xml:space="preserve"> </w:t>
      </w:r>
    </w:p>
    <w:p w14:paraId="19C60C85" w14:textId="5DDB15B1" w:rsidR="005759CB" w:rsidRDefault="005759CB">
      <w:pPr>
        <w:rPr>
          <w:rFonts w:cs="Arial"/>
          <w:noProof/>
        </w:rPr>
      </w:pPr>
      <w:r>
        <w:rPr>
          <w:rFonts w:cs="Arial"/>
          <w:noProof/>
        </w:rPr>
        <w:br w:type="page"/>
      </w:r>
    </w:p>
    <w:p w14:paraId="38DC1D2A" w14:textId="00F2FC81" w:rsidR="005759CB" w:rsidRDefault="005759CB" w:rsidP="006F14B6">
      <w:pPr>
        <w:spacing w:line="240" w:lineRule="auto"/>
        <w:jc w:val="both"/>
        <w:rPr>
          <w:rFonts w:cs="Arial"/>
          <w:noProof/>
        </w:rPr>
      </w:pPr>
      <w:r>
        <w:rPr>
          <w:noProof/>
        </w:rPr>
        <w:lastRenderedPageBreak/>
        <w:drawing>
          <wp:inline distT="0" distB="0" distL="0" distR="0" wp14:anchorId="29CC3350" wp14:editId="09F6FD16">
            <wp:extent cx="6857999" cy="7286625"/>
            <wp:effectExtent l="0" t="0" r="635" b="0"/>
            <wp:docPr id="4576442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644277" name="Picture 12"/>
                    <pic:cNvPicPr>
                      <a:picLocks noChangeAspect="1" noChangeArrowheads="1"/>
                    </pic:cNvPicPr>
                  </pic:nvPicPr>
                  <pic:blipFill>
                    <a:blip r:embed="rId29"/>
                    <a:stretch>
                      <a:fillRect/>
                    </a:stretch>
                  </pic:blipFill>
                  <pic:spPr bwMode="auto">
                    <a:xfrm>
                      <a:off x="0" y="0"/>
                      <a:ext cx="6857999" cy="7286625"/>
                    </a:xfrm>
                    <a:prstGeom prst="rect">
                      <a:avLst/>
                    </a:prstGeom>
                    <a:noFill/>
                    <a:ln>
                      <a:noFill/>
                    </a:ln>
                  </pic:spPr>
                </pic:pic>
              </a:graphicData>
            </a:graphic>
          </wp:inline>
        </w:drawing>
      </w:r>
    </w:p>
    <w:p w14:paraId="61F53884" w14:textId="79778520" w:rsidR="00A22D3A" w:rsidRPr="004101F1" w:rsidRDefault="005759CB" w:rsidP="004101F1">
      <w:pPr>
        <w:pStyle w:val="Caption"/>
        <w:jc w:val="both"/>
        <w:rPr>
          <w:vanish/>
          <w:specVanish/>
        </w:rPr>
      </w:pPr>
      <w:bookmarkStart w:id="60" w:name="_Ref241137880"/>
      <w:bookmarkStart w:id="61" w:name="_Toc241138238"/>
      <w:r w:rsidRPr="00A22D3A">
        <w:rPr>
          <w:szCs w:val="22"/>
        </w:rPr>
        <w:t xml:space="preserve">Supplementary Fig. </w:t>
      </w:r>
      <w:r w:rsidRPr="00A22D3A">
        <w:rPr>
          <w:szCs w:val="22"/>
        </w:rPr>
        <w:fldChar w:fldCharType="begin"/>
      </w:r>
      <w:r w:rsidRPr="00A22D3A">
        <w:rPr>
          <w:szCs w:val="22"/>
        </w:rPr>
        <w:instrText xml:space="preserve"> SEQ Figure \* ARABIC </w:instrText>
      </w:r>
      <w:r w:rsidRPr="00A22D3A">
        <w:rPr>
          <w:szCs w:val="22"/>
        </w:rPr>
        <w:fldChar w:fldCharType="separate"/>
      </w:r>
      <w:r w:rsidR="003E354C">
        <w:rPr>
          <w:noProof/>
          <w:szCs w:val="22"/>
        </w:rPr>
        <w:t>19</w:t>
      </w:r>
      <w:r w:rsidRPr="00A22D3A">
        <w:rPr>
          <w:szCs w:val="22"/>
        </w:rPr>
        <w:fldChar w:fldCharType="end"/>
      </w:r>
      <w:bookmarkEnd w:id="60"/>
      <w:r w:rsidRPr="00A22D3A">
        <w:rPr>
          <w:szCs w:val="22"/>
        </w:rPr>
        <w:t xml:space="preserve">  |</w:t>
      </w:r>
      <w:r w:rsidR="00A22D3A" w:rsidRPr="00A22D3A">
        <w:t xml:space="preserve"> Period-to-period transmission of biophysical yield shocks to agroeconomic outcomes.</w:t>
      </w:r>
      <w:bookmarkEnd w:id="61"/>
      <w:r w:rsidRPr="00A22D3A">
        <w:t xml:space="preserve"> </w:t>
      </w:r>
    </w:p>
    <w:p w14:paraId="47EEECB2" w14:textId="03E56E00" w:rsidR="004101F1" w:rsidRPr="00A210DE" w:rsidRDefault="004101F1" w:rsidP="004101F1">
      <w:pPr>
        <w:spacing w:line="240" w:lineRule="auto"/>
        <w:jc w:val="both"/>
        <w:rPr>
          <w:rFonts w:cs="Arial"/>
          <w:noProof/>
          <w:sz w:val="20"/>
          <w:szCs w:val="20"/>
        </w:rPr>
      </w:pPr>
      <w:r>
        <w:rPr>
          <w:rFonts w:cs="Arial"/>
          <w:noProof/>
        </w:rPr>
        <w:t xml:space="preserve"> </w:t>
      </w:r>
      <w:r w:rsidRPr="00A210DE">
        <w:rPr>
          <w:rFonts w:cs="Arial"/>
          <w:noProof/>
          <w:sz w:val="20"/>
          <w:szCs w:val="20"/>
        </w:rPr>
        <w:t xml:space="preserve">Panel A shows percentage responses for each transition between successive GCAM model periods under Dynamic, Hidden, and Fixed-Ratio Storage. Period-to-period shocks and responses are calculated as differences in log growth between the corresponding biophysical-shock and Smooth scenarios: S3 relative to S1, S4 relative to S2, and S6 relative to S5, respectively. Panel B shows responses in absolute difference for net stock variation and net exports, for which percentage changes are not consistently defined. Each point represents one IPCC R10 region–crop-group–period observation across 16 model-period transitions, yielding up to 640 observations per storage representation. Colors </w:t>
      </w:r>
      <w:r w:rsidRPr="00A210DE">
        <w:rPr>
          <w:rFonts w:cs="Arial"/>
          <w:noProof/>
          <w:sz w:val="20"/>
          <w:szCs w:val="20"/>
        </w:rPr>
        <w:lastRenderedPageBreak/>
        <w:t>distinguish storage representations. Lines show scenario-specific pooled ordinary least-squares fits with an intercept, and shaded bands show 95% confidence intervals for the fitted mean relationship. The Panel A slopes are interpreted as period-to-period yield-shock transmission elasticities. Grey diagonal lines indicate a one-to-one response. Hidden Storage does not report explicit closing stocks or storage-associated losses. Stock-related variables are reported using both mass (Mt) and dietary-energy (</w:t>
      </w:r>
      <w:r w:rsidR="00A10D69">
        <w:rPr>
          <w:rFonts w:cs="Arial"/>
          <w:noProof/>
          <w:sz w:val="20"/>
          <w:szCs w:val="20"/>
        </w:rPr>
        <w:t>P</w:t>
      </w:r>
      <w:r w:rsidRPr="00A210DE">
        <w:rPr>
          <w:rFonts w:cs="Arial"/>
          <w:noProof/>
          <w:sz w:val="20"/>
          <w:szCs w:val="20"/>
        </w:rPr>
        <w:t>cal) measures. This figure supplements Main Fig.5. Data source: GCAM simulation results.</w:t>
      </w:r>
    </w:p>
    <w:p w14:paraId="1023B940" w14:textId="77777777" w:rsidR="005759CB" w:rsidRPr="007373EC" w:rsidRDefault="005759CB" w:rsidP="006F14B6">
      <w:pPr>
        <w:spacing w:line="240" w:lineRule="auto"/>
        <w:jc w:val="both"/>
        <w:rPr>
          <w:rFonts w:cs="Arial"/>
          <w:noProof/>
        </w:rPr>
      </w:pPr>
    </w:p>
    <w:p w14:paraId="07C0CD39" w14:textId="1CE3A5A0" w:rsidR="007C3BAB" w:rsidRDefault="007C3BAB">
      <w:pPr>
        <w:rPr>
          <w:rFonts w:eastAsia="Cambria" w:cs="Arial"/>
          <w:b/>
          <w:color w:val="000000"/>
        </w:rPr>
      </w:pPr>
      <w:r>
        <w:br w:type="page"/>
      </w:r>
    </w:p>
    <w:p w14:paraId="5344A671" w14:textId="1DFC55EA" w:rsidR="00A72A80" w:rsidRPr="00A72A80" w:rsidRDefault="00A72A80" w:rsidP="00A72A80">
      <w:pPr>
        <w:pStyle w:val="Caption"/>
        <w:jc w:val="both"/>
        <w:rPr>
          <w:vanish/>
          <w:specVanish/>
        </w:rPr>
      </w:pPr>
      <w:bookmarkStart w:id="62" w:name="_Ref241137509"/>
      <w:bookmarkStart w:id="63" w:name="_Toc241138217"/>
      <w:bookmarkStart w:id="64" w:name="_Toc158986641"/>
      <w:bookmarkEnd w:id="1"/>
      <w:r w:rsidRPr="00A72A80">
        <w:lastRenderedPageBreak/>
        <w:t xml:space="preserve">Supplementary Table </w:t>
      </w:r>
      <w:fldSimple w:instr=" SEQ Table \* ARABIC ">
        <w:r w:rsidR="003E354C">
          <w:rPr>
            <w:noProof/>
          </w:rPr>
          <w:t>7</w:t>
        </w:r>
      </w:fldSimple>
      <w:bookmarkEnd w:id="62"/>
      <w:r w:rsidRPr="00A72A80">
        <w:t xml:space="preserve"> | Yield-shock transmission elasticities under alternative storage representations.</w:t>
      </w:r>
      <w:bookmarkEnd w:id="63"/>
      <w:r>
        <w:t xml:space="preserve"> </w:t>
      </w:r>
    </w:p>
    <w:p w14:paraId="0D323726" w14:textId="06C0C8DA" w:rsidR="00CE5251" w:rsidRPr="00CE5251" w:rsidRDefault="00A72A80" w:rsidP="00936262">
      <w:pPr>
        <w:spacing w:line="240" w:lineRule="auto"/>
        <w:jc w:val="both"/>
        <w:rPr>
          <w:b/>
          <w:bCs/>
        </w:rPr>
      </w:pPr>
      <w:r>
        <w:rPr>
          <w:rFonts w:cs="Arial"/>
        </w:rPr>
        <w:t xml:space="preserve"> </w:t>
      </w:r>
      <w:r w:rsidRPr="00A72A80">
        <w:rPr>
          <w:rFonts w:cs="Arial"/>
        </w:rPr>
        <w:t>Panels A and B report cumulative transmission in 2050 and 2100, respectively; panel C reports pooled period-to-period transmission over 2021–2100. Entries in panels A–C are slope coefficients (</w:t>
      </w:r>
      <w:r>
        <w:rPr>
          <w:rFonts w:cs="Arial"/>
        </w:rPr>
        <w:t>β</w:t>
      </w:r>
      <w:r w:rsidRPr="00A72A80">
        <w:rPr>
          <w:rFonts w:cs="Arial"/>
        </w:rPr>
        <w:t xml:space="preserve">), with standard errors (SEs) in parentheses and P values for tests against zero. Cumulative regressions contain 40 region–crop observations per storage representation; period-to-period regressions contain 640 observations from 40 region–crop markets and 16 transitions. Panel D reports the median </w:t>
      </w:r>
      <w:r>
        <w:rPr>
          <w:rFonts w:cs="Arial"/>
        </w:rPr>
        <w:t xml:space="preserve">and interquartile range </w:t>
      </w:r>
      <w:r w:rsidRPr="00A72A80">
        <w:rPr>
          <w:rFonts w:cs="Arial"/>
        </w:rPr>
        <w:t>of 40 market-specific period-to-period slopes per representation; these ranges describe cross-market heterogeneity, not confidence intervals. Responses are calculated from the paired yield-shock and smooth-yield scenarios: S3 relative to S1</w:t>
      </w:r>
      <w:r>
        <w:rPr>
          <w:rFonts w:cs="Arial"/>
        </w:rPr>
        <w:t xml:space="preserve"> (Dynamic Storage)</w:t>
      </w:r>
      <w:r w:rsidRPr="00A72A80">
        <w:rPr>
          <w:rFonts w:cs="Arial"/>
        </w:rPr>
        <w:t>, S4 relative to S2</w:t>
      </w:r>
      <w:r>
        <w:rPr>
          <w:rFonts w:cs="Arial"/>
        </w:rPr>
        <w:t xml:space="preserve"> (Hidden Storage)</w:t>
      </w:r>
      <w:r w:rsidRPr="00A72A80">
        <w:rPr>
          <w:rFonts w:cs="Arial"/>
        </w:rPr>
        <w:t>, and S6 relative to S5</w:t>
      </w:r>
      <w:r>
        <w:rPr>
          <w:rFonts w:cs="Arial"/>
        </w:rPr>
        <w:t xml:space="preserve"> (Fixed-Ratio Storage)</w:t>
      </w:r>
      <w:r w:rsidRPr="00A72A80">
        <w:rPr>
          <w:rFonts w:cs="Arial"/>
        </w:rPr>
        <w:t>. Data source: GCAM simulation analysis.</w:t>
      </w:r>
      <w:r w:rsidR="000A4741">
        <w:rPr>
          <w:rFonts w:cs="Arial"/>
        </w:rPr>
        <w:t xml:space="preserve"> Note that c</w:t>
      </w:r>
      <w:r w:rsidR="000A4741" w:rsidRPr="000A4741">
        <w:rPr>
          <w:rFonts w:cs="Arial"/>
        </w:rPr>
        <w:t xml:space="preserve">losing stocks denote net inventories after storage-associated </w:t>
      </w:r>
      <w:r w:rsidR="000A4741">
        <w:rPr>
          <w:rFonts w:cs="Arial"/>
        </w:rPr>
        <w:t>losses</w:t>
      </w:r>
      <w:r w:rsidR="000A4741" w:rsidRPr="000A4741">
        <w:rPr>
          <w:rFonts w:cs="Arial"/>
        </w:rPr>
        <w:t xml:space="preserve"> and use the mass-based series. Consumption denotes current domestic consumption, excluding closing stocks and storage-associated losses.</w:t>
      </w:r>
      <w:r w:rsidR="000A4741">
        <w:rPr>
          <w:rFonts w:cs="Arial"/>
        </w:rPr>
        <w:t xml:space="preserve"> </w:t>
      </w:r>
      <w:r w:rsidR="000A4741" w:rsidRPr="000A4741">
        <w:rPr>
          <w:rFonts w:cs="Arial"/>
        </w:rPr>
        <w:t>Hidden Storage does not explicitly represent inventories. P values below 0.001 are displayed as &lt;0.001.</w:t>
      </w:r>
      <w:r w:rsidR="00936262">
        <w:rPr>
          <w:rFonts w:cs="Arial"/>
        </w:rPr>
        <w:t xml:space="preserve"> </w:t>
      </w:r>
      <w:r w:rsidR="00936262" w:rsidRPr="00936262">
        <w:rPr>
          <w:rFonts w:cs="Arial"/>
        </w:rPr>
        <w:t xml:space="preserve">Pairwise coefficient-equality tests are reported in </w:t>
      </w:r>
      <w:r w:rsidR="00CE5251" w:rsidRPr="00CE5251">
        <w:rPr>
          <w:rFonts w:cs="Arial"/>
          <w:b/>
          <w:bCs/>
        </w:rPr>
        <w:t>Supplementary Table 8</w:t>
      </w:r>
      <w:r w:rsidR="00936262" w:rsidRPr="00936262">
        <w:rPr>
          <w:rFonts w:cs="Arial"/>
        </w:rPr>
        <w:t xml:space="preserve">; fixed-effect robustness is reported in </w:t>
      </w:r>
      <w:r w:rsidR="00CE5251" w:rsidRPr="00CE5251">
        <w:rPr>
          <w:rFonts w:cs="Arial"/>
          <w:b/>
          <w:bCs/>
        </w:rPr>
        <w:t xml:space="preserve">Supplementary Table </w:t>
      </w:r>
      <w:r w:rsidR="00CE5251">
        <w:rPr>
          <w:rFonts w:cs="Arial"/>
          <w:b/>
          <w:bCs/>
        </w:rPr>
        <w:t>9</w:t>
      </w:r>
      <w:r w:rsidR="00CE5251" w:rsidRPr="00CE5251">
        <w:rPr>
          <w:rFonts w:cs="Arial"/>
        </w:rPr>
        <w:t>.</w:t>
      </w:r>
    </w:p>
    <w:p w14:paraId="60835E3D" w14:textId="7D2BBA4E" w:rsidR="00A72A80" w:rsidRPr="000A4741" w:rsidRDefault="00A72A80">
      <w:pPr>
        <w:rPr>
          <w:b/>
          <w:bCs/>
        </w:rPr>
      </w:pPr>
      <w:r w:rsidRPr="000A4741">
        <w:rPr>
          <w:b/>
          <w:bCs/>
        </w:rPr>
        <w:t>A | Cumulative transmission in 2050</w:t>
      </w:r>
      <w:r w:rsidR="000A4741">
        <w:rPr>
          <w:b/>
          <w:bCs/>
        </w:rPr>
        <w:t xml:space="preserve"> (n = 40 r</w:t>
      </w:r>
      <w:r w:rsidR="000A4741" w:rsidRPr="000A4741">
        <w:rPr>
          <w:b/>
          <w:bCs/>
        </w:rPr>
        <w:t>egion–crop observations per storage representation</w:t>
      </w:r>
      <w:r w:rsidR="000A4741">
        <w:rPr>
          <w:b/>
          <w:bCs/>
        </w:rPr>
        <w:t>)</w:t>
      </w:r>
    </w:p>
    <w:tbl>
      <w:tblPr>
        <w:tblW w:w="5000" w:type="pct"/>
        <w:jc w:val="center"/>
        <w:tblBorders>
          <w:top w:val="single" w:sz="6" w:space="0" w:color="6B7780"/>
          <w:left w:val="nil"/>
          <w:bottom w:val="single" w:sz="6" w:space="0" w:color="6B7780"/>
          <w:right w:val="nil"/>
          <w:insideH w:val="nil"/>
          <w:insideV w:val="nil"/>
        </w:tblBorders>
        <w:tblCellMar>
          <w:top w:w="65" w:type="dxa"/>
          <w:left w:w="60" w:type="dxa"/>
          <w:bottom w:w="65" w:type="dxa"/>
          <w:right w:w="60" w:type="dxa"/>
        </w:tblCellMar>
        <w:tblLook w:val="0420" w:firstRow="1" w:lastRow="0" w:firstColumn="0" w:lastColumn="0" w:noHBand="0" w:noVBand="1"/>
      </w:tblPr>
      <w:tblGrid>
        <w:gridCol w:w="2282"/>
        <w:gridCol w:w="1786"/>
        <w:gridCol w:w="1054"/>
        <w:gridCol w:w="1786"/>
        <w:gridCol w:w="1054"/>
        <w:gridCol w:w="1786"/>
        <w:gridCol w:w="1052"/>
      </w:tblGrid>
      <w:tr w:rsidR="00A72A80" w14:paraId="3C602113" w14:textId="77777777" w:rsidTr="00A72A80">
        <w:trPr>
          <w:cantSplit/>
          <w:tblHeader/>
          <w:jc w:val="center"/>
        </w:trPr>
        <w:tc>
          <w:tcPr>
            <w:tcW w:w="1056" w:type="pct"/>
            <w:vMerge w:val="restart"/>
            <w:tcBorders>
              <w:top w:val="single" w:sz="4" w:space="0" w:color="auto"/>
            </w:tcBorders>
            <w:shd w:val="clear" w:color="auto" w:fill="E7E6E6" w:themeFill="background2"/>
            <w:vAlign w:val="center"/>
          </w:tcPr>
          <w:p w14:paraId="2AC33529" w14:textId="77777777" w:rsidR="00A72A80" w:rsidRDefault="00A72A80" w:rsidP="00A72A80">
            <w:pPr>
              <w:spacing w:after="0" w:line="252" w:lineRule="auto"/>
              <w:jc w:val="center"/>
            </w:pPr>
            <w:r>
              <w:rPr>
                <w:b/>
                <w:sz w:val="18"/>
              </w:rPr>
              <w:t>Outcome</w:t>
            </w:r>
          </w:p>
        </w:tc>
        <w:tc>
          <w:tcPr>
            <w:tcW w:w="1315" w:type="pct"/>
            <w:gridSpan w:val="2"/>
            <w:tcBorders>
              <w:top w:val="single" w:sz="4" w:space="0" w:color="auto"/>
            </w:tcBorders>
            <w:shd w:val="clear" w:color="auto" w:fill="E7E6E6" w:themeFill="background2"/>
            <w:vAlign w:val="center"/>
          </w:tcPr>
          <w:p w14:paraId="7B9C89D5" w14:textId="45F04C57" w:rsidR="00A72A80" w:rsidRDefault="00A72A80" w:rsidP="00295ED8">
            <w:pPr>
              <w:spacing w:after="0" w:line="252" w:lineRule="auto"/>
              <w:jc w:val="center"/>
            </w:pPr>
            <w:r>
              <w:rPr>
                <w:b/>
                <w:sz w:val="18"/>
              </w:rPr>
              <w:t>Dynamic Storage</w:t>
            </w:r>
          </w:p>
        </w:tc>
        <w:tc>
          <w:tcPr>
            <w:tcW w:w="1315" w:type="pct"/>
            <w:gridSpan w:val="2"/>
            <w:tcBorders>
              <w:top w:val="single" w:sz="4" w:space="0" w:color="auto"/>
            </w:tcBorders>
            <w:shd w:val="clear" w:color="auto" w:fill="E7E6E6" w:themeFill="background2"/>
            <w:vAlign w:val="center"/>
          </w:tcPr>
          <w:p w14:paraId="7B015A45" w14:textId="19329E51" w:rsidR="00A72A80" w:rsidRDefault="00A72A80" w:rsidP="00295ED8">
            <w:pPr>
              <w:spacing w:after="0" w:line="252" w:lineRule="auto"/>
              <w:jc w:val="center"/>
            </w:pPr>
            <w:r>
              <w:rPr>
                <w:b/>
                <w:sz w:val="18"/>
              </w:rPr>
              <w:t>Hidden Storage</w:t>
            </w:r>
          </w:p>
        </w:tc>
        <w:tc>
          <w:tcPr>
            <w:tcW w:w="1314" w:type="pct"/>
            <w:gridSpan w:val="2"/>
            <w:tcBorders>
              <w:top w:val="single" w:sz="4" w:space="0" w:color="auto"/>
            </w:tcBorders>
            <w:shd w:val="clear" w:color="auto" w:fill="E7E6E6" w:themeFill="background2"/>
            <w:vAlign w:val="center"/>
          </w:tcPr>
          <w:p w14:paraId="21F7D982" w14:textId="02B5F2DC" w:rsidR="00A72A80" w:rsidRDefault="00A72A80" w:rsidP="00295ED8">
            <w:pPr>
              <w:spacing w:after="0" w:line="252" w:lineRule="auto"/>
              <w:jc w:val="center"/>
            </w:pPr>
            <w:r>
              <w:rPr>
                <w:b/>
                <w:sz w:val="18"/>
              </w:rPr>
              <w:t>Fixed-Ratio Storage</w:t>
            </w:r>
          </w:p>
        </w:tc>
      </w:tr>
      <w:tr w:rsidR="00A72A80" w14:paraId="4D60D960" w14:textId="77777777" w:rsidTr="00A72A80">
        <w:trPr>
          <w:cantSplit/>
          <w:tblHeader/>
          <w:jc w:val="center"/>
        </w:trPr>
        <w:tc>
          <w:tcPr>
            <w:tcW w:w="1056" w:type="pct"/>
            <w:vMerge/>
            <w:tcBorders>
              <w:bottom w:val="single" w:sz="4" w:space="0" w:color="auto"/>
            </w:tcBorders>
            <w:shd w:val="clear" w:color="auto" w:fill="E7E6E6" w:themeFill="background2"/>
            <w:vAlign w:val="center"/>
          </w:tcPr>
          <w:p w14:paraId="4EE1AF5E" w14:textId="77777777" w:rsidR="00A72A80" w:rsidRDefault="00A72A80" w:rsidP="00A72A80">
            <w:pPr>
              <w:spacing w:after="0" w:line="252" w:lineRule="auto"/>
              <w:jc w:val="center"/>
            </w:pPr>
          </w:p>
        </w:tc>
        <w:tc>
          <w:tcPr>
            <w:tcW w:w="827" w:type="pct"/>
            <w:tcBorders>
              <w:bottom w:val="single" w:sz="4" w:space="0" w:color="auto"/>
            </w:tcBorders>
            <w:shd w:val="clear" w:color="auto" w:fill="E7E6E6" w:themeFill="background2"/>
            <w:vAlign w:val="center"/>
          </w:tcPr>
          <w:p w14:paraId="43117E58" w14:textId="77777777" w:rsidR="00A72A80" w:rsidRDefault="00A72A80" w:rsidP="00A72A80">
            <w:pPr>
              <w:spacing w:after="0" w:line="252" w:lineRule="auto"/>
              <w:jc w:val="center"/>
            </w:pPr>
            <w:r>
              <w:rPr>
                <w:b/>
                <w:sz w:val="18"/>
              </w:rPr>
              <w:t>β (SE)</w:t>
            </w:r>
          </w:p>
        </w:tc>
        <w:tc>
          <w:tcPr>
            <w:tcW w:w="488" w:type="pct"/>
            <w:tcBorders>
              <w:bottom w:val="single" w:sz="4" w:space="0" w:color="auto"/>
            </w:tcBorders>
            <w:shd w:val="clear" w:color="auto" w:fill="E7E6E6" w:themeFill="background2"/>
            <w:vAlign w:val="center"/>
          </w:tcPr>
          <w:p w14:paraId="1128BD9A" w14:textId="77777777" w:rsidR="00A72A80" w:rsidRDefault="00A72A80" w:rsidP="00A72A80">
            <w:pPr>
              <w:spacing w:after="0" w:line="252" w:lineRule="auto"/>
              <w:jc w:val="center"/>
            </w:pPr>
            <w:r>
              <w:rPr>
                <w:b/>
                <w:sz w:val="18"/>
              </w:rPr>
              <w:t>P</w:t>
            </w:r>
          </w:p>
        </w:tc>
        <w:tc>
          <w:tcPr>
            <w:tcW w:w="827" w:type="pct"/>
            <w:tcBorders>
              <w:bottom w:val="single" w:sz="4" w:space="0" w:color="auto"/>
            </w:tcBorders>
            <w:shd w:val="clear" w:color="auto" w:fill="E7E6E6" w:themeFill="background2"/>
            <w:vAlign w:val="center"/>
          </w:tcPr>
          <w:p w14:paraId="62FE894C" w14:textId="77777777" w:rsidR="00A72A80" w:rsidRDefault="00A72A80" w:rsidP="00A72A80">
            <w:pPr>
              <w:spacing w:after="0" w:line="252" w:lineRule="auto"/>
              <w:jc w:val="center"/>
            </w:pPr>
            <w:r>
              <w:rPr>
                <w:b/>
                <w:sz w:val="18"/>
              </w:rPr>
              <w:t>β (SE)</w:t>
            </w:r>
          </w:p>
        </w:tc>
        <w:tc>
          <w:tcPr>
            <w:tcW w:w="488" w:type="pct"/>
            <w:tcBorders>
              <w:bottom w:val="single" w:sz="4" w:space="0" w:color="auto"/>
            </w:tcBorders>
            <w:shd w:val="clear" w:color="auto" w:fill="E7E6E6" w:themeFill="background2"/>
            <w:vAlign w:val="center"/>
          </w:tcPr>
          <w:p w14:paraId="59E605F8" w14:textId="77777777" w:rsidR="00A72A80" w:rsidRDefault="00A72A80" w:rsidP="00A72A80">
            <w:pPr>
              <w:spacing w:after="0" w:line="252" w:lineRule="auto"/>
              <w:jc w:val="center"/>
            </w:pPr>
            <w:r>
              <w:rPr>
                <w:b/>
                <w:sz w:val="18"/>
              </w:rPr>
              <w:t>P</w:t>
            </w:r>
          </w:p>
        </w:tc>
        <w:tc>
          <w:tcPr>
            <w:tcW w:w="827" w:type="pct"/>
            <w:tcBorders>
              <w:bottom w:val="single" w:sz="4" w:space="0" w:color="auto"/>
            </w:tcBorders>
            <w:shd w:val="clear" w:color="auto" w:fill="E7E6E6" w:themeFill="background2"/>
            <w:vAlign w:val="center"/>
          </w:tcPr>
          <w:p w14:paraId="687FE15E" w14:textId="77777777" w:rsidR="00A72A80" w:rsidRDefault="00A72A80" w:rsidP="00A72A80">
            <w:pPr>
              <w:spacing w:after="0" w:line="252" w:lineRule="auto"/>
              <w:jc w:val="center"/>
            </w:pPr>
            <w:r>
              <w:rPr>
                <w:b/>
                <w:sz w:val="18"/>
              </w:rPr>
              <w:t>β (SE)</w:t>
            </w:r>
          </w:p>
        </w:tc>
        <w:tc>
          <w:tcPr>
            <w:tcW w:w="487" w:type="pct"/>
            <w:tcBorders>
              <w:bottom w:val="single" w:sz="4" w:space="0" w:color="auto"/>
            </w:tcBorders>
            <w:shd w:val="clear" w:color="auto" w:fill="E7E6E6" w:themeFill="background2"/>
            <w:vAlign w:val="center"/>
          </w:tcPr>
          <w:p w14:paraId="0CF5D108" w14:textId="77777777" w:rsidR="00A72A80" w:rsidRDefault="00A72A80" w:rsidP="00A72A80">
            <w:pPr>
              <w:spacing w:after="0" w:line="252" w:lineRule="auto"/>
              <w:jc w:val="center"/>
            </w:pPr>
            <w:r>
              <w:rPr>
                <w:b/>
                <w:sz w:val="18"/>
              </w:rPr>
              <w:t>P</w:t>
            </w:r>
          </w:p>
        </w:tc>
      </w:tr>
      <w:tr w:rsidR="00A72A80" w14:paraId="426434E2" w14:textId="77777777" w:rsidTr="00295ED8">
        <w:trPr>
          <w:cantSplit/>
          <w:trHeight w:val="288"/>
          <w:jc w:val="center"/>
        </w:trPr>
        <w:tc>
          <w:tcPr>
            <w:tcW w:w="1056" w:type="pct"/>
            <w:tcBorders>
              <w:top w:val="single" w:sz="4" w:space="0" w:color="auto"/>
            </w:tcBorders>
            <w:vAlign w:val="center"/>
          </w:tcPr>
          <w:p w14:paraId="17801DEE" w14:textId="77777777" w:rsidR="00A72A80" w:rsidRDefault="00A72A80" w:rsidP="004C1C36">
            <w:pPr>
              <w:spacing w:after="0" w:line="252" w:lineRule="auto"/>
            </w:pPr>
            <w:r>
              <w:rPr>
                <w:sz w:val="18"/>
              </w:rPr>
              <w:t>Realized yield</w:t>
            </w:r>
          </w:p>
        </w:tc>
        <w:tc>
          <w:tcPr>
            <w:tcW w:w="827" w:type="pct"/>
            <w:tcBorders>
              <w:top w:val="single" w:sz="4" w:space="0" w:color="auto"/>
            </w:tcBorders>
            <w:vAlign w:val="center"/>
          </w:tcPr>
          <w:p w14:paraId="2908F613" w14:textId="77777777" w:rsidR="00A72A80" w:rsidRDefault="00A72A80" w:rsidP="004C1C36">
            <w:pPr>
              <w:spacing w:after="0" w:line="252" w:lineRule="auto"/>
              <w:jc w:val="center"/>
            </w:pPr>
            <w:r>
              <w:rPr>
                <w:sz w:val="18"/>
              </w:rPr>
              <w:t>1.006 (0.049)</w:t>
            </w:r>
          </w:p>
        </w:tc>
        <w:tc>
          <w:tcPr>
            <w:tcW w:w="488" w:type="pct"/>
            <w:tcBorders>
              <w:top w:val="single" w:sz="4" w:space="0" w:color="auto"/>
            </w:tcBorders>
            <w:vAlign w:val="center"/>
          </w:tcPr>
          <w:p w14:paraId="57D4FCBC" w14:textId="77777777" w:rsidR="00A72A80" w:rsidRDefault="00A72A80" w:rsidP="004C1C36">
            <w:pPr>
              <w:spacing w:after="0" w:line="252" w:lineRule="auto"/>
              <w:jc w:val="center"/>
            </w:pPr>
            <w:r>
              <w:rPr>
                <w:sz w:val="18"/>
              </w:rPr>
              <w:t>&lt;0.001</w:t>
            </w:r>
          </w:p>
        </w:tc>
        <w:tc>
          <w:tcPr>
            <w:tcW w:w="827" w:type="pct"/>
            <w:tcBorders>
              <w:top w:val="single" w:sz="4" w:space="0" w:color="auto"/>
            </w:tcBorders>
            <w:vAlign w:val="center"/>
          </w:tcPr>
          <w:p w14:paraId="20F09D3A" w14:textId="77777777" w:rsidR="00A72A80" w:rsidRDefault="00A72A80" w:rsidP="004C1C36">
            <w:pPr>
              <w:spacing w:after="0" w:line="252" w:lineRule="auto"/>
              <w:jc w:val="center"/>
            </w:pPr>
            <w:r>
              <w:rPr>
                <w:sz w:val="18"/>
              </w:rPr>
              <w:t>1.054 (0.036)</w:t>
            </w:r>
          </w:p>
        </w:tc>
        <w:tc>
          <w:tcPr>
            <w:tcW w:w="488" w:type="pct"/>
            <w:tcBorders>
              <w:top w:val="single" w:sz="4" w:space="0" w:color="auto"/>
            </w:tcBorders>
            <w:vAlign w:val="center"/>
          </w:tcPr>
          <w:p w14:paraId="49CC873F" w14:textId="77777777" w:rsidR="00A72A80" w:rsidRDefault="00A72A80" w:rsidP="004C1C36">
            <w:pPr>
              <w:spacing w:after="0" w:line="252" w:lineRule="auto"/>
              <w:jc w:val="center"/>
            </w:pPr>
            <w:r>
              <w:rPr>
                <w:sz w:val="18"/>
              </w:rPr>
              <w:t>&lt;0.001</w:t>
            </w:r>
          </w:p>
        </w:tc>
        <w:tc>
          <w:tcPr>
            <w:tcW w:w="827" w:type="pct"/>
            <w:tcBorders>
              <w:top w:val="single" w:sz="4" w:space="0" w:color="auto"/>
            </w:tcBorders>
            <w:vAlign w:val="center"/>
          </w:tcPr>
          <w:p w14:paraId="466D592C" w14:textId="77777777" w:rsidR="00A72A80" w:rsidRDefault="00A72A80" w:rsidP="004C1C36">
            <w:pPr>
              <w:spacing w:after="0" w:line="252" w:lineRule="auto"/>
              <w:jc w:val="center"/>
            </w:pPr>
            <w:r>
              <w:rPr>
                <w:sz w:val="18"/>
              </w:rPr>
              <w:t>1.051 (0.037)</w:t>
            </w:r>
          </w:p>
        </w:tc>
        <w:tc>
          <w:tcPr>
            <w:tcW w:w="487" w:type="pct"/>
            <w:tcBorders>
              <w:top w:val="single" w:sz="4" w:space="0" w:color="auto"/>
            </w:tcBorders>
            <w:vAlign w:val="center"/>
          </w:tcPr>
          <w:p w14:paraId="6C02CC4A" w14:textId="77777777" w:rsidR="00A72A80" w:rsidRDefault="00A72A80" w:rsidP="004C1C36">
            <w:pPr>
              <w:spacing w:after="0" w:line="252" w:lineRule="auto"/>
              <w:jc w:val="center"/>
            </w:pPr>
            <w:r>
              <w:rPr>
                <w:sz w:val="18"/>
              </w:rPr>
              <w:t>&lt;0.001</w:t>
            </w:r>
          </w:p>
        </w:tc>
      </w:tr>
      <w:tr w:rsidR="00A72A80" w14:paraId="3A94AD68" w14:textId="77777777" w:rsidTr="00295ED8">
        <w:trPr>
          <w:cantSplit/>
          <w:trHeight w:val="288"/>
          <w:jc w:val="center"/>
        </w:trPr>
        <w:tc>
          <w:tcPr>
            <w:tcW w:w="1056" w:type="pct"/>
            <w:vAlign w:val="center"/>
          </w:tcPr>
          <w:p w14:paraId="194DA1A3" w14:textId="77777777" w:rsidR="00A72A80" w:rsidRDefault="00A72A80" w:rsidP="004C1C36">
            <w:pPr>
              <w:spacing w:after="0" w:line="252" w:lineRule="auto"/>
            </w:pPr>
            <w:r>
              <w:rPr>
                <w:sz w:val="18"/>
              </w:rPr>
              <w:t>Area harvested</w:t>
            </w:r>
          </w:p>
        </w:tc>
        <w:tc>
          <w:tcPr>
            <w:tcW w:w="827" w:type="pct"/>
            <w:vAlign w:val="center"/>
          </w:tcPr>
          <w:p w14:paraId="523EB465" w14:textId="77777777" w:rsidR="00A72A80" w:rsidRDefault="00A72A80" w:rsidP="004C1C36">
            <w:pPr>
              <w:spacing w:after="0" w:line="252" w:lineRule="auto"/>
              <w:jc w:val="center"/>
            </w:pPr>
            <w:r>
              <w:rPr>
                <w:sz w:val="18"/>
              </w:rPr>
              <w:t>-0.504 (0.054)</w:t>
            </w:r>
          </w:p>
        </w:tc>
        <w:tc>
          <w:tcPr>
            <w:tcW w:w="488" w:type="pct"/>
            <w:vAlign w:val="center"/>
          </w:tcPr>
          <w:p w14:paraId="4A9B59C9" w14:textId="77777777" w:rsidR="00A72A80" w:rsidRDefault="00A72A80" w:rsidP="004C1C36">
            <w:pPr>
              <w:spacing w:after="0" w:line="252" w:lineRule="auto"/>
              <w:jc w:val="center"/>
            </w:pPr>
            <w:r>
              <w:rPr>
                <w:sz w:val="18"/>
              </w:rPr>
              <w:t>&lt;0.001</w:t>
            </w:r>
          </w:p>
        </w:tc>
        <w:tc>
          <w:tcPr>
            <w:tcW w:w="827" w:type="pct"/>
            <w:vAlign w:val="center"/>
          </w:tcPr>
          <w:p w14:paraId="44D05EB8" w14:textId="77777777" w:rsidR="00A72A80" w:rsidRDefault="00A72A80" w:rsidP="004C1C36">
            <w:pPr>
              <w:spacing w:after="0" w:line="252" w:lineRule="auto"/>
              <w:jc w:val="center"/>
            </w:pPr>
            <w:r>
              <w:rPr>
                <w:sz w:val="18"/>
              </w:rPr>
              <w:t>-0.533 (0.040)</w:t>
            </w:r>
          </w:p>
        </w:tc>
        <w:tc>
          <w:tcPr>
            <w:tcW w:w="488" w:type="pct"/>
            <w:vAlign w:val="center"/>
          </w:tcPr>
          <w:p w14:paraId="08CE8580" w14:textId="77777777" w:rsidR="00A72A80" w:rsidRDefault="00A72A80" w:rsidP="004C1C36">
            <w:pPr>
              <w:spacing w:after="0" w:line="252" w:lineRule="auto"/>
              <w:jc w:val="center"/>
            </w:pPr>
            <w:r>
              <w:rPr>
                <w:sz w:val="18"/>
              </w:rPr>
              <w:t>&lt;0.001</w:t>
            </w:r>
          </w:p>
        </w:tc>
        <w:tc>
          <w:tcPr>
            <w:tcW w:w="827" w:type="pct"/>
            <w:vAlign w:val="center"/>
          </w:tcPr>
          <w:p w14:paraId="75E42C01" w14:textId="77777777" w:rsidR="00A72A80" w:rsidRDefault="00A72A80" w:rsidP="004C1C36">
            <w:pPr>
              <w:spacing w:after="0" w:line="252" w:lineRule="auto"/>
              <w:jc w:val="center"/>
            </w:pPr>
            <w:r>
              <w:rPr>
                <w:sz w:val="18"/>
              </w:rPr>
              <w:t>-0.521 (0.048)</w:t>
            </w:r>
          </w:p>
        </w:tc>
        <w:tc>
          <w:tcPr>
            <w:tcW w:w="487" w:type="pct"/>
            <w:vAlign w:val="center"/>
          </w:tcPr>
          <w:p w14:paraId="4D791E85" w14:textId="77777777" w:rsidR="00A72A80" w:rsidRDefault="00A72A80" w:rsidP="004C1C36">
            <w:pPr>
              <w:spacing w:after="0" w:line="252" w:lineRule="auto"/>
              <w:jc w:val="center"/>
            </w:pPr>
            <w:r>
              <w:rPr>
                <w:sz w:val="18"/>
              </w:rPr>
              <w:t>&lt;0.001</w:t>
            </w:r>
          </w:p>
        </w:tc>
      </w:tr>
      <w:tr w:rsidR="00A72A80" w14:paraId="68FBD2F5" w14:textId="77777777" w:rsidTr="00295ED8">
        <w:trPr>
          <w:cantSplit/>
          <w:trHeight w:val="288"/>
          <w:jc w:val="center"/>
        </w:trPr>
        <w:tc>
          <w:tcPr>
            <w:tcW w:w="1056" w:type="pct"/>
            <w:vAlign w:val="center"/>
          </w:tcPr>
          <w:p w14:paraId="74CD477E" w14:textId="77777777" w:rsidR="00A72A80" w:rsidRDefault="00A72A80" w:rsidP="004C1C36">
            <w:pPr>
              <w:spacing w:after="0" w:line="252" w:lineRule="auto"/>
            </w:pPr>
            <w:r>
              <w:rPr>
                <w:sz w:val="18"/>
              </w:rPr>
              <w:t>Production</w:t>
            </w:r>
          </w:p>
        </w:tc>
        <w:tc>
          <w:tcPr>
            <w:tcW w:w="827" w:type="pct"/>
            <w:vAlign w:val="center"/>
          </w:tcPr>
          <w:p w14:paraId="023CAF61" w14:textId="77777777" w:rsidR="00A72A80" w:rsidRDefault="00A72A80" w:rsidP="004C1C36">
            <w:pPr>
              <w:spacing w:after="0" w:line="252" w:lineRule="auto"/>
              <w:jc w:val="center"/>
            </w:pPr>
            <w:r>
              <w:rPr>
                <w:sz w:val="18"/>
              </w:rPr>
              <w:t>0.502 (0.055)</w:t>
            </w:r>
          </w:p>
        </w:tc>
        <w:tc>
          <w:tcPr>
            <w:tcW w:w="488" w:type="pct"/>
            <w:vAlign w:val="center"/>
          </w:tcPr>
          <w:p w14:paraId="6D20C06D" w14:textId="77777777" w:rsidR="00A72A80" w:rsidRDefault="00A72A80" w:rsidP="004C1C36">
            <w:pPr>
              <w:spacing w:after="0" w:line="252" w:lineRule="auto"/>
              <w:jc w:val="center"/>
            </w:pPr>
            <w:r>
              <w:rPr>
                <w:sz w:val="18"/>
              </w:rPr>
              <w:t>&lt;0.001</w:t>
            </w:r>
          </w:p>
        </w:tc>
        <w:tc>
          <w:tcPr>
            <w:tcW w:w="827" w:type="pct"/>
            <w:vAlign w:val="center"/>
          </w:tcPr>
          <w:p w14:paraId="1C830B8A" w14:textId="77777777" w:rsidR="00A72A80" w:rsidRDefault="00A72A80" w:rsidP="004C1C36">
            <w:pPr>
              <w:spacing w:after="0" w:line="252" w:lineRule="auto"/>
              <w:jc w:val="center"/>
            </w:pPr>
            <w:r>
              <w:rPr>
                <w:sz w:val="18"/>
              </w:rPr>
              <w:t>0.520 (0.045)</w:t>
            </w:r>
          </w:p>
        </w:tc>
        <w:tc>
          <w:tcPr>
            <w:tcW w:w="488" w:type="pct"/>
            <w:vAlign w:val="center"/>
          </w:tcPr>
          <w:p w14:paraId="6A5E73F0" w14:textId="77777777" w:rsidR="00A72A80" w:rsidRDefault="00A72A80" w:rsidP="004C1C36">
            <w:pPr>
              <w:spacing w:after="0" w:line="252" w:lineRule="auto"/>
              <w:jc w:val="center"/>
            </w:pPr>
            <w:r>
              <w:rPr>
                <w:sz w:val="18"/>
              </w:rPr>
              <w:t>&lt;0.001</w:t>
            </w:r>
          </w:p>
        </w:tc>
        <w:tc>
          <w:tcPr>
            <w:tcW w:w="827" w:type="pct"/>
            <w:vAlign w:val="center"/>
          </w:tcPr>
          <w:p w14:paraId="4492B0FA" w14:textId="77777777" w:rsidR="00A72A80" w:rsidRDefault="00A72A80" w:rsidP="004C1C36">
            <w:pPr>
              <w:spacing w:after="0" w:line="252" w:lineRule="auto"/>
              <w:jc w:val="center"/>
            </w:pPr>
            <w:r>
              <w:rPr>
                <w:sz w:val="18"/>
              </w:rPr>
              <w:t>0.529 (0.050)</w:t>
            </w:r>
          </w:p>
        </w:tc>
        <w:tc>
          <w:tcPr>
            <w:tcW w:w="487" w:type="pct"/>
            <w:vAlign w:val="center"/>
          </w:tcPr>
          <w:p w14:paraId="4A9C4B26" w14:textId="77777777" w:rsidR="00A72A80" w:rsidRDefault="00A72A80" w:rsidP="004C1C36">
            <w:pPr>
              <w:spacing w:after="0" w:line="252" w:lineRule="auto"/>
              <w:jc w:val="center"/>
            </w:pPr>
            <w:r>
              <w:rPr>
                <w:sz w:val="18"/>
              </w:rPr>
              <w:t>&lt;0.001</w:t>
            </w:r>
          </w:p>
        </w:tc>
      </w:tr>
      <w:tr w:rsidR="00A72A80" w14:paraId="660511C0" w14:textId="77777777" w:rsidTr="00295ED8">
        <w:trPr>
          <w:cantSplit/>
          <w:trHeight w:val="288"/>
          <w:jc w:val="center"/>
        </w:trPr>
        <w:tc>
          <w:tcPr>
            <w:tcW w:w="1056" w:type="pct"/>
            <w:vAlign w:val="center"/>
          </w:tcPr>
          <w:p w14:paraId="1FD8FF43" w14:textId="77777777" w:rsidR="00A72A80" w:rsidRDefault="00A72A80" w:rsidP="004C1C36">
            <w:pPr>
              <w:spacing w:after="0" w:line="252" w:lineRule="auto"/>
            </w:pPr>
            <w:r>
              <w:rPr>
                <w:sz w:val="18"/>
              </w:rPr>
              <w:t>Exports</w:t>
            </w:r>
          </w:p>
        </w:tc>
        <w:tc>
          <w:tcPr>
            <w:tcW w:w="827" w:type="pct"/>
            <w:vAlign w:val="center"/>
          </w:tcPr>
          <w:p w14:paraId="62C56349" w14:textId="77777777" w:rsidR="00A72A80" w:rsidRDefault="00A72A80" w:rsidP="004C1C36">
            <w:pPr>
              <w:spacing w:after="0" w:line="252" w:lineRule="auto"/>
              <w:jc w:val="center"/>
            </w:pPr>
            <w:r>
              <w:rPr>
                <w:sz w:val="18"/>
              </w:rPr>
              <w:t>0.978 (0.132)</w:t>
            </w:r>
          </w:p>
        </w:tc>
        <w:tc>
          <w:tcPr>
            <w:tcW w:w="488" w:type="pct"/>
            <w:vAlign w:val="center"/>
          </w:tcPr>
          <w:p w14:paraId="497EDF54" w14:textId="77777777" w:rsidR="00A72A80" w:rsidRDefault="00A72A80" w:rsidP="004C1C36">
            <w:pPr>
              <w:spacing w:after="0" w:line="252" w:lineRule="auto"/>
              <w:jc w:val="center"/>
            </w:pPr>
            <w:r>
              <w:rPr>
                <w:sz w:val="18"/>
              </w:rPr>
              <w:t>&lt;0.001</w:t>
            </w:r>
          </w:p>
        </w:tc>
        <w:tc>
          <w:tcPr>
            <w:tcW w:w="827" w:type="pct"/>
            <w:vAlign w:val="center"/>
          </w:tcPr>
          <w:p w14:paraId="234A845E" w14:textId="77777777" w:rsidR="00A72A80" w:rsidRDefault="00A72A80" w:rsidP="004C1C36">
            <w:pPr>
              <w:spacing w:after="0" w:line="252" w:lineRule="auto"/>
              <w:jc w:val="center"/>
            </w:pPr>
            <w:r>
              <w:rPr>
                <w:sz w:val="18"/>
              </w:rPr>
              <w:t>0.979 (0.113)</w:t>
            </w:r>
          </w:p>
        </w:tc>
        <w:tc>
          <w:tcPr>
            <w:tcW w:w="488" w:type="pct"/>
            <w:vAlign w:val="center"/>
          </w:tcPr>
          <w:p w14:paraId="7CC4BE5F" w14:textId="77777777" w:rsidR="00A72A80" w:rsidRDefault="00A72A80" w:rsidP="004C1C36">
            <w:pPr>
              <w:spacing w:after="0" w:line="252" w:lineRule="auto"/>
              <w:jc w:val="center"/>
            </w:pPr>
            <w:r>
              <w:rPr>
                <w:sz w:val="18"/>
              </w:rPr>
              <w:t>&lt;0.001</w:t>
            </w:r>
          </w:p>
        </w:tc>
        <w:tc>
          <w:tcPr>
            <w:tcW w:w="827" w:type="pct"/>
            <w:vAlign w:val="center"/>
          </w:tcPr>
          <w:p w14:paraId="22C83381" w14:textId="77777777" w:rsidR="00A72A80" w:rsidRDefault="00A72A80" w:rsidP="004C1C36">
            <w:pPr>
              <w:spacing w:after="0" w:line="252" w:lineRule="auto"/>
              <w:jc w:val="center"/>
            </w:pPr>
            <w:r>
              <w:rPr>
                <w:sz w:val="18"/>
              </w:rPr>
              <w:t>0.961 (0.111)</w:t>
            </w:r>
          </w:p>
        </w:tc>
        <w:tc>
          <w:tcPr>
            <w:tcW w:w="487" w:type="pct"/>
            <w:vAlign w:val="center"/>
          </w:tcPr>
          <w:p w14:paraId="756CB267" w14:textId="77777777" w:rsidR="00A72A80" w:rsidRDefault="00A72A80" w:rsidP="004C1C36">
            <w:pPr>
              <w:spacing w:after="0" w:line="252" w:lineRule="auto"/>
              <w:jc w:val="center"/>
            </w:pPr>
            <w:r>
              <w:rPr>
                <w:sz w:val="18"/>
              </w:rPr>
              <w:t>&lt;0.001</w:t>
            </w:r>
          </w:p>
        </w:tc>
      </w:tr>
      <w:tr w:rsidR="00A72A80" w14:paraId="36F6A84F" w14:textId="77777777" w:rsidTr="00295ED8">
        <w:trPr>
          <w:cantSplit/>
          <w:trHeight w:val="288"/>
          <w:jc w:val="center"/>
        </w:trPr>
        <w:tc>
          <w:tcPr>
            <w:tcW w:w="1056" w:type="pct"/>
            <w:vAlign w:val="center"/>
          </w:tcPr>
          <w:p w14:paraId="6B86E829" w14:textId="77777777" w:rsidR="00A72A80" w:rsidRPr="00A72A80" w:rsidRDefault="00A72A80" w:rsidP="004C1C36">
            <w:pPr>
              <w:spacing w:after="0" w:line="252" w:lineRule="auto"/>
              <w:rPr>
                <w:b/>
              </w:rPr>
            </w:pPr>
            <w:r w:rsidRPr="00A72A80">
              <w:rPr>
                <w:b/>
                <w:sz w:val="18"/>
              </w:rPr>
              <w:t>Closing stocks</w:t>
            </w:r>
          </w:p>
        </w:tc>
        <w:tc>
          <w:tcPr>
            <w:tcW w:w="827" w:type="pct"/>
            <w:vAlign w:val="center"/>
          </w:tcPr>
          <w:p w14:paraId="31855EF0" w14:textId="77777777" w:rsidR="00A72A80" w:rsidRPr="00A72A80" w:rsidRDefault="00A72A80" w:rsidP="004C1C36">
            <w:pPr>
              <w:spacing w:after="0" w:line="252" w:lineRule="auto"/>
              <w:jc w:val="center"/>
              <w:rPr>
                <w:b/>
              </w:rPr>
            </w:pPr>
            <w:r w:rsidRPr="00A72A80">
              <w:rPr>
                <w:b/>
                <w:sz w:val="18"/>
              </w:rPr>
              <w:t>-0.029 (0.037)</w:t>
            </w:r>
          </w:p>
        </w:tc>
        <w:tc>
          <w:tcPr>
            <w:tcW w:w="488" w:type="pct"/>
            <w:vAlign w:val="center"/>
          </w:tcPr>
          <w:p w14:paraId="6497E258" w14:textId="77777777" w:rsidR="00A72A80" w:rsidRPr="00A72A80" w:rsidRDefault="00A72A80" w:rsidP="004C1C36">
            <w:pPr>
              <w:spacing w:after="0" w:line="252" w:lineRule="auto"/>
              <w:jc w:val="center"/>
              <w:rPr>
                <w:b/>
              </w:rPr>
            </w:pPr>
            <w:r w:rsidRPr="00A72A80">
              <w:rPr>
                <w:b/>
                <w:sz w:val="18"/>
              </w:rPr>
              <w:t>0.440</w:t>
            </w:r>
          </w:p>
        </w:tc>
        <w:tc>
          <w:tcPr>
            <w:tcW w:w="827" w:type="pct"/>
            <w:vAlign w:val="center"/>
          </w:tcPr>
          <w:p w14:paraId="31D33CE9" w14:textId="5880233B" w:rsidR="00A72A80" w:rsidRPr="000A4741" w:rsidRDefault="000A4741" w:rsidP="004C1C36">
            <w:pPr>
              <w:spacing w:after="0" w:line="252" w:lineRule="auto"/>
              <w:jc w:val="center"/>
              <w:rPr>
                <w:b/>
              </w:rPr>
            </w:pPr>
            <w:r w:rsidRPr="000A4741">
              <w:rPr>
                <w:b/>
                <w:sz w:val="18"/>
              </w:rPr>
              <w:t>—</w:t>
            </w:r>
          </w:p>
        </w:tc>
        <w:tc>
          <w:tcPr>
            <w:tcW w:w="488" w:type="pct"/>
            <w:vAlign w:val="center"/>
          </w:tcPr>
          <w:p w14:paraId="0FD4828D" w14:textId="5D8E98A7" w:rsidR="00A72A80" w:rsidRPr="000A4741" w:rsidRDefault="000A4741" w:rsidP="004C1C36">
            <w:pPr>
              <w:spacing w:after="0" w:line="252" w:lineRule="auto"/>
              <w:jc w:val="center"/>
              <w:rPr>
                <w:b/>
                <w:vertAlign w:val="subscript"/>
              </w:rPr>
            </w:pPr>
            <w:r w:rsidRPr="000A4741">
              <w:rPr>
                <w:b/>
                <w:sz w:val="18"/>
              </w:rPr>
              <w:t>—</w:t>
            </w:r>
          </w:p>
        </w:tc>
        <w:tc>
          <w:tcPr>
            <w:tcW w:w="827" w:type="pct"/>
            <w:vAlign w:val="center"/>
          </w:tcPr>
          <w:p w14:paraId="66A10EC5" w14:textId="77777777" w:rsidR="00A72A80" w:rsidRPr="00A72A80" w:rsidRDefault="00A72A80" w:rsidP="004C1C36">
            <w:pPr>
              <w:spacing w:after="0" w:line="252" w:lineRule="auto"/>
              <w:jc w:val="center"/>
              <w:rPr>
                <w:b/>
              </w:rPr>
            </w:pPr>
            <w:r w:rsidRPr="00A72A80">
              <w:rPr>
                <w:b/>
                <w:sz w:val="18"/>
              </w:rPr>
              <w:t>0.045 (0.013)</w:t>
            </w:r>
          </w:p>
        </w:tc>
        <w:tc>
          <w:tcPr>
            <w:tcW w:w="487" w:type="pct"/>
            <w:vAlign w:val="center"/>
          </w:tcPr>
          <w:p w14:paraId="4BC09A92" w14:textId="77777777" w:rsidR="00A72A80" w:rsidRPr="00A72A80" w:rsidRDefault="00A72A80" w:rsidP="004C1C36">
            <w:pPr>
              <w:spacing w:after="0" w:line="252" w:lineRule="auto"/>
              <w:jc w:val="center"/>
              <w:rPr>
                <w:b/>
              </w:rPr>
            </w:pPr>
            <w:r w:rsidRPr="00A72A80">
              <w:rPr>
                <w:b/>
                <w:sz w:val="18"/>
              </w:rPr>
              <w:t>&lt;0.001</w:t>
            </w:r>
          </w:p>
        </w:tc>
      </w:tr>
      <w:tr w:rsidR="00A72A80" w14:paraId="2C219443" w14:textId="77777777" w:rsidTr="00295ED8">
        <w:trPr>
          <w:cantSplit/>
          <w:trHeight w:val="288"/>
          <w:jc w:val="center"/>
        </w:trPr>
        <w:tc>
          <w:tcPr>
            <w:tcW w:w="1056" w:type="pct"/>
            <w:vAlign w:val="center"/>
          </w:tcPr>
          <w:p w14:paraId="2FA3AD4D" w14:textId="77777777" w:rsidR="00A72A80" w:rsidRDefault="00A72A80" w:rsidP="004C1C36">
            <w:pPr>
              <w:spacing w:after="0" w:line="252" w:lineRule="auto"/>
            </w:pPr>
            <w:r>
              <w:rPr>
                <w:sz w:val="18"/>
              </w:rPr>
              <w:t>Imports</w:t>
            </w:r>
          </w:p>
        </w:tc>
        <w:tc>
          <w:tcPr>
            <w:tcW w:w="827" w:type="pct"/>
            <w:vAlign w:val="center"/>
          </w:tcPr>
          <w:p w14:paraId="353C2B34" w14:textId="77777777" w:rsidR="00A72A80" w:rsidRDefault="00A72A80" w:rsidP="004C1C36">
            <w:pPr>
              <w:spacing w:after="0" w:line="252" w:lineRule="auto"/>
              <w:jc w:val="center"/>
            </w:pPr>
            <w:r>
              <w:rPr>
                <w:sz w:val="18"/>
              </w:rPr>
              <w:t>-0.208 (0.055)</w:t>
            </w:r>
          </w:p>
        </w:tc>
        <w:tc>
          <w:tcPr>
            <w:tcW w:w="488" w:type="pct"/>
            <w:vAlign w:val="center"/>
          </w:tcPr>
          <w:p w14:paraId="605247A0" w14:textId="77777777" w:rsidR="00A72A80" w:rsidRDefault="00A72A80" w:rsidP="004C1C36">
            <w:pPr>
              <w:spacing w:after="0" w:line="252" w:lineRule="auto"/>
              <w:jc w:val="center"/>
            </w:pPr>
            <w:r>
              <w:rPr>
                <w:sz w:val="18"/>
              </w:rPr>
              <w:t>&lt;0.001</w:t>
            </w:r>
          </w:p>
        </w:tc>
        <w:tc>
          <w:tcPr>
            <w:tcW w:w="827" w:type="pct"/>
            <w:vAlign w:val="center"/>
          </w:tcPr>
          <w:p w14:paraId="4F92A7E1" w14:textId="77777777" w:rsidR="00A72A80" w:rsidRDefault="00A72A80" w:rsidP="004C1C36">
            <w:pPr>
              <w:spacing w:after="0" w:line="252" w:lineRule="auto"/>
              <w:jc w:val="center"/>
            </w:pPr>
            <w:r>
              <w:rPr>
                <w:sz w:val="18"/>
              </w:rPr>
              <w:t>-0.156 (0.050)</w:t>
            </w:r>
          </w:p>
        </w:tc>
        <w:tc>
          <w:tcPr>
            <w:tcW w:w="488" w:type="pct"/>
            <w:vAlign w:val="center"/>
          </w:tcPr>
          <w:p w14:paraId="483F4C03" w14:textId="77777777" w:rsidR="00A72A80" w:rsidRDefault="00A72A80" w:rsidP="004C1C36">
            <w:pPr>
              <w:spacing w:after="0" w:line="252" w:lineRule="auto"/>
              <w:jc w:val="center"/>
            </w:pPr>
            <w:r>
              <w:rPr>
                <w:sz w:val="18"/>
              </w:rPr>
              <w:t>0.003</w:t>
            </w:r>
          </w:p>
        </w:tc>
        <w:tc>
          <w:tcPr>
            <w:tcW w:w="827" w:type="pct"/>
            <w:vAlign w:val="center"/>
          </w:tcPr>
          <w:p w14:paraId="3F53F0CC" w14:textId="77777777" w:rsidR="00A72A80" w:rsidRDefault="00A72A80" w:rsidP="004C1C36">
            <w:pPr>
              <w:spacing w:after="0" w:line="252" w:lineRule="auto"/>
              <w:jc w:val="center"/>
            </w:pPr>
            <w:r>
              <w:rPr>
                <w:sz w:val="18"/>
              </w:rPr>
              <w:t>-0.188 (0.051)</w:t>
            </w:r>
          </w:p>
        </w:tc>
        <w:tc>
          <w:tcPr>
            <w:tcW w:w="487" w:type="pct"/>
            <w:vAlign w:val="center"/>
          </w:tcPr>
          <w:p w14:paraId="1249968F" w14:textId="77777777" w:rsidR="00A72A80" w:rsidRDefault="00A72A80" w:rsidP="004C1C36">
            <w:pPr>
              <w:spacing w:after="0" w:line="252" w:lineRule="auto"/>
              <w:jc w:val="center"/>
            </w:pPr>
            <w:r>
              <w:rPr>
                <w:sz w:val="18"/>
              </w:rPr>
              <w:t>&lt;0.001</w:t>
            </w:r>
          </w:p>
        </w:tc>
      </w:tr>
      <w:tr w:rsidR="00A72A80" w14:paraId="7F874018" w14:textId="77777777" w:rsidTr="00295ED8">
        <w:trPr>
          <w:cantSplit/>
          <w:trHeight w:val="288"/>
          <w:jc w:val="center"/>
        </w:trPr>
        <w:tc>
          <w:tcPr>
            <w:tcW w:w="1056" w:type="pct"/>
            <w:vAlign w:val="center"/>
          </w:tcPr>
          <w:p w14:paraId="1F419D8B" w14:textId="77777777" w:rsidR="00A72A80" w:rsidRDefault="00A72A80" w:rsidP="004C1C36">
            <w:pPr>
              <w:spacing w:after="0" w:line="252" w:lineRule="auto"/>
            </w:pPr>
            <w:r>
              <w:rPr>
                <w:sz w:val="18"/>
              </w:rPr>
              <w:t>Consumption</w:t>
            </w:r>
          </w:p>
        </w:tc>
        <w:tc>
          <w:tcPr>
            <w:tcW w:w="827" w:type="pct"/>
            <w:vAlign w:val="center"/>
          </w:tcPr>
          <w:p w14:paraId="334590C0" w14:textId="77777777" w:rsidR="00A72A80" w:rsidRDefault="00A72A80" w:rsidP="004C1C36">
            <w:pPr>
              <w:spacing w:after="0" w:line="252" w:lineRule="auto"/>
              <w:jc w:val="center"/>
            </w:pPr>
            <w:r>
              <w:rPr>
                <w:sz w:val="18"/>
              </w:rPr>
              <w:t>0.038 (0.015)</w:t>
            </w:r>
          </w:p>
        </w:tc>
        <w:tc>
          <w:tcPr>
            <w:tcW w:w="488" w:type="pct"/>
            <w:vAlign w:val="center"/>
          </w:tcPr>
          <w:p w14:paraId="0ECED285" w14:textId="77777777" w:rsidR="00A72A80" w:rsidRDefault="00A72A80" w:rsidP="004C1C36">
            <w:pPr>
              <w:spacing w:after="0" w:line="252" w:lineRule="auto"/>
              <w:jc w:val="center"/>
            </w:pPr>
            <w:r>
              <w:rPr>
                <w:sz w:val="18"/>
              </w:rPr>
              <w:t>0.015</w:t>
            </w:r>
          </w:p>
        </w:tc>
        <w:tc>
          <w:tcPr>
            <w:tcW w:w="827" w:type="pct"/>
            <w:vAlign w:val="center"/>
          </w:tcPr>
          <w:p w14:paraId="2F6EF7B5" w14:textId="77777777" w:rsidR="00A72A80" w:rsidRDefault="00A72A80" w:rsidP="004C1C36">
            <w:pPr>
              <w:spacing w:after="0" w:line="252" w:lineRule="auto"/>
              <w:jc w:val="center"/>
            </w:pPr>
            <w:r>
              <w:rPr>
                <w:sz w:val="18"/>
              </w:rPr>
              <w:t>0.038 (0.014)</w:t>
            </w:r>
          </w:p>
        </w:tc>
        <w:tc>
          <w:tcPr>
            <w:tcW w:w="488" w:type="pct"/>
            <w:vAlign w:val="center"/>
          </w:tcPr>
          <w:p w14:paraId="4F21A7DB" w14:textId="77777777" w:rsidR="00A72A80" w:rsidRDefault="00A72A80" w:rsidP="004C1C36">
            <w:pPr>
              <w:spacing w:after="0" w:line="252" w:lineRule="auto"/>
              <w:jc w:val="center"/>
            </w:pPr>
            <w:r>
              <w:rPr>
                <w:sz w:val="18"/>
              </w:rPr>
              <w:t>0.011</w:t>
            </w:r>
          </w:p>
        </w:tc>
        <w:tc>
          <w:tcPr>
            <w:tcW w:w="827" w:type="pct"/>
            <w:vAlign w:val="center"/>
          </w:tcPr>
          <w:p w14:paraId="593152E0" w14:textId="77777777" w:rsidR="00A72A80" w:rsidRDefault="00A72A80" w:rsidP="004C1C36">
            <w:pPr>
              <w:spacing w:after="0" w:line="252" w:lineRule="auto"/>
              <w:jc w:val="center"/>
            </w:pPr>
            <w:r>
              <w:rPr>
                <w:sz w:val="18"/>
              </w:rPr>
              <w:t>0.040 (0.014)</w:t>
            </w:r>
          </w:p>
        </w:tc>
        <w:tc>
          <w:tcPr>
            <w:tcW w:w="487" w:type="pct"/>
            <w:vAlign w:val="center"/>
          </w:tcPr>
          <w:p w14:paraId="54453ECE" w14:textId="77777777" w:rsidR="00A72A80" w:rsidRDefault="00A72A80" w:rsidP="004C1C36">
            <w:pPr>
              <w:spacing w:after="0" w:line="252" w:lineRule="auto"/>
              <w:jc w:val="center"/>
            </w:pPr>
            <w:r>
              <w:rPr>
                <w:sz w:val="18"/>
              </w:rPr>
              <w:t>0.006</w:t>
            </w:r>
          </w:p>
        </w:tc>
      </w:tr>
      <w:tr w:rsidR="00A72A80" w14:paraId="0D51EDD1" w14:textId="77777777" w:rsidTr="00295ED8">
        <w:trPr>
          <w:cantSplit/>
          <w:trHeight w:val="288"/>
          <w:jc w:val="center"/>
        </w:trPr>
        <w:tc>
          <w:tcPr>
            <w:tcW w:w="1056" w:type="pct"/>
            <w:tcBorders>
              <w:bottom w:val="single" w:sz="4" w:space="0" w:color="auto"/>
            </w:tcBorders>
            <w:vAlign w:val="center"/>
          </w:tcPr>
          <w:p w14:paraId="02B2E211" w14:textId="77777777" w:rsidR="00A72A80" w:rsidRDefault="00A72A80" w:rsidP="004C1C36">
            <w:pPr>
              <w:spacing w:after="0" w:line="252" w:lineRule="auto"/>
            </w:pPr>
            <w:r>
              <w:rPr>
                <w:sz w:val="18"/>
              </w:rPr>
              <w:t>Producer price</w:t>
            </w:r>
          </w:p>
        </w:tc>
        <w:tc>
          <w:tcPr>
            <w:tcW w:w="827" w:type="pct"/>
            <w:tcBorders>
              <w:bottom w:val="single" w:sz="4" w:space="0" w:color="auto"/>
            </w:tcBorders>
            <w:vAlign w:val="center"/>
          </w:tcPr>
          <w:p w14:paraId="239757B5" w14:textId="77777777" w:rsidR="00A72A80" w:rsidRDefault="00A72A80" w:rsidP="004C1C36">
            <w:pPr>
              <w:spacing w:after="0" w:line="252" w:lineRule="auto"/>
              <w:jc w:val="center"/>
            </w:pPr>
            <w:r>
              <w:rPr>
                <w:sz w:val="18"/>
              </w:rPr>
              <w:t>-0.255 (0.026)</w:t>
            </w:r>
          </w:p>
        </w:tc>
        <w:tc>
          <w:tcPr>
            <w:tcW w:w="488" w:type="pct"/>
            <w:tcBorders>
              <w:bottom w:val="single" w:sz="4" w:space="0" w:color="auto"/>
            </w:tcBorders>
            <w:vAlign w:val="center"/>
          </w:tcPr>
          <w:p w14:paraId="000C70B5" w14:textId="77777777" w:rsidR="00A72A80" w:rsidRDefault="00A72A80" w:rsidP="004C1C36">
            <w:pPr>
              <w:spacing w:after="0" w:line="252" w:lineRule="auto"/>
              <w:jc w:val="center"/>
            </w:pPr>
            <w:r>
              <w:rPr>
                <w:sz w:val="18"/>
              </w:rPr>
              <w:t>&lt;0.001</w:t>
            </w:r>
          </w:p>
        </w:tc>
        <w:tc>
          <w:tcPr>
            <w:tcW w:w="827" w:type="pct"/>
            <w:tcBorders>
              <w:bottom w:val="single" w:sz="4" w:space="0" w:color="auto"/>
            </w:tcBorders>
            <w:vAlign w:val="center"/>
          </w:tcPr>
          <w:p w14:paraId="784C91D6" w14:textId="77777777" w:rsidR="00A72A80" w:rsidRDefault="00A72A80" w:rsidP="004C1C36">
            <w:pPr>
              <w:spacing w:after="0" w:line="252" w:lineRule="auto"/>
              <w:jc w:val="center"/>
            </w:pPr>
            <w:r>
              <w:rPr>
                <w:sz w:val="18"/>
              </w:rPr>
              <w:t>-0.266 (0.019)</w:t>
            </w:r>
          </w:p>
        </w:tc>
        <w:tc>
          <w:tcPr>
            <w:tcW w:w="488" w:type="pct"/>
            <w:tcBorders>
              <w:bottom w:val="single" w:sz="4" w:space="0" w:color="auto"/>
            </w:tcBorders>
            <w:vAlign w:val="center"/>
          </w:tcPr>
          <w:p w14:paraId="2C83C6E4" w14:textId="77777777" w:rsidR="00A72A80" w:rsidRDefault="00A72A80" w:rsidP="004C1C36">
            <w:pPr>
              <w:spacing w:after="0" w:line="252" w:lineRule="auto"/>
              <w:jc w:val="center"/>
            </w:pPr>
            <w:r>
              <w:rPr>
                <w:sz w:val="18"/>
              </w:rPr>
              <w:t>&lt;0.001</w:t>
            </w:r>
          </w:p>
        </w:tc>
        <w:tc>
          <w:tcPr>
            <w:tcW w:w="827" w:type="pct"/>
            <w:tcBorders>
              <w:bottom w:val="single" w:sz="4" w:space="0" w:color="auto"/>
            </w:tcBorders>
            <w:vAlign w:val="center"/>
          </w:tcPr>
          <w:p w14:paraId="5671DB97" w14:textId="77777777" w:rsidR="00A72A80" w:rsidRDefault="00A72A80" w:rsidP="004C1C36">
            <w:pPr>
              <w:spacing w:after="0" w:line="252" w:lineRule="auto"/>
              <w:jc w:val="center"/>
            </w:pPr>
            <w:r>
              <w:rPr>
                <w:sz w:val="18"/>
              </w:rPr>
              <w:t>-0.245 (0.020)</w:t>
            </w:r>
          </w:p>
        </w:tc>
        <w:tc>
          <w:tcPr>
            <w:tcW w:w="487" w:type="pct"/>
            <w:tcBorders>
              <w:bottom w:val="single" w:sz="4" w:space="0" w:color="auto"/>
            </w:tcBorders>
            <w:vAlign w:val="center"/>
          </w:tcPr>
          <w:p w14:paraId="690203A0" w14:textId="77777777" w:rsidR="00A72A80" w:rsidRDefault="00A72A80" w:rsidP="004C1C36">
            <w:pPr>
              <w:spacing w:after="0" w:line="252" w:lineRule="auto"/>
              <w:jc w:val="center"/>
            </w:pPr>
            <w:r>
              <w:rPr>
                <w:sz w:val="18"/>
              </w:rPr>
              <w:t>&lt;0.001</w:t>
            </w:r>
          </w:p>
        </w:tc>
      </w:tr>
    </w:tbl>
    <w:p w14:paraId="40A925DA" w14:textId="77777777" w:rsidR="00A72A80" w:rsidRDefault="00A72A80"/>
    <w:p w14:paraId="3909A39D" w14:textId="65172184" w:rsidR="000A4741" w:rsidRPr="000A4741" w:rsidRDefault="000A4741" w:rsidP="000A4741">
      <w:pPr>
        <w:rPr>
          <w:b/>
          <w:bCs/>
        </w:rPr>
      </w:pPr>
      <w:r>
        <w:rPr>
          <w:b/>
          <w:bCs/>
        </w:rPr>
        <w:t>B</w:t>
      </w:r>
      <w:r w:rsidRPr="000A4741">
        <w:rPr>
          <w:b/>
          <w:bCs/>
        </w:rPr>
        <w:t xml:space="preserve"> | Cumulative transmission in 2</w:t>
      </w:r>
      <w:r w:rsidR="00C553D3">
        <w:rPr>
          <w:b/>
          <w:bCs/>
        </w:rPr>
        <w:t>10</w:t>
      </w:r>
      <w:r w:rsidRPr="000A4741">
        <w:rPr>
          <w:b/>
          <w:bCs/>
        </w:rPr>
        <w:t>0</w:t>
      </w:r>
      <w:r>
        <w:rPr>
          <w:b/>
          <w:bCs/>
        </w:rPr>
        <w:t xml:space="preserve"> (n = 40 r</w:t>
      </w:r>
      <w:r w:rsidRPr="000A4741">
        <w:rPr>
          <w:b/>
          <w:bCs/>
        </w:rPr>
        <w:t>egion–crop observations per storage representation</w:t>
      </w:r>
      <w:r>
        <w:rPr>
          <w:b/>
          <w:bCs/>
        </w:rPr>
        <w:t>)</w:t>
      </w:r>
    </w:p>
    <w:tbl>
      <w:tblPr>
        <w:tblW w:w="5000" w:type="pct"/>
        <w:jc w:val="center"/>
        <w:tblBorders>
          <w:top w:val="single" w:sz="6" w:space="0" w:color="6B7780"/>
          <w:left w:val="nil"/>
          <w:bottom w:val="single" w:sz="6" w:space="0" w:color="6B7780"/>
          <w:right w:val="nil"/>
          <w:insideH w:val="nil"/>
          <w:insideV w:val="nil"/>
        </w:tblBorders>
        <w:tblCellMar>
          <w:top w:w="65" w:type="dxa"/>
          <w:left w:w="60" w:type="dxa"/>
          <w:bottom w:w="65" w:type="dxa"/>
          <w:right w:w="60" w:type="dxa"/>
        </w:tblCellMar>
        <w:tblLook w:val="0420" w:firstRow="1" w:lastRow="0" w:firstColumn="0" w:lastColumn="0" w:noHBand="0" w:noVBand="1"/>
      </w:tblPr>
      <w:tblGrid>
        <w:gridCol w:w="2282"/>
        <w:gridCol w:w="1786"/>
        <w:gridCol w:w="1054"/>
        <w:gridCol w:w="1786"/>
        <w:gridCol w:w="1054"/>
        <w:gridCol w:w="1786"/>
        <w:gridCol w:w="1052"/>
      </w:tblGrid>
      <w:tr w:rsidR="00A72A80" w14:paraId="06991619" w14:textId="77777777" w:rsidTr="004C1C36">
        <w:trPr>
          <w:cantSplit/>
          <w:tblHeader/>
          <w:jc w:val="center"/>
        </w:trPr>
        <w:tc>
          <w:tcPr>
            <w:tcW w:w="1056" w:type="pct"/>
            <w:vMerge w:val="restart"/>
            <w:tcBorders>
              <w:top w:val="single" w:sz="4" w:space="0" w:color="auto"/>
            </w:tcBorders>
            <w:shd w:val="clear" w:color="auto" w:fill="E7E6E6" w:themeFill="background2"/>
            <w:vAlign w:val="center"/>
          </w:tcPr>
          <w:p w14:paraId="341DFFFB" w14:textId="77777777" w:rsidR="00A72A80" w:rsidRDefault="00A72A80" w:rsidP="004C1C36">
            <w:pPr>
              <w:spacing w:after="0" w:line="252" w:lineRule="auto"/>
              <w:jc w:val="center"/>
            </w:pPr>
            <w:r>
              <w:rPr>
                <w:b/>
                <w:sz w:val="18"/>
              </w:rPr>
              <w:t>Outcome</w:t>
            </w:r>
          </w:p>
        </w:tc>
        <w:tc>
          <w:tcPr>
            <w:tcW w:w="1315" w:type="pct"/>
            <w:gridSpan w:val="2"/>
            <w:tcBorders>
              <w:top w:val="single" w:sz="4" w:space="0" w:color="auto"/>
            </w:tcBorders>
            <w:shd w:val="clear" w:color="auto" w:fill="E7E6E6" w:themeFill="background2"/>
            <w:vAlign w:val="center"/>
          </w:tcPr>
          <w:p w14:paraId="4CBA7FE5" w14:textId="494BF9AB" w:rsidR="00A72A80" w:rsidRDefault="00A72A80" w:rsidP="00295ED8">
            <w:pPr>
              <w:spacing w:after="0" w:line="252" w:lineRule="auto"/>
              <w:jc w:val="center"/>
            </w:pPr>
            <w:r>
              <w:rPr>
                <w:b/>
                <w:sz w:val="18"/>
              </w:rPr>
              <w:t>Dynamic Storage</w:t>
            </w:r>
          </w:p>
        </w:tc>
        <w:tc>
          <w:tcPr>
            <w:tcW w:w="1315" w:type="pct"/>
            <w:gridSpan w:val="2"/>
            <w:tcBorders>
              <w:top w:val="single" w:sz="4" w:space="0" w:color="auto"/>
            </w:tcBorders>
            <w:shd w:val="clear" w:color="auto" w:fill="E7E6E6" w:themeFill="background2"/>
            <w:vAlign w:val="center"/>
          </w:tcPr>
          <w:p w14:paraId="29256D34" w14:textId="706E0F40" w:rsidR="00A72A80" w:rsidRDefault="00A72A80" w:rsidP="00295ED8">
            <w:pPr>
              <w:spacing w:after="0" w:line="252" w:lineRule="auto"/>
              <w:jc w:val="center"/>
            </w:pPr>
            <w:r>
              <w:rPr>
                <w:b/>
                <w:sz w:val="18"/>
              </w:rPr>
              <w:t>Hidden Storage</w:t>
            </w:r>
          </w:p>
        </w:tc>
        <w:tc>
          <w:tcPr>
            <w:tcW w:w="1314" w:type="pct"/>
            <w:gridSpan w:val="2"/>
            <w:tcBorders>
              <w:top w:val="single" w:sz="4" w:space="0" w:color="auto"/>
            </w:tcBorders>
            <w:shd w:val="clear" w:color="auto" w:fill="E7E6E6" w:themeFill="background2"/>
            <w:vAlign w:val="center"/>
          </w:tcPr>
          <w:p w14:paraId="41BCE48F" w14:textId="25776518" w:rsidR="00A72A80" w:rsidRDefault="00A72A80" w:rsidP="00295ED8">
            <w:pPr>
              <w:spacing w:after="0" w:line="252" w:lineRule="auto"/>
              <w:jc w:val="center"/>
            </w:pPr>
            <w:r>
              <w:rPr>
                <w:b/>
                <w:sz w:val="18"/>
              </w:rPr>
              <w:t>Fixed-Ratio Storage</w:t>
            </w:r>
          </w:p>
        </w:tc>
      </w:tr>
      <w:tr w:rsidR="00A72A80" w14:paraId="19002FED" w14:textId="77777777" w:rsidTr="004C1C36">
        <w:trPr>
          <w:cantSplit/>
          <w:tblHeader/>
          <w:jc w:val="center"/>
        </w:trPr>
        <w:tc>
          <w:tcPr>
            <w:tcW w:w="1056" w:type="pct"/>
            <w:vMerge/>
            <w:tcBorders>
              <w:bottom w:val="single" w:sz="4" w:space="0" w:color="auto"/>
            </w:tcBorders>
            <w:shd w:val="clear" w:color="auto" w:fill="E7E6E6" w:themeFill="background2"/>
            <w:vAlign w:val="center"/>
          </w:tcPr>
          <w:p w14:paraId="39F16FE2" w14:textId="77777777" w:rsidR="00A72A80" w:rsidRDefault="00A72A80" w:rsidP="004C1C36">
            <w:pPr>
              <w:spacing w:after="0" w:line="252" w:lineRule="auto"/>
              <w:jc w:val="center"/>
            </w:pPr>
          </w:p>
        </w:tc>
        <w:tc>
          <w:tcPr>
            <w:tcW w:w="827" w:type="pct"/>
            <w:tcBorders>
              <w:bottom w:val="single" w:sz="4" w:space="0" w:color="auto"/>
            </w:tcBorders>
            <w:shd w:val="clear" w:color="auto" w:fill="E7E6E6" w:themeFill="background2"/>
            <w:vAlign w:val="center"/>
          </w:tcPr>
          <w:p w14:paraId="7E5E10C8" w14:textId="77777777" w:rsidR="00A72A80" w:rsidRDefault="00A72A80" w:rsidP="004C1C36">
            <w:pPr>
              <w:spacing w:after="0" w:line="252" w:lineRule="auto"/>
              <w:jc w:val="center"/>
            </w:pPr>
            <w:r>
              <w:rPr>
                <w:b/>
                <w:sz w:val="18"/>
              </w:rPr>
              <w:t>β (SE)</w:t>
            </w:r>
          </w:p>
        </w:tc>
        <w:tc>
          <w:tcPr>
            <w:tcW w:w="488" w:type="pct"/>
            <w:tcBorders>
              <w:bottom w:val="single" w:sz="4" w:space="0" w:color="auto"/>
            </w:tcBorders>
            <w:shd w:val="clear" w:color="auto" w:fill="E7E6E6" w:themeFill="background2"/>
            <w:vAlign w:val="center"/>
          </w:tcPr>
          <w:p w14:paraId="79B6C722" w14:textId="77777777" w:rsidR="00A72A80" w:rsidRDefault="00A72A80" w:rsidP="004C1C36">
            <w:pPr>
              <w:spacing w:after="0" w:line="252" w:lineRule="auto"/>
              <w:jc w:val="center"/>
            </w:pPr>
            <w:r>
              <w:rPr>
                <w:b/>
                <w:sz w:val="18"/>
              </w:rPr>
              <w:t>P</w:t>
            </w:r>
          </w:p>
        </w:tc>
        <w:tc>
          <w:tcPr>
            <w:tcW w:w="827" w:type="pct"/>
            <w:tcBorders>
              <w:bottom w:val="single" w:sz="4" w:space="0" w:color="auto"/>
            </w:tcBorders>
            <w:shd w:val="clear" w:color="auto" w:fill="E7E6E6" w:themeFill="background2"/>
            <w:vAlign w:val="center"/>
          </w:tcPr>
          <w:p w14:paraId="74025491" w14:textId="77777777" w:rsidR="00A72A80" w:rsidRDefault="00A72A80" w:rsidP="004C1C36">
            <w:pPr>
              <w:spacing w:after="0" w:line="252" w:lineRule="auto"/>
              <w:jc w:val="center"/>
            </w:pPr>
            <w:r>
              <w:rPr>
                <w:b/>
                <w:sz w:val="18"/>
              </w:rPr>
              <w:t>β (SE)</w:t>
            </w:r>
          </w:p>
        </w:tc>
        <w:tc>
          <w:tcPr>
            <w:tcW w:w="488" w:type="pct"/>
            <w:tcBorders>
              <w:bottom w:val="single" w:sz="4" w:space="0" w:color="auto"/>
            </w:tcBorders>
            <w:shd w:val="clear" w:color="auto" w:fill="E7E6E6" w:themeFill="background2"/>
            <w:vAlign w:val="center"/>
          </w:tcPr>
          <w:p w14:paraId="18732A33" w14:textId="77777777" w:rsidR="00A72A80" w:rsidRDefault="00A72A80" w:rsidP="004C1C36">
            <w:pPr>
              <w:spacing w:after="0" w:line="252" w:lineRule="auto"/>
              <w:jc w:val="center"/>
            </w:pPr>
            <w:r>
              <w:rPr>
                <w:b/>
                <w:sz w:val="18"/>
              </w:rPr>
              <w:t>P</w:t>
            </w:r>
          </w:p>
        </w:tc>
        <w:tc>
          <w:tcPr>
            <w:tcW w:w="827" w:type="pct"/>
            <w:tcBorders>
              <w:bottom w:val="single" w:sz="4" w:space="0" w:color="auto"/>
            </w:tcBorders>
            <w:shd w:val="clear" w:color="auto" w:fill="E7E6E6" w:themeFill="background2"/>
            <w:vAlign w:val="center"/>
          </w:tcPr>
          <w:p w14:paraId="1526B32F" w14:textId="77777777" w:rsidR="00A72A80" w:rsidRDefault="00A72A80" w:rsidP="004C1C36">
            <w:pPr>
              <w:spacing w:after="0" w:line="252" w:lineRule="auto"/>
              <w:jc w:val="center"/>
            </w:pPr>
            <w:r>
              <w:rPr>
                <w:b/>
                <w:sz w:val="18"/>
              </w:rPr>
              <w:t>β (SE)</w:t>
            </w:r>
          </w:p>
        </w:tc>
        <w:tc>
          <w:tcPr>
            <w:tcW w:w="487" w:type="pct"/>
            <w:tcBorders>
              <w:bottom w:val="single" w:sz="4" w:space="0" w:color="auto"/>
            </w:tcBorders>
            <w:shd w:val="clear" w:color="auto" w:fill="E7E6E6" w:themeFill="background2"/>
            <w:vAlign w:val="center"/>
          </w:tcPr>
          <w:p w14:paraId="08B4BE96" w14:textId="77777777" w:rsidR="00A72A80" w:rsidRDefault="00A72A80" w:rsidP="004C1C36">
            <w:pPr>
              <w:spacing w:after="0" w:line="252" w:lineRule="auto"/>
              <w:jc w:val="center"/>
            </w:pPr>
            <w:r>
              <w:rPr>
                <w:b/>
                <w:sz w:val="18"/>
              </w:rPr>
              <w:t>P</w:t>
            </w:r>
          </w:p>
        </w:tc>
      </w:tr>
      <w:tr w:rsidR="000A4741" w14:paraId="3272BCD5" w14:textId="77777777" w:rsidTr="00295ED8">
        <w:trPr>
          <w:cantSplit/>
          <w:trHeight w:val="288"/>
          <w:jc w:val="center"/>
        </w:trPr>
        <w:tc>
          <w:tcPr>
            <w:tcW w:w="1056" w:type="pct"/>
            <w:tcBorders>
              <w:top w:val="single" w:sz="4" w:space="0" w:color="auto"/>
            </w:tcBorders>
            <w:vAlign w:val="center"/>
          </w:tcPr>
          <w:p w14:paraId="373B49C0" w14:textId="77777777" w:rsidR="000A4741" w:rsidRDefault="000A4741" w:rsidP="000A4741">
            <w:pPr>
              <w:spacing w:after="0" w:line="252" w:lineRule="auto"/>
            </w:pPr>
            <w:r>
              <w:rPr>
                <w:sz w:val="18"/>
              </w:rPr>
              <w:t>Realized yield</w:t>
            </w:r>
          </w:p>
        </w:tc>
        <w:tc>
          <w:tcPr>
            <w:tcW w:w="827" w:type="pct"/>
            <w:tcBorders>
              <w:top w:val="single" w:sz="4" w:space="0" w:color="auto"/>
            </w:tcBorders>
            <w:vAlign w:val="center"/>
          </w:tcPr>
          <w:p w14:paraId="78891C7E" w14:textId="1666F252" w:rsidR="000A4741" w:rsidRDefault="000A4741" w:rsidP="000A4741">
            <w:pPr>
              <w:spacing w:after="0" w:line="252" w:lineRule="auto"/>
              <w:jc w:val="center"/>
            </w:pPr>
            <w:r>
              <w:rPr>
                <w:sz w:val="18"/>
              </w:rPr>
              <w:t>1.082 (0.063)</w:t>
            </w:r>
          </w:p>
        </w:tc>
        <w:tc>
          <w:tcPr>
            <w:tcW w:w="488" w:type="pct"/>
            <w:tcBorders>
              <w:top w:val="single" w:sz="4" w:space="0" w:color="auto"/>
            </w:tcBorders>
            <w:vAlign w:val="center"/>
          </w:tcPr>
          <w:p w14:paraId="3F17147F" w14:textId="522D9FB9" w:rsidR="000A4741" w:rsidRDefault="000A4741" w:rsidP="000A4741">
            <w:pPr>
              <w:spacing w:after="0" w:line="252" w:lineRule="auto"/>
              <w:jc w:val="center"/>
            </w:pPr>
            <w:r>
              <w:rPr>
                <w:sz w:val="18"/>
              </w:rPr>
              <w:t>&lt;0.001</w:t>
            </w:r>
          </w:p>
        </w:tc>
        <w:tc>
          <w:tcPr>
            <w:tcW w:w="827" w:type="pct"/>
            <w:tcBorders>
              <w:top w:val="single" w:sz="4" w:space="0" w:color="auto"/>
            </w:tcBorders>
            <w:vAlign w:val="center"/>
          </w:tcPr>
          <w:p w14:paraId="737A1663" w14:textId="54377781" w:rsidR="000A4741" w:rsidRDefault="000A4741" w:rsidP="000A4741">
            <w:pPr>
              <w:spacing w:after="0" w:line="252" w:lineRule="auto"/>
              <w:jc w:val="center"/>
            </w:pPr>
            <w:r>
              <w:rPr>
                <w:sz w:val="18"/>
              </w:rPr>
              <w:t>1.111 (0.067)</w:t>
            </w:r>
          </w:p>
        </w:tc>
        <w:tc>
          <w:tcPr>
            <w:tcW w:w="488" w:type="pct"/>
            <w:tcBorders>
              <w:top w:val="single" w:sz="4" w:space="0" w:color="auto"/>
            </w:tcBorders>
            <w:vAlign w:val="center"/>
          </w:tcPr>
          <w:p w14:paraId="2DB9D465" w14:textId="196440EF" w:rsidR="000A4741" w:rsidRDefault="000A4741" w:rsidP="000A4741">
            <w:pPr>
              <w:spacing w:after="0" w:line="252" w:lineRule="auto"/>
              <w:jc w:val="center"/>
            </w:pPr>
            <w:r>
              <w:rPr>
                <w:sz w:val="18"/>
              </w:rPr>
              <w:t>&lt;0.001</w:t>
            </w:r>
          </w:p>
        </w:tc>
        <w:tc>
          <w:tcPr>
            <w:tcW w:w="827" w:type="pct"/>
            <w:tcBorders>
              <w:top w:val="single" w:sz="4" w:space="0" w:color="auto"/>
            </w:tcBorders>
            <w:vAlign w:val="center"/>
          </w:tcPr>
          <w:p w14:paraId="4D15E70E" w14:textId="64B373B5" w:rsidR="000A4741" w:rsidRDefault="000A4741" w:rsidP="000A4741">
            <w:pPr>
              <w:spacing w:after="0" w:line="252" w:lineRule="auto"/>
              <w:jc w:val="center"/>
            </w:pPr>
            <w:r>
              <w:rPr>
                <w:sz w:val="18"/>
              </w:rPr>
              <w:t>1.078 (0.063)</w:t>
            </w:r>
          </w:p>
        </w:tc>
        <w:tc>
          <w:tcPr>
            <w:tcW w:w="487" w:type="pct"/>
            <w:tcBorders>
              <w:top w:val="single" w:sz="4" w:space="0" w:color="auto"/>
            </w:tcBorders>
            <w:vAlign w:val="center"/>
          </w:tcPr>
          <w:p w14:paraId="5C4DDF0C" w14:textId="45EEE4E7" w:rsidR="000A4741" w:rsidRDefault="000A4741" w:rsidP="000A4741">
            <w:pPr>
              <w:spacing w:after="0" w:line="252" w:lineRule="auto"/>
              <w:jc w:val="center"/>
            </w:pPr>
            <w:r>
              <w:rPr>
                <w:sz w:val="18"/>
              </w:rPr>
              <w:t>&lt;0.001</w:t>
            </w:r>
          </w:p>
        </w:tc>
      </w:tr>
      <w:tr w:rsidR="000A4741" w14:paraId="1E1EA770" w14:textId="77777777" w:rsidTr="00295ED8">
        <w:trPr>
          <w:cantSplit/>
          <w:trHeight w:val="288"/>
          <w:jc w:val="center"/>
        </w:trPr>
        <w:tc>
          <w:tcPr>
            <w:tcW w:w="1056" w:type="pct"/>
            <w:vAlign w:val="center"/>
          </w:tcPr>
          <w:p w14:paraId="76C2F950" w14:textId="77777777" w:rsidR="000A4741" w:rsidRDefault="000A4741" w:rsidP="000A4741">
            <w:pPr>
              <w:spacing w:after="0" w:line="252" w:lineRule="auto"/>
            </w:pPr>
            <w:r>
              <w:rPr>
                <w:sz w:val="18"/>
              </w:rPr>
              <w:t>Area harvested</w:t>
            </w:r>
          </w:p>
        </w:tc>
        <w:tc>
          <w:tcPr>
            <w:tcW w:w="827" w:type="pct"/>
            <w:vAlign w:val="center"/>
          </w:tcPr>
          <w:p w14:paraId="30E36C46" w14:textId="68D7B014" w:rsidR="000A4741" w:rsidRDefault="000A4741" w:rsidP="000A4741">
            <w:pPr>
              <w:spacing w:after="0" w:line="252" w:lineRule="auto"/>
              <w:jc w:val="center"/>
            </w:pPr>
            <w:r>
              <w:rPr>
                <w:sz w:val="18"/>
              </w:rPr>
              <w:t>-0.478 (0.096)</w:t>
            </w:r>
          </w:p>
        </w:tc>
        <w:tc>
          <w:tcPr>
            <w:tcW w:w="488" w:type="pct"/>
            <w:vAlign w:val="center"/>
          </w:tcPr>
          <w:p w14:paraId="1FBD76CC" w14:textId="2C8AB1DB" w:rsidR="000A4741" w:rsidRDefault="000A4741" w:rsidP="000A4741">
            <w:pPr>
              <w:spacing w:after="0" w:line="252" w:lineRule="auto"/>
              <w:jc w:val="center"/>
            </w:pPr>
            <w:r>
              <w:rPr>
                <w:sz w:val="18"/>
              </w:rPr>
              <w:t>&lt;0.001</w:t>
            </w:r>
          </w:p>
        </w:tc>
        <w:tc>
          <w:tcPr>
            <w:tcW w:w="827" w:type="pct"/>
            <w:vAlign w:val="center"/>
          </w:tcPr>
          <w:p w14:paraId="428340E2" w14:textId="2C570D5F" w:rsidR="000A4741" w:rsidRDefault="000A4741" w:rsidP="000A4741">
            <w:pPr>
              <w:spacing w:after="0" w:line="252" w:lineRule="auto"/>
              <w:jc w:val="center"/>
            </w:pPr>
            <w:r>
              <w:rPr>
                <w:sz w:val="18"/>
              </w:rPr>
              <w:t>-0.572 (0.074)</w:t>
            </w:r>
          </w:p>
        </w:tc>
        <w:tc>
          <w:tcPr>
            <w:tcW w:w="488" w:type="pct"/>
            <w:vAlign w:val="center"/>
          </w:tcPr>
          <w:p w14:paraId="405CF099" w14:textId="3C143BD3" w:rsidR="000A4741" w:rsidRDefault="000A4741" w:rsidP="000A4741">
            <w:pPr>
              <w:spacing w:after="0" w:line="252" w:lineRule="auto"/>
              <w:jc w:val="center"/>
            </w:pPr>
            <w:r>
              <w:rPr>
                <w:sz w:val="18"/>
              </w:rPr>
              <w:t>&lt;0.001</w:t>
            </w:r>
          </w:p>
        </w:tc>
        <w:tc>
          <w:tcPr>
            <w:tcW w:w="827" w:type="pct"/>
            <w:vAlign w:val="center"/>
          </w:tcPr>
          <w:p w14:paraId="4886F6E5" w14:textId="31E7FCB5" w:rsidR="000A4741" w:rsidRDefault="000A4741" w:rsidP="000A4741">
            <w:pPr>
              <w:spacing w:after="0" w:line="252" w:lineRule="auto"/>
              <w:jc w:val="center"/>
            </w:pPr>
            <w:r>
              <w:rPr>
                <w:sz w:val="18"/>
              </w:rPr>
              <w:t>-0.490 (0.095)</w:t>
            </w:r>
          </w:p>
        </w:tc>
        <w:tc>
          <w:tcPr>
            <w:tcW w:w="487" w:type="pct"/>
            <w:vAlign w:val="center"/>
          </w:tcPr>
          <w:p w14:paraId="7CBA9CCF" w14:textId="6087E19D" w:rsidR="000A4741" w:rsidRDefault="000A4741" w:rsidP="000A4741">
            <w:pPr>
              <w:spacing w:after="0" w:line="252" w:lineRule="auto"/>
              <w:jc w:val="center"/>
            </w:pPr>
            <w:r>
              <w:rPr>
                <w:sz w:val="18"/>
              </w:rPr>
              <w:t>&lt;0.001</w:t>
            </w:r>
          </w:p>
        </w:tc>
      </w:tr>
      <w:tr w:rsidR="000A4741" w14:paraId="58B7F4AD" w14:textId="77777777" w:rsidTr="00295ED8">
        <w:trPr>
          <w:cantSplit/>
          <w:trHeight w:val="288"/>
          <w:jc w:val="center"/>
        </w:trPr>
        <w:tc>
          <w:tcPr>
            <w:tcW w:w="1056" w:type="pct"/>
            <w:vAlign w:val="center"/>
          </w:tcPr>
          <w:p w14:paraId="190A3F71" w14:textId="77777777" w:rsidR="000A4741" w:rsidRDefault="000A4741" w:rsidP="000A4741">
            <w:pPr>
              <w:spacing w:after="0" w:line="252" w:lineRule="auto"/>
            </w:pPr>
            <w:r>
              <w:rPr>
                <w:sz w:val="18"/>
              </w:rPr>
              <w:t>Production</w:t>
            </w:r>
          </w:p>
        </w:tc>
        <w:tc>
          <w:tcPr>
            <w:tcW w:w="827" w:type="pct"/>
            <w:vAlign w:val="center"/>
          </w:tcPr>
          <w:p w14:paraId="39309E07" w14:textId="5918A48B" w:rsidR="000A4741" w:rsidRDefault="000A4741" w:rsidP="000A4741">
            <w:pPr>
              <w:spacing w:after="0" w:line="252" w:lineRule="auto"/>
              <w:jc w:val="center"/>
            </w:pPr>
            <w:r>
              <w:rPr>
                <w:sz w:val="18"/>
              </w:rPr>
              <w:t>0.604 (0.105)</w:t>
            </w:r>
          </w:p>
        </w:tc>
        <w:tc>
          <w:tcPr>
            <w:tcW w:w="488" w:type="pct"/>
            <w:vAlign w:val="center"/>
          </w:tcPr>
          <w:p w14:paraId="192B536E" w14:textId="7BF1FCBB" w:rsidR="000A4741" w:rsidRDefault="000A4741" w:rsidP="000A4741">
            <w:pPr>
              <w:spacing w:after="0" w:line="252" w:lineRule="auto"/>
              <w:jc w:val="center"/>
            </w:pPr>
            <w:r>
              <w:rPr>
                <w:sz w:val="18"/>
              </w:rPr>
              <w:t>&lt;0.001</w:t>
            </w:r>
          </w:p>
        </w:tc>
        <w:tc>
          <w:tcPr>
            <w:tcW w:w="827" w:type="pct"/>
            <w:vAlign w:val="center"/>
          </w:tcPr>
          <w:p w14:paraId="2E2C511E" w14:textId="0DAE4608" w:rsidR="000A4741" w:rsidRDefault="000A4741" w:rsidP="000A4741">
            <w:pPr>
              <w:spacing w:after="0" w:line="252" w:lineRule="auto"/>
              <w:jc w:val="center"/>
            </w:pPr>
            <w:r>
              <w:rPr>
                <w:sz w:val="18"/>
              </w:rPr>
              <w:t>0.539 (0.075)</w:t>
            </w:r>
          </w:p>
        </w:tc>
        <w:tc>
          <w:tcPr>
            <w:tcW w:w="488" w:type="pct"/>
            <w:vAlign w:val="center"/>
          </w:tcPr>
          <w:p w14:paraId="7530C18A" w14:textId="21F15837" w:rsidR="000A4741" w:rsidRDefault="000A4741" w:rsidP="000A4741">
            <w:pPr>
              <w:spacing w:after="0" w:line="252" w:lineRule="auto"/>
              <w:jc w:val="center"/>
            </w:pPr>
            <w:r>
              <w:rPr>
                <w:sz w:val="18"/>
              </w:rPr>
              <w:t>&lt;0.001</w:t>
            </w:r>
          </w:p>
        </w:tc>
        <w:tc>
          <w:tcPr>
            <w:tcW w:w="827" w:type="pct"/>
            <w:vAlign w:val="center"/>
          </w:tcPr>
          <w:p w14:paraId="6A7DBC92" w14:textId="0AC4F5DE" w:rsidR="000A4741" w:rsidRDefault="000A4741" w:rsidP="000A4741">
            <w:pPr>
              <w:spacing w:after="0" w:line="252" w:lineRule="auto"/>
              <w:jc w:val="center"/>
            </w:pPr>
            <w:r>
              <w:rPr>
                <w:sz w:val="18"/>
              </w:rPr>
              <w:t>0.589 (0.106)</w:t>
            </w:r>
          </w:p>
        </w:tc>
        <w:tc>
          <w:tcPr>
            <w:tcW w:w="487" w:type="pct"/>
            <w:vAlign w:val="center"/>
          </w:tcPr>
          <w:p w14:paraId="74B82D8A" w14:textId="778FC17B" w:rsidR="000A4741" w:rsidRDefault="000A4741" w:rsidP="000A4741">
            <w:pPr>
              <w:spacing w:after="0" w:line="252" w:lineRule="auto"/>
              <w:jc w:val="center"/>
            </w:pPr>
            <w:r>
              <w:rPr>
                <w:sz w:val="18"/>
              </w:rPr>
              <w:t>&lt;0.001</w:t>
            </w:r>
          </w:p>
        </w:tc>
      </w:tr>
      <w:tr w:rsidR="000A4741" w14:paraId="5AA1C7B2" w14:textId="77777777" w:rsidTr="00295ED8">
        <w:trPr>
          <w:cantSplit/>
          <w:trHeight w:val="288"/>
          <w:jc w:val="center"/>
        </w:trPr>
        <w:tc>
          <w:tcPr>
            <w:tcW w:w="1056" w:type="pct"/>
            <w:vAlign w:val="center"/>
          </w:tcPr>
          <w:p w14:paraId="24328045" w14:textId="77777777" w:rsidR="000A4741" w:rsidRDefault="000A4741" w:rsidP="000A4741">
            <w:pPr>
              <w:spacing w:after="0" w:line="252" w:lineRule="auto"/>
            </w:pPr>
            <w:r>
              <w:rPr>
                <w:sz w:val="18"/>
              </w:rPr>
              <w:t>Exports</w:t>
            </w:r>
          </w:p>
        </w:tc>
        <w:tc>
          <w:tcPr>
            <w:tcW w:w="827" w:type="pct"/>
            <w:vAlign w:val="center"/>
          </w:tcPr>
          <w:p w14:paraId="406F8E5D" w14:textId="206BD3A9" w:rsidR="000A4741" w:rsidRDefault="000A4741" w:rsidP="000A4741">
            <w:pPr>
              <w:spacing w:after="0" w:line="252" w:lineRule="auto"/>
              <w:jc w:val="center"/>
            </w:pPr>
            <w:r>
              <w:rPr>
                <w:sz w:val="18"/>
              </w:rPr>
              <w:t>1.114 (0.168)</w:t>
            </w:r>
          </w:p>
        </w:tc>
        <w:tc>
          <w:tcPr>
            <w:tcW w:w="488" w:type="pct"/>
            <w:vAlign w:val="center"/>
          </w:tcPr>
          <w:p w14:paraId="12B56193" w14:textId="1E627B5C" w:rsidR="000A4741" w:rsidRDefault="000A4741" w:rsidP="000A4741">
            <w:pPr>
              <w:spacing w:after="0" w:line="252" w:lineRule="auto"/>
              <w:jc w:val="center"/>
            </w:pPr>
            <w:r>
              <w:rPr>
                <w:sz w:val="18"/>
              </w:rPr>
              <w:t>&lt;0.001</w:t>
            </w:r>
          </w:p>
        </w:tc>
        <w:tc>
          <w:tcPr>
            <w:tcW w:w="827" w:type="pct"/>
            <w:vAlign w:val="center"/>
          </w:tcPr>
          <w:p w14:paraId="536D0B6F" w14:textId="3A742467" w:rsidR="000A4741" w:rsidRDefault="000A4741" w:rsidP="000A4741">
            <w:pPr>
              <w:spacing w:after="0" w:line="252" w:lineRule="auto"/>
              <w:jc w:val="center"/>
            </w:pPr>
            <w:r>
              <w:rPr>
                <w:sz w:val="18"/>
              </w:rPr>
              <w:t>1.165 (0.158)</w:t>
            </w:r>
          </w:p>
        </w:tc>
        <w:tc>
          <w:tcPr>
            <w:tcW w:w="488" w:type="pct"/>
            <w:vAlign w:val="center"/>
          </w:tcPr>
          <w:p w14:paraId="195C82A9" w14:textId="284D8F43" w:rsidR="000A4741" w:rsidRDefault="000A4741" w:rsidP="000A4741">
            <w:pPr>
              <w:spacing w:after="0" w:line="252" w:lineRule="auto"/>
              <w:jc w:val="center"/>
            </w:pPr>
            <w:r>
              <w:rPr>
                <w:sz w:val="18"/>
              </w:rPr>
              <w:t>&lt;0.001</w:t>
            </w:r>
          </w:p>
        </w:tc>
        <w:tc>
          <w:tcPr>
            <w:tcW w:w="827" w:type="pct"/>
            <w:vAlign w:val="center"/>
          </w:tcPr>
          <w:p w14:paraId="0D0D3F00" w14:textId="6C22E604" w:rsidR="000A4741" w:rsidRDefault="000A4741" w:rsidP="000A4741">
            <w:pPr>
              <w:spacing w:after="0" w:line="252" w:lineRule="auto"/>
              <w:jc w:val="center"/>
            </w:pPr>
            <w:r>
              <w:rPr>
                <w:sz w:val="18"/>
              </w:rPr>
              <w:t>1.048 (0.157)</w:t>
            </w:r>
          </w:p>
        </w:tc>
        <w:tc>
          <w:tcPr>
            <w:tcW w:w="487" w:type="pct"/>
            <w:vAlign w:val="center"/>
          </w:tcPr>
          <w:p w14:paraId="50369FEB" w14:textId="3754DD20" w:rsidR="000A4741" w:rsidRDefault="000A4741" w:rsidP="000A4741">
            <w:pPr>
              <w:spacing w:after="0" w:line="252" w:lineRule="auto"/>
              <w:jc w:val="center"/>
            </w:pPr>
            <w:r>
              <w:rPr>
                <w:sz w:val="18"/>
              </w:rPr>
              <w:t>&lt;0.001</w:t>
            </w:r>
          </w:p>
        </w:tc>
      </w:tr>
      <w:tr w:rsidR="000A4741" w14:paraId="6BABB9AA" w14:textId="77777777" w:rsidTr="00295ED8">
        <w:trPr>
          <w:cantSplit/>
          <w:trHeight w:val="288"/>
          <w:jc w:val="center"/>
        </w:trPr>
        <w:tc>
          <w:tcPr>
            <w:tcW w:w="1056" w:type="pct"/>
            <w:vAlign w:val="center"/>
          </w:tcPr>
          <w:p w14:paraId="0B76E2E4" w14:textId="77777777" w:rsidR="000A4741" w:rsidRPr="000A4741" w:rsidRDefault="000A4741" w:rsidP="000A4741">
            <w:pPr>
              <w:spacing w:after="0" w:line="252" w:lineRule="auto"/>
              <w:rPr>
                <w:b/>
              </w:rPr>
            </w:pPr>
            <w:r w:rsidRPr="000A4741">
              <w:rPr>
                <w:b/>
                <w:sz w:val="18"/>
              </w:rPr>
              <w:t>Closing stocks</w:t>
            </w:r>
          </w:p>
        </w:tc>
        <w:tc>
          <w:tcPr>
            <w:tcW w:w="827" w:type="pct"/>
            <w:vAlign w:val="center"/>
          </w:tcPr>
          <w:p w14:paraId="6AEAF587" w14:textId="071E6774" w:rsidR="000A4741" w:rsidRPr="000A4741" w:rsidRDefault="000A4741" w:rsidP="000A4741">
            <w:pPr>
              <w:spacing w:after="0" w:line="252" w:lineRule="auto"/>
              <w:jc w:val="center"/>
              <w:rPr>
                <w:b/>
              </w:rPr>
            </w:pPr>
            <w:r w:rsidRPr="000A4741">
              <w:rPr>
                <w:b/>
                <w:sz w:val="18"/>
              </w:rPr>
              <w:t>0.075 (0.024)</w:t>
            </w:r>
          </w:p>
        </w:tc>
        <w:tc>
          <w:tcPr>
            <w:tcW w:w="488" w:type="pct"/>
            <w:vAlign w:val="center"/>
          </w:tcPr>
          <w:p w14:paraId="52DA3ECB" w14:textId="4FFFC937" w:rsidR="000A4741" w:rsidRPr="000A4741" w:rsidRDefault="000A4741" w:rsidP="000A4741">
            <w:pPr>
              <w:spacing w:after="0" w:line="252" w:lineRule="auto"/>
              <w:jc w:val="center"/>
              <w:rPr>
                <w:b/>
              </w:rPr>
            </w:pPr>
            <w:r w:rsidRPr="000A4741">
              <w:rPr>
                <w:b/>
                <w:sz w:val="18"/>
              </w:rPr>
              <w:t>0.004</w:t>
            </w:r>
          </w:p>
        </w:tc>
        <w:tc>
          <w:tcPr>
            <w:tcW w:w="827" w:type="pct"/>
            <w:vAlign w:val="center"/>
          </w:tcPr>
          <w:p w14:paraId="19A7CA3D" w14:textId="308520F4" w:rsidR="000A4741" w:rsidRPr="000A4741" w:rsidRDefault="000A4741" w:rsidP="000A4741">
            <w:pPr>
              <w:spacing w:after="0" w:line="252" w:lineRule="auto"/>
              <w:jc w:val="center"/>
              <w:rPr>
                <w:b/>
              </w:rPr>
            </w:pPr>
            <w:r w:rsidRPr="000A4741">
              <w:rPr>
                <w:b/>
                <w:sz w:val="18"/>
              </w:rPr>
              <w:t>—</w:t>
            </w:r>
          </w:p>
        </w:tc>
        <w:tc>
          <w:tcPr>
            <w:tcW w:w="488" w:type="pct"/>
            <w:vAlign w:val="center"/>
          </w:tcPr>
          <w:p w14:paraId="55064D7E" w14:textId="13A43A78" w:rsidR="000A4741" w:rsidRPr="000A4741" w:rsidRDefault="000A4741" w:rsidP="000A4741">
            <w:pPr>
              <w:spacing w:after="0" w:line="252" w:lineRule="auto"/>
              <w:jc w:val="center"/>
              <w:rPr>
                <w:b/>
                <w:vertAlign w:val="subscript"/>
              </w:rPr>
            </w:pPr>
            <w:r w:rsidRPr="000A4741">
              <w:rPr>
                <w:b/>
                <w:sz w:val="18"/>
              </w:rPr>
              <w:t>—</w:t>
            </w:r>
          </w:p>
        </w:tc>
        <w:tc>
          <w:tcPr>
            <w:tcW w:w="827" w:type="pct"/>
            <w:vAlign w:val="center"/>
          </w:tcPr>
          <w:p w14:paraId="6DD7B19D" w14:textId="7676843D" w:rsidR="000A4741" w:rsidRPr="000A4741" w:rsidRDefault="000A4741" w:rsidP="000A4741">
            <w:pPr>
              <w:spacing w:after="0" w:line="252" w:lineRule="auto"/>
              <w:jc w:val="center"/>
              <w:rPr>
                <w:b/>
              </w:rPr>
            </w:pPr>
            <w:r w:rsidRPr="000A4741">
              <w:rPr>
                <w:b/>
                <w:sz w:val="18"/>
              </w:rPr>
              <w:t>0.075 (0.018)</w:t>
            </w:r>
          </w:p>
        </w:tc>
        <w:tc>
          <w:tcPr>
            <w:tcW w:w="487" w:type="pct"/>
            <w:vAlign w:val="center"/>
          </w:tcPr>
          <w:p w14:paraId="06C5C1E2" w14:textId="39923E72" w:rsidR="000A4741" w:rsidRPr="000A4741" w:rsidRDefault="000A4741" w:rsidP="000A4741">
            <w:pPr>
              <w:spacing w:after="0" w:line="252" w:lineRule="auto"/>
              <w:jc w:val="center"/>
              <w:rPr>
                <w:b/>
              </w:rPr>
            </w:pPr>
            <w:r w:rsidRPr="000A4741">
              <w:rPr>
                <w:b/>
                <w:sz w:val="18"/>
              </w:rPr>
              <w:t>&lt;0.001</w:t>
            </w:r>
          </w:p>
        </w:tc>
      </w:tr>
      <w:tr w:rsidR="000A4741" w14:paraId="29A2C9E4" w14:textId="77777777" w:rsidTr="00295ED8">
        <w:trPr>
          <w:cantSplit/>
          <w:trHeight w:val="288"/>
          <w:jc w:val="center"/>
        </w:trPr>
        <w:tc>
          <w:tcPr>
            <w:tcW w:w="1056" w:type="pct"/>
            <w:vAlign w:val="center"/>
          </w:tcPr>
          <w:p w14:paraId="35FEA24C" w14:textId="77777777" w:rsidR="000A4741" w:rsidRDefault="000A4741" w:rsidP="000A4741">
            <w:pPr>
              <w:spacing w:after="0" w:line="252" w:lineRule="auto"/>
            </w:pPr>
            <w:r>
              <w:rPr>
                <w:sz w:val="18"/>
              </w:rPr>
              <w:t>Imports</w:t>
            </w:r>
          </w:p>
        </w:tc>
        <w:tc>
          <w:tcPr>
            <w:tcW w:w="827" w:type="pct"/>
            <w:vAlign w:val="center"/>
          </w:tcPr>
          <w:p w14:paraId="04A51B0D" w14:textId="557BDF9A" w:rsidR="000A4741" w:rsidRDefault="000A4741" w:rsidP="000A4741">
            <w:pPr>
              <w:spacing w:after="0" w:line="252" w:lineRule="auto"/>
              <w:jc w:val="center"/>
            </w:pPr>
            <w:r>
              <w:rPr>
                <w:sz w:val="18"/>
              </w:rPr>
              <w:t>-0.166 (0.055)</w:t>
            </w:r>
          </w:p>
        </w:tc>
        <w:tc>
          <w:tcPr>
            <w:tcW w:w="488" w:type="pct"/>
            <w:vAlign w:val="center"/>
          </w:tcPr>
          <w:p w14:paraId="4D0B623E" w14:textId="400BB807" w:rsidR="000A4741" w:rsidRDefault="000A4741" w:rsidP="000A4741">
            <w:pPr>
              <w:spacing w:after="0" w:line="252" w:lineRule="auto"/>
              <w:jc w:val="center"/>
            </w:pPr>
            <w:r>
              <w:rPr>
                <w:sz w:val="18"/>
              </w:rPr>
              <w:t>0.004</w:t>
            </w:r>
          </w:p>
        </w:tc>
        <w:tc>
          <w:tcPr>
            <w:tcW w:w="827" w:type="pct"/>
            <w:vAlign w:val="center"/>
          </w:tcPr>
          <w:p w14:paraId="48C4B7EB" w14:textId="3623F51D" w:rsidR="000A4741" w:rsidRDefault="000A4741" w:rsidP="000A4741">
            <w:pPr>
              <w:spacing w:after="0" w:line="252" w:lineRule="auto"/>
              <w:jc w:val="center"/>
            </w:pPr>
            <w:r>
              <w:rPr>
                <w:sz w:val="18"/>
              </w:rPr>
              <w:t>-0.034 (0.065)</w:t>
            </w:r>
          </w:p>
        </w:tc>
        <w:tc>
          <w:tcPr>
            <w:tcW w:w="488" w:type="pct"/>
            <w:vAlign w:val="center"/>
          </w:tcPr>
          <w:p w14:paraId="3DD09294" w14:textId="53E8FDD1" w:rsidR="000A4741" w:rsidRDefault="000A4741" w:rsidP="000A4741">
            <w:pPr>
              <w:spacing w:after="0" w:line="252" w:lineRule="auto"/>
              <w:jc w:val="center"/>
            </w:pPr>
            <w:r>
              <w:rPr>
                <w:sz w:val="18"/>
              </w:rPr>
              <w:t>0.610</w:t>
            </w:r>
          </w:p>
        </w:tc>
        <w:tc>
          <w:tcPr>
            <w:tcW w:w="827" w:type="pct"/>
            <w:vAlign w:val="center"/>
          </w:tcPr>
          <w:p w14:paraId="05941A4D" w14:textId="32ED36BE" w:rsidR="000A4741" w:rsidRDefault="000A4741" w:rsidP="000A4741">
            <w:pPr>
              <w:spacing w:after="0" w:line="252" w:lineRule="auto"/>
              <w:jc w:val="center"/>
            </w:pPr>
            <w:r>
              <w:rPr>
                <w:sz w:val="18"/>
              </w:rPr>
              <w:t>-0.156 (0.052)</w:t>
            </w:r>
          </w:p>
        </w:tc>
        <w:tc>
          <w:tcPr>
            <w:tcW w:w="487" w:type="pct"/>
            <w:vAlign w:val="center"/>
          </w:tcPr>
          <w:p w14:paraId="1DC1A9FB" w14:textId="023DC2AD" w:rsidR="000A4741" w:rsidRDefault="000A4741" w:rsidP="000A4741">
            <w:pPr>
              <w:spacing w:after="0" w:line="252" w:lineRule="auto"/>
              <w:jc w:val="center"/>
            </w:pPr>
            <w:r>
              <w:rPr>
                <w:sz w:val="18"/>
              </w:rPr>
              <w:t>0.005</w:t>
            </w:r>
          </w:p>
        </w:tc>
      </w:tr>
      <w:tr w:rsidR="000A4741" w14:paraId="3760F920" w14:textId="77777777" w:rsidTr="00295ED8">
        <w:trPr>
          <w:cantSplit/>
          <w:trHeight w:val="288"/>
          <w:jc w:val="center"/>
        </w:trPr>
        <w:tc>
          <w:tcPr>
            <w:tcW w:w="1056" w:type="pct"/>
            <w:vAlign w:val="center"/>
          </w:tcPr>
          <w:p w14:paraId="65280325" w14:textId="77777777" w:rsidR="000A4741" w:rsidRDefault="000A4741" w:rsidP="000A4741">
            <w:pPr>
              <w:spacing w:after="0" w:line="252" w:lineRule="auto"/>
            </w:pPr>
            <w:r>
              <w:rPr>
                <w:sz w:val="18"/>
              </w:rPr>
              <w:t>Consumption</w:t>
            </w:r>
          </w:p>
        </w:tc>
        <w:tc>
          <w:tcPr>
            <w:tcW w:w="827" w:type="pct"/>
            <w:vAlign w:val="center"/>
          </w:tcPr>
          <w:p w14:paraId="4B0DA20B" w14:textId="4E0003A9" w:rsidR="000A4741" w:rsidRDefault="000A4741" w:rsidP="000A4741">
            <w:pPr>
              <w:spacing w:after="0" w:line="252" w:lineRule="auto"/>
              <w:jc w:val="center"/>
            </w:pPr>
            <w:r>
              <w:rPr>
                <w:sz w:val="18"/>
              </w:rPr>
              <w:t>0.087 (0.018)</w:t>
            </w:r>
          </w:p>
        </w:tc>
        <w:tc>
          <w:tcPr>
            <w:tcW w:w="488" w:type="pct"/>
            <w:vAlign w:val="center"/>
          </w:tcPr>
          <w:p w14:paraId="650E66A5" w14:textId="20C738DE" w:rsidR="000A4741" w:rsidRDefault="000A4741" w:rsidP="000A4741">
            <w:pPr>
              <w:spacing w:after="0" w:line="252" w:lineRule="auto"/>
              <w:jc w:val="center"/>
            </w:pPr>
            <w:r>
              <w:rPr>
                <w:sz w:val="18"/>
              </w:rPr>
              <w:t>&lt;0.001</w:t>
            </w:r>
          </w:p>
        </w:tc>
        <w:tc>
          <w:tcPr>
            <w:tcW w:w="827" w:type="pct"/>
            <w:vAlign w:val="center"/>
          </w:tcPr>
          <w:p w14:paraId="7484C24C" w14:textId="67602166" w:rsidR="000A4741" w:rsidRDefault="000A4741" w:rsidP="000A4741">
            <w:pPr>
              <w:spacing w:after="0" w:line="252" w:lineRule="auto"/>
              <w:jc w:val="center"/>
            </w:pPr>
            <w:r>
              <w:rPr>
                <w:sz w:val="18"/>
              </w:rPr>
              <w:t>0.090 (0.022)</w:t>
            </w:r>
          </w:p>
        </w:tc>
        <w:tc>
          <w:tcPr>
            <w:tcW w:w="488" w:type="pct"/>
            <w:vAlign w:val="center"/>
          </w:tcPr>
          <w:p w14:paraId="241ECF34" w14:textId="63E59EE1" w:rsidR="000A4741" w:rsidRDefault="000A4741" w:rsidP="000A4741">
            <w:pPr>
              <w:spacing w:after="0" w:line="252" w:lineRule="auto"/>
              <w:jc w:val="center"/>
            </w:pPr>
            <w:r>
              <w:rPr>
                <w:sz w:val="18"/>
              </w:rPr>
              <w:t>&lt;0.001</w:t>
            </w:r>
          </w:p>
        </w:tc>
        <w:tc>
          <w:tcPr>
            <w:tcW w:w="827" w:type="pct"/>
            <w:vAlign w:val="center"/>
          </w:tcPr>
          <w:p w14:paraId="4CFFBF74" w14:textId="3C96AE06" w:rsidR="000A4741" w:rsidRDefault="000A4741" w:rsidP="000A4741">
            <w:pPr>
              <w:spacing w:after="0" w:line="252" w:lineRule="auto"/>
              <w:jc w:val="center"/>
            </w:pPr>
            <w:r>
              <w:rPr>
                <w:sz w:val="18"/>
              </w:rPr>
              <w:t>0.085 (0.018)</w:t>
            </w:r>
          </w:p>
        </w:tc>
        <w:tc>
          <w:tcPr>
            <w:tcW w:w="487" w:type="pct"/>
            <w:vAlign w:val="center"/>
          </w:tcPr>
          <w:p w14:paraId="0A609C83" w14:textId="1A7984B3" w:rsidR="000A4741" w:rsidRDefault="000A4741" w:rsidP="000A4741">
            <w:pPr>
              <w:spacing w:after="0" w:line="252" w:lineRule="auto"/>
              <w:jc w:val="center"/>
            </w:pPr>
            <w:r>
              <w:rPr>
                <w:sz w:val="18"/>
              </w:rPr>
              <w:t>&lt;0.001</w:t>
            </w:r>
          </w:p>
        </w:tc>
      </w:tr>
      <w:tr w:rsidR="000A4741" w14:paraId="30DB5DB9" w14:textId="77777777" w:rsidTr="00295ED8">
        <w:trPr>
          <w:cantSplit/>
          <w:trHeight w:val="288"/>
          <w:jc w:val="center"/>
        </w:trPr>
        <w:tc>
          <w:tcPr>
            <w:tcW w:w="1056" w:type="pct"/>
            <w:tcBorders>
              <w:bottom w:val="single" w:sz="4" w:space="0" w:color="auto"/>
            </w:tcBorders>
            <w:vAlign w:val="center"/>
          </w:tcPr>
          <w:p w14:paraId="1E42088F" w14:textId="77777777" w:rsidR="000A4741" w:rsidRDefault="000A4741" w:rsidP="000A4741">
            <w:pPr>
              <w:spacing w:after="0" w:line="252" w:lineRule="auto"/>
            </w:pPr>
            <w:r>
              <w:rPr>
                <w:sz w:val="18"/>
              </w:rPr>
              <w:t>Producer price</w:t>
            </w:r>
          </w:p>
        </w:tc>
        <w:tc>
          <w:tcPr>
            <w:tcW w:w="827" w:type="pct"/>
            <w:tcBorders>
              <w:bottom w:val="single" w:sz="4" w:space="0" w:color="auto"/>
            </w:tcBorders>
            <w:vAlign w:val="center"/>
          </w:tcPr>
          <w:p w14:paraId="664F17CF" w14:textId="55BD502F" w:rsidR="000A4741" w:rsidRDefault="000A4741" w:rsidP="000A4741">
            <w:pPr>
              <w:spacing w:after="0" w:line="252" w:lineRule="auto"/>
              <w:jc w:val="center"/>
            </w:pPr>
            <w:r>
              <w:rPr>
                <w:sz w:val="18"/>
              </w:rPr>
              <w:t>-0.256 (0.033)</w:t>
            </w:r>
          </w:p>
        </w:tc>
        <w:tc>
          <w:tcPr>
            <w:tcW w:w="488" w:type="pct"/>
            <w:tcBorders>
              <w:bottom w:val="single" w:sz="4" w:space="0" w:color="auto"/>
            </w:tcBorders>
            <w:vAlign w:val="center"/>
          </w:tcPr>
          <w:p w14:paraId="03515371" w14:textId="2DAD2762" w:rsidR="000A4741" w:rsidRDefault="000A4741" w:rsidP="000A4741">
            <w:pPr>
              <w:spacing w:after="0" w:line="252" w:lineRule="auto"/>
              <w:jc w:val="center"/>
            </w:pPr>
            <w:r>
              <w:rPr>
                <w:sz w:val="18"/>
              </w:rPr>
              <w:t>&lt;0.001</w:t>
            </w:r>
          </w:p>
        </w:tc>
        <w:tc>
          <w:tcPr>
            <w:tcW w:w="827" w:type="pct"/>
            <w:tcBorders>
              <w:bottom w:val="single" w:sz="4" w:space="0" w:color="auto"/>
            </w:tcBorders>
            <w:vAlign w:val="center"/>
          </w:tcPr>
          <w:p w14:paraId="61FAD776" w14:textId="5627A53D" w:rsidR="000A4741" w:rsidRDefault="000A4741" w:rsidP="000A4741">
            <w:pPr>
              <w:spacing w:after="0" w:line="252" w:lineRule="auto"/>
              <w:jc w:val="center"/>
            </w:pPr>
            <w:r>
              <w:rPr>
                <w:sz w:val="18"/>
              </w:rPr>
              <w:t>-0.255 (0.031)</w:t>
            </w:r>
          </w:p>
        </w:tc>
        <w:tc>
          <w:tcPr>
            <w:tcW w:w="488" w:type="pct"/>
            <w:tcBorders>
              <w:bottom w:val="single" w:sz="4" w:space="0" w:color="auto"/>
            </w:tcBorders>
            <w:vAlign w:val="center"/>
          </w:tcPr>
          <w:p w14:paraId="6F28B9A9" w14:textId="3D16C8FF" w:rsidR="000A4741" w:rsidRDefault="000A4741" w:rsidP="000A4741">
            <w:pPr>
              <w:spacing w:after="0" w:line="252" w:lineRule="auto"/>
              <w:jc w:val="center"/>
            </w:pPr>
            <w:r>
              <w:rPr>
                <w:sz w:val="18"/>
              </w:rPr>
              <w:t>&lt;0.001</w:t>
            </w:r>
          </w:p>
        </w:tc>
        <w:tc>
          <w:tcPr>
            <w:tcW w:w="827" w:type="pct"/>
            <w:tcBorders>
              <w:bottom w:val="single" w:sz="4" w:space="0" w:color="auto"/>
            </w:tcBorders>
            <w:vAlign w:val="center"/>
          </w:tcPr>
          <w:p w14:paraId="0867798A" w14:textId="1196F1FF" w:rsidR="000A4741" w:rsidRDefault="000A4741" w:rsidP="000A4741">
            <w:pPr>
              <w:spacing w:after="0" w:line="252" w:lineRule="auto"/>
              <w:jc w:val="center"/>
            </w:pPr>
            <w:r>
              <w:rPr>
                <w:sz w:val="18"/>
              </w:rPr>
              <w:t>-0.246 (0.030)</w:t>
            </w:r>
          </w:p>
        </w:tc>
        <w:tc>
          <w:tcPr>
            <w:tcW w:w="487" w:type="pct"/>
            <w:tcBorders>
              <w:bottom w:val="single" w:sz="4" w:space="0" w:color="auto"/>
            </w:tcBorders>
            <w:vAlign w:val="center"/>
          </w:tcPr>
          <w:p w14:paraId="04AE6167" w14:textId="19AB25FC" w:rsidR="000A4741" w:rsidRDefault="000A4741" w:rsidP="000A4741">
            <w:pPr>
              <w:spacing w:after="0" w:line="252" w:lineRule="auto"/>
              <w:jc w:val="center"/>
            </w:pPr>
            <w:r>
              <w:rPr>
                <w:sz w:val="18"/>
              </w:rPr>
              <w:t>&lt;0.001</w:t>
            </w:r>
          </w:p>
        </w:tc>
      </w:tr>
    </w:tbl>
    <w:p w14:paraId="0040AFFB" w14:textId="77777777" w:rsidR="00936262" w:rsidRDefault="00936262" w:rsidP="00123B0A">
      <w:pPr>
        <w:rPr>
          <w:b/>
          <w:bCs/>
        </w:rPr>
      </w:pPr>
    </w:p>
    <w:p w14:paraId="00D2AEE2" w14:textId="3D5AA9C4" w:rsidR="000A4741" w:rsidRPr="000A4741" w:rsidRDefault="000A4741" w:rsidP="00123B0A">
      <w:pPr>
        <w:rPr>
          <w:b/>
          <w:bCs/>
        </w:rPr>
      </w:pPr>
      <w:r>
        <w:rPr>
          <w:b/>
          <w:bCs/>
        </w:rPr>
        <w:lastRenderedPageBreak/>
        <w:t>C</w:t>
      </w:r>
      <w:r w:rsidRPr="000A4741">
        <w:rPr>
          <w:b/>
          <w:bCs/>
        </w:rPr>
        <w:t xml:space="preserve"> | Period-to-period transmission, 202</w:t>
      </w:r>
      <w:r w:rsidR="00412613">
        <w:rPr>
          <w:b/>
          <w:bCs/>
        </w:rPr>
        <w:t>1</w:t>
      </w:r>
      <w:r w:rsidRPr="000A4741">
        <w:rPr>
          <w:b/>
          <w:bCs/>
        </w:rPr>
        <w:t>–2100</w:t>
      </w:r>
      <w:r>
        <w:rPr>
          <w:b/>
          <w:bCs/>
        </w:rPr>
        <w:t xml:space="preserve"> (n = 640 r</w:t>
      </w:r>
      <w:r w:rsidRPr="000A4741">
        <w:rPr>
          <w:b/>
          <w:bCs/>
        </w:rPr>
        <w:t>egion–crop observations per storage representation</w:t>
      </w:r>
      <w:r>
        <w:rPr>
          <w:b/>
          <w:bCs/>
        </w:rPr>
        <w:t>)</w:t>
      </w:r>
    </w:p>
    <w:tbl>
      <w:tblPr>
        <w:tblW w:w="5000" w:type="pct"/>
        <w:jc w:val="center"/>
        <w:tblBorders>
          <w:top w:val="single" w:sz="6" w:space="0" w:color="6B7780"/>
          <w:left w:val="nil"/>
          <w:bottom w:val="single" w:sz="6" w:space="0" w:color="6B7780"/>
          <w:right w:val="nil"/>
          <w:insideH w:val="nil"/>
          <w:insideV w:val="nil"/>
        </w:tblBorders>
        <w:tblCellMar>
          <w:top w:w="65" w:type="dxa"/>
          <w:left w:w="60" w:type="dxa"/>
          <w:bottom w:w="65" w:type="dxa"/>
          <w:right w:w="60" w:type="dxa"/>
        </w:tblCellMar>
        <w:tblLook w:val="0420" w:firstRow="1" w:lastRow="0" w:firstColumn="0" w:lastColumn="0" w:noHBand="0" w:noVBand="1"/>
      </w:tblPr>
      <w:tblGrid>
        <w:gridCol w:w="2282"/>
        <w:gridCol w:w="1786"/>
        <w:gridCol w:w="1054"/>
        <w:gridCol w:w="1786"/>
        <w:gridCol w:w="1054"/>
        <w:gridCol w:w="1786"/>
        <w:gridCol w:w="1052"/>
      </w:tblGrid>
      <w:tr w:rsidR="000A4741" w14:paraId="4B916301" w14:textId="77777777" w:rsidTr="004C1C36">
        <w:trPr>
          <w:cantSplit/>
          <w:tblHeader/>
          <w:jc w:val="center"/>
        </w:trPr>
        <w:tc>
          <w:tcPr>
            <w:tcW w:w="1056" w:type="pct"/>
            <w:vMerge w:val="restart"/>
            <w:tcBorders>
              <w:top w:val="single" w:sz="4" w:space="0" w:color="auto"/>
            </w:tcBorders>
            <w:shd w:val="clear" w:color="auto" w:fill="E7E6E6" w:themeFill="background2"/>
            <w:vAlign w:val="center"/>
          </w:tcPr>
          <w:p w14:paraId="2D8BCE66" w14:textId="77777777" w:rsidR="000A4741" w:rsidRDefault="000A4741" w:rsidP="004C1C36">
            <w:pPr>
              <w:spacing w:after="0" w:line="252" w:lineRule="auto"/>
              <w:jc w:val="center"/>
            </w:pPr>
            <w:r>
              <w:rPr>
                <w:b/>
                <w:sz w:val="18"/>
              </w:rPr>
              <w:t>Outcome</w:t>
            </w:r>
          </w:p>
        </w:tc>
        <w:tc>
          <w:tcPr>
            <w:tcW w:w="1315" w:type="pct"/>
            <w:gridSpan w:val="2"/>
            <w:tcBorders>
              <w:top w:val="single" w:sz="4" w:space="0" w:color="auto"/>
            </w:tcBorders>
            <w:shd w:val="clear" w:color="auto" w:fill="E7E6E6" w:themeFill="background2"/>
            <w:vAlign w:val="center"/>
          </w:tcPr>
          <w:p w14:paraId="496033A1" w14:textId="28C4EAFB" w:rsidR="000A4741" w:rsidRDefault="000A4741" w:rsidP="00295ED8">
            <w:pPr>
              <w:spacing w:after="0" w:line="252" w:lineRule="auto"/>
              <w:jc w:val="center"/>
            </w:pPr>
            <w:r>
              <w:rPr>
                <w:b/>
                <w:sz w:val="18"/>
              </w:rPr>
              <w:t>Dynamic Storage</w:t>
            </w:r>
          </w:p>
        </w:tc>
        <w:tc>
          <w:tcPr>
            <w:tcW w:w="1315" w:type="pct"/>
            <w:gridSpan w:val="2"/>
            <w:tcBorders>
              <w:top w:val="single" w:sz="4" w:space="0" w:color="auto"/>
            </w:tcBorders>
            <w:shd w:val="clear" w:color="auto" w:fill="E7E6E6" w:themeFill="background2"/>
            <w:vAlign w:val="center"/>
          </w:tcPr>
          <w:p w14:paraId="23A26763" w14:textId="637C5542" w:rsidR="000A4741" w:rsidRDefault="000A4741" w:rsidP="00295ED8">
            <w:pPr>
              <w:spacing w:after="0" w:line="252" w:lineRule="auto"/>
              <w:jc w:val="center"/>
            </w:pPr>
            <w:r>
              <w:rPr>
                <w:b/>
                <w:sz w:val="18"/>
              </w:rPr>
              <w:t>Hidden Storage</w:t>
            </w:r>
          </w:p>
        </w:tc>
        <w:tc>
          <w:tcPr>
            <w:tcW w:w="1314" w:type="pct"/>
            <w:gridSpan w:val="2"/>
            <w:tcBorders>
              <w:top w:val="single" w:sz="4" w:space="0" w:color="auto"/>
            </w:tcBorders>
            <w:shd w:val="clear" w:color="auto" w:fill="E7E6E6" w:themeFill="background2"/>
            <w:vAlign w:val="center"/>
          </w:tcPr>
          <w:p w14:paraId="48B10ECB" w14:textId="33DFB8E5" w:rsidR="000A4741" w:rsidRDefault="000A4741" w:rsidP="00295ED8">
            <w:pPr>
              <w:spacing w:after="0" w:line="252" w:lineRule="auto"/>
              <w:jc w:val="center"/>
            </w:pPr>
            <w:r>
              <w:rPr>
                <w:b/>
                <w:sz w:val="18"/>
              </w:rPr>
              <w:t>Fixed-Ratio Storage</w:t>
            </w:r>
          </w:p>
        </w:tc>
      </w:tr>
      <w:tr w:rsidR="000A4741" w14:paraId="06CECBC0" w14:textId="77777777" w:rsidTr="004C1C36">
        <w:trPr>
          <w:cantSplit/>
          <w:tblHeader/>
          <w:jc w:val="center"/>
        </w:trPr>
        <w:tc>
          <w:tcPr>
            <w:tcW w:w="1056" w:type="pct"/>
            <w:vMerge/>
            <w:tcBorders>
              <w:bottom w:val="single" w:sz="4" w:space="0" w:color="auto"/>
            </w:tcBorders>
            <w:shd w:val="clear" w:color="auto" w:fill="E7E6E6" w:themeFill="background2"/>
            <w:vAlign w:val="center"/>
          </w:tcPr>
          <w:p w14:paraId="238FEE5D" w14:textId="77777777" w:rsidR="000A4741" w:rsidRDefault="000A4741" w:rsidP="004C1C36">
            <w:pPr>
              <w:spacing w:after="0" w:line="252" w:lineRule="auto"/>
              <w:jc w:val="center"/>
            </w:pPr>
          </w:p>
        </w:tc>
        <w:tc>
          <w:tcPr>
            <w:tcW w:w="827" w:type="pct"/>
            <w:tcBorders>
              <w:bottom w:val="single" w:sz="4" w:space="0" w:color="auto"/>
            </w:tcBorders>
            <w:shd w:val="clear" w:color="auto" w:fill="E7E6E6" w:themeFill="background2"/>
            <w:vAlign w:val="center"/>
          </w:tcPr>
          <w:p w14:paraId="63B826D2" w14:textId="77777777" w:rsidR="000A4741" w:rsidRDefault="000A4741" w:rsidP="004C1C36">
            <w:pPr>
              <w:spacing w:after="0" w:line="252" w:lineRule="auto"/>
              <w:jc w:val="center"/>
            </w:pPr>
            <w:r>
              <w:rPr>
                <w:b/>
                <w:sz w:val="18"/>
              </w:rPr>
              <w:t>β (SE)</w:t>
            </w:r>
          </w:p>
        </w:tc>
        <w:tc>
          <w:tcPr>
            <w:tcW w:w="488" w:type="pct"/>
            <w:tcBorders>
              <w:bottom w:val="single" w:sz="4" w:space="0" w:color="auto"/>
            </w:tcBorders>
            <w:shd w:val="clear" w:color="auto" w:fill="E7E6E6" w:themeFill="background2"/>
            <w:vAlign w:val="center"/>
          </w:tcPr>
          <w:p w14:paraId="2AB6399B" w14:textId="77777777" w:rsidR="000A4741" w:rsidRDefault="000A4741" w:rsidP="004C1C36">
            <w:pPr>
              <w:spacing w:after="0" w:line="252" w:lineRule="auto"/>
              <w:jc w:val="center"/>
            </w:pPr>
            <w:r>
              <w:rPr>
                <w:b/>
                <w:sz w:val="18"/>
              </w:rPr>
              <w:t>P</w:t>
            </w:r>
          </w:p>
        </w:tc>
        <w:tc>
          <w:tcPr>
            <w:tcW w:w="827" w:type="pct"/>
            <w:tcBorders>
              <w:bottom w:val="single" w:sz="4" w:space="0" w:color="auto"/>
            </w:tcBorders>
            <w:shd w:val="clear" w:color="auto" w:fill="E7E6E6" w:themeFill="background2"/>
            <w:vAlign w:val="center"/>
          </w:tcPr>
          <w:p w14:paraId="2BCCB7B1" w14:textId="77777777" w:rsidR="000A4741" w:rsidRDefault="000A4741" w:rsidP="004C1C36">
            <w:pPr>
              <w:spacing w:after="0" w:line="252" w:lineRule="auto"/>
              <w:jc w:val="center"/>
            </w:pPr>
            <w:r>
              <w:rPr>
                <w:b/>
                <w:sz w:val="18"/>
              </w:rPr>
              <w:t>β (SE)</w:t>
            </w:r>
          </w:p>
        </w:tc>
        <w:tc>
          <w:tcPr>
            <w:tcW w:w="488" w:type="pct"/>
            <w:tcBorders>
              <w:bottom w:val="single" w:sz="4" w:space="0" w:color="auto"/>
            </w:tcBorders>
            <w:shd w:val="clear" w:color="auto" w:fill="E7E6E6" w:themeFill="background2"/>
            <w:vAlign w:val="center"/>
          </w:tcPr>
          <w:p w14:paraId="67AFC69B" w14:textId="77777777" w:rsidR="000A4741" w:rsidRDefault="000A4741" w:rsidP="004C1C36">
            <w:pPr>
              <w:spacing w:after="0" w:line="252" w:lineRule="auto"/>
              <w:jc w:val="center"/>
            </w:pPr>
            <w:r>
              <w:rPr>
                <w:b/>
                <w:sz w:val="18"/>
              </w:rPr>
              <w:t>P</w:t>
            </w:r>
          </w:p>
        </w:tc>
        <w:tc>
          <w:tcPr>
            <w:tcW w:w="827" w:type="pct"/>
            <w:tcBorders>
              <w:bottom w:val="single" w:sz="4" w:space="0" w:color="auto"/>
            </w:tcBorders>
            <w:shd w:val="clear" w:color="auto" w:fill="E7E6E6" w:themeFill="background2"/>
            <w:vAlign w:val="center"/>
          </w:tcPr>
          <w:p w14:paraId="5D63292F" w14:textId="77777777" w:rsidR="000A4741" w:rsidRDefault="000A4741" w:rsidP="004C1C36">
            <w:pPr>
              <w:spacing w:after="0" w:line="252" w:lineRule="auto"/>
              <w:jc w:val="center"/>
            </w:pPr>
            <w:r>
              <w:rPr>
                <w:b/>
                <w:sz w:val="18"/>
              </w:rPr>
              <w:t>β (SE)</w:t>
            </w:r>
          </w:p>
        </w:tc>
        <w:tc>
          <w:tcPr>
            <w:tcW w:w="487" w:type="pct"/>
            <w:tcBorders>
              <w:bottom w:val="single" w:sz="4" w:space="0" w:color="auto"/>
            </w:tcBorders>
            <w:shd w:val="clear" w:color="auto" w:fill="E7E6E6" w:themeFill="background2"/>
            <w:vAlign w:val="center"/>
          </w:tcPr>
          <w:p w14:paraId="402FDA19" w14:textId="77777777" w:rsidR="000A4741" w:rsidRDefault="000A4741" w:rsidP="004C1C36">
            <w:pPr>
              <w:spacing w:after="0" w:line="252" w:lineRule="auto"/>
              <w:jc w:val="center"/>
            </w:pPr>
            <w:r>
              <w:rPr>
                <w:b/>
                <w:sz w:val="18"/>
              </w:rPr>
              <w:t>P</w:t>
            </w:r>
          </w:p>
        </w:tc>
      </w:tr>
      <w:tr w:rsidR="00123B0A" w14:paraId="63F7C2C4" w14:textId="77777777" w:rsidTr="00295ED8">
        <w:trPr>
          <w:cantSplit/>
          <w:trHeight w:val="288"/>
          <w:jc w:val="center"/>
        </w:trPr>
        <w:tc>
          <w:tcPr>
            <w:tcW w:w="1056" w:type="pct"/>
            <w:tcBorders>
              <w:top w:val="single" w:sz="4" w:space="0" w:color="auto"/>
            </w:tcBorders>
            <w:vAlign w:val="center"/>
          </w:tcPr>
          <w:p w14:paraId="466B2FFC" w14:textId="77777777" w:rsidR="00123B0A" w:rsidRDefault="00123B0A" w:rsidP="00123B0A">
            <w:pPr>
              <w:spacing w:after="0" w:line="252" w:lineRule="auto"/>
            </w:pPr>
            <w:r>
              <w:rPr>
                <w:sz w:val="18"/>
              </w:rPr>
              <w:t>Realized yield</w:t>
            </w:r>
          </w:p>
        </w:tc>
        <w:tc>
          <w:tcPr>
            <w:tcW w:w="827" w:type="pct"/>
            <w:tcBorders>
              <w:top w:val="single" w:sz="4" w:space="0" w:color="auto"/>
            </w:tcBorders>
            <w:vAlign w:val="center"/>
          </w:tcPr>
          <w:p w14:paraId="191CA8F8" w14:textId="43E03A42" w:rsidR="00123B0A" w:rsidRDefault="00123B0A" w:rsidP="00123B0A">
            <w:pPr>
              <w:spacing w:after="0" w:line="252" w:lineRule="auto"/>
              <w:jc w:val="center"/>
            </w:pPr>
            <w:r>
              <w:rPr>
                <w:sz w:val="18"/>
              </w:rPr>
              <w:t>0.994 (0.010)</w:t>
            </w:r>
          </w:p>
        </w:tc>
        <w:tc>
          <w:tcPr>
            <w:tcW w:w="488" w:type="pct"/>
            <w:tcBorders>
              <w:top w:val="single" w:sz="4" w:space="0" w:color="auto"/>
            </w:tcBorders>
            <w:vAlign w:val="center"/>
          </w:tcPr>
          <w:p w14:paraId="7B8B0470" w14:textId="6E033A9B" w:rsidR="00123B0A" w:rsidRDefault="00123B0A" w:rsidP="00123B0A">
            <w:pPr>
              <w:spacing w:after="0" w:line="252" w:lineRule="auto"/>
              <w:jc w:val="center"/>
            </w:pPr>
            <w:r>
              <w:rPr>
                <w:sz w:val="18"/>
              </w:rPr>
              <w:t>&lt;0.001</w:t>
            </w:r>
          </w:p>
        </w:tc>
        <w:tc>
          <w:tcPr>
            <w:tcW w:w="827" w:type="pct"/>
            <w:tcBorders>
              <w:top w:val="single" w:sz="4" w:space="0" w:color="auto"/>
            </w:tcBorders>
            <w:vAlign w:val="center"/>
          </w:tcPr>
          <w:p w14:paraId="1F362E6E" w14:textId="5C54DC8B" w:rsidR="00123B0A" w:rsidRDefault="00123B0A" w:rsidP="00123B0A">
            <w:pPr>
              <w:spacing w:after="0" w:line="252" w:lineRule="auto"/>
              <w:jc w:val="center"/>
            </w:pPr>
            <w:r>
              <w:rPr>
                <w:sz w:val="18"/>
              </w:rPr>
              <w:t>1.006 (0.010)</w:t>
            </w:r>
          </w:p>
        </w:tc>
        <w:tc>
          <w:tcPr>
            <w:tcW w:w="488" w:type="pct"/>
            <w:tcBorders>
              <w:top w:val="single" w:sz="4" w:space="0" w:color="auto"/>
            </w:tcBorders>
            <w:vAlign w:val="center"/>
          </w:tcPr>
          <w:p w14:paraId="7CA0019B" w14:textId="440D8F2D" w:rsidR="00123B0A" w:rsidRDefault="00123B0A" w:rsidP="00123B0A">
            <w:pPr>
              <w:spacing w:after="0" w:line="252" w:lineRule="auto"/>
              <w:jc w:val="center"/>
            </w:pPr>
            <w:r>
              <w:rPr>
                <w:sz w:val="18"/>
              </w:rPr>
              <w:t>&lt;0.001</w:t>
            </w:r>
          </w:p>
        </w:tc>
        <w:tc>
          <w:tcPr>
            <w:tcW w:w="827" w:type="pct"/>
            <w:tcBorders>
              <w:top w:val="single" w:sz="4" w:space="0" w:color="auto"/>
            </w:tcBorders>
            <w:vAlign w:val="center"/>
          </w:tcPr>
          <w:p w14:paraId="216A9ABC" w14:textId="7A3176AB" w:rsidR="00123B0A" w:rsidRDefault="00123B0A" w:rsidP="00123B0A">
            <w:pPr>
              <w:spacing w:after="0" w:line="252" w:lineRule="auto"/>
              <w:jc w:val="center"/>
            </w:pPr>
            <w:r>
              <w:rPr>
                <w:sz w:val="18"/>
              </w:rPr>
              <w:t>0.994 (0.010)</w:t>
            </w:r>
          </w:p>
        </w:tc>
        <w:tc>
          <w:tcPr>
            <w:tcW w:w="487" w:type="pct"/>
            <w:tcBorders>
              <w:top w:val="single" w:sz="4" w:space="0" w:color="auto"/>
            </w:tcBorders>
            <w:vAlign w:val="center"/>
          </w:tcPr>
          <w:p w14:paraId="11BEE8DB" w14:textId="3339A373" w:rsidR="00123B0A" w:rsidRDefault="00123B0A" w:rsidP="00123B0A">
            <w:pPr>
              <w:spacing w:after="0" w:line="252" w:lineRule="auto"/>
              <w:jc w:val="center"/>
            </w:pPr>
            <w:r>
              <w:rPr>
                <w:sz w:val="18"/>
              </w:rPr>
              <w:t>&lt;0.001</w:t>
            </w:r>
          </w:p>
        </w:tc>
      </w:tr>
      <w:tr w:rsidR="00123B0A" w14:paraId="374C54C8" w14:textId="77777777" w:rsidTr="00295ED8">
        <w:trPr>
          <w:cantSplit/>
          <w:trHeight w:val="288"/>
          <w:jc w:val="center"/>
        </w:trPr>
        <w:tc>
          <w:tcPr>
            <w:tcW w:w="1056" w:type="pct"/>
            <w:vAlign w:val="center"/>
          </w:tcPr>
          <w:p w14:paraId="32F7D5A9" w14:textId="77777777" w:rsidR="00123B0A" w:rsidRDefault="00123B0A" w:rsidP="00123B0A">
            <w:pPr>
              <w:spacing w:after="0" w:line="252" w:lineRule="auto"/>
            </w:pPr>
            <w:r>
              <w:rPr>
                <w:sz w:val="18"/>
              </w:rPr>
              <w:t>Area harvested</w:t>
            </w:r>
          </w:p>
        </w:tc>
        <w:tc>
          <w:tcPr>
            <w:tcW w:w="827" w:type="pct"/>
            <w:vAlign w:val="center"/>
          </w:tcPr>
          <w:p w14:paraId="68CC82EB" w14:textId="4C6F5619" w:rsidR="00123B0A" w:rsidRDefault="00123B0A" w:rsidP="00123B0A">
            <w:pPr>
              <w:spacing w:after="0" w:line="252" w:lineRule="auto"/>
              <w:jc w:val="center"/>
            </w:pPr>
            <w:r>
              <w:rPr>
                <w:sz w:val="18"/>
              </w:rPr>
              <w:t>-0.365 (0.017)</w:t>
            </w:r>
          </w:p>
        </w:tc>
        <w:tc>
          <w:tcPr>
            <w:tcW w:w="488" w:type="pct"/>
            <w:vAlign w:val="center"/>
          </w:tcPr>
          <w:p w14:paraId="08C75900" w14:textId="4936B04F" w:rsidR="00123B0A" w:rsidRDefault="00123B0A" w:rsidP="00123B0A">
            <w:pPr>
              <w:spacing w:after="0" w:line="252" w:lineRule="auto"/>
              <w:jc w:val="center"/>
            </w:pPr>
            <w:r>
              <w:rPr>
                <w:sz w:val="18"/>
              </w:rPr>
              <w:t>&lt;0.001</w:t>
            </w:r>
          </w:p>
        </w:tc>
        <w:tc>
          <w:tcPr>
            <w:tcW w:w="827" w:type="pct"/>
            <w:vAlign w:val="center"/>
          </w:tcPr>
          <w:p w14:paraId="62AE107E" w14:textId="480E4BD5" w:rsidR="00123B0A" w:rsidRDefault="00123B0A" w:rsidP="00123B0A">
            <w:pPr>
              <w:spacing w:after="0" w:line="252" w:lineRule="auto"/>
              <w:jc w:val="center"/>
            </w:pPr>
            <w:r>
              <w:rPr>
                <w:sz w:val="18"/>
              </w:rPr>
              <w:t>-0.468 (0.015)</w:t>
            </w:r>
          </w:p>
        </w:tc>
        <w:tc>
          <w:tcPr>
            <w:tcW w:w="488" w:type="pct"/>
            <w:vAlign w:val="center"/>
          </w:tcPr>
          <w:p w14:paraId="4ABB9427" w14:textId="350F0B70" w:rsidR="00123B0A" w:rsidRDefault="00123B0A" w:rsidP="00123B0A">
            <w:pPr>
              <w:spacing w:after="0" w:line="252" w:lineRule="auto"/>
              <w:jc w:val="center"/>
            </w:pPr>
            <w:r>
              <w:rPr>
                <w:sz w:val="18"/>
              </w:rPr>
              <w:t>&lt;0.001</w:t>
            </w:r>
          </w:p>
        </w:tc>
        <w:tc>
          <w:tcPr>
            <w:tcW w:w="827" w:type="pct"/>
            <w:vAlign w:val="center"/>
          </w:tcPr>
          <w:p w14:paraId="192F88F7" w14:textId="54D99E76" w:rsidR="00123B0A" w:rsidRDefault="00123B0A" w:rsidP="00123B0A">
            <w:pPr>
              <w:spacing w:after="0" w:line="252" w:lineRule="auto"/>
              <w:jc w:val="center"/>
            </w:pPr>
            <w:r>
              <w:rPr>
                <w:sz w:val="18"/>
              </w:rPr>
              <w:t>-0.399 (0.016)</w:t>
            </w:r>
          </w:p>
        </w:tc>
        <w:tc>
          <w:tcPr>
            <w:tcW w:w="487" w:type="pct"/>
            <w:vAlign w:val="center"/>
          </w:tcPr>
          <w:p w14:paraId="4FA63BAE" w14:textId="2BA41CE1" w:rsidR="00123B0A" w:rsidRDefault="00123B0A" w:rsidP="00123B0A">
            <w:pPr>
              <w:spacing w:after="0" w:line="252" w:lineRule="auto"/>
              <w:jc w:val="center"/>
            </w:pPr>
            <w:r>
              <w:rPr>
                <w:sz w:val="18"/>
              </w:rPr>
              <w:t>&lt;0.001</w:t>
            </w:r>
          </w:p>
        </w:tc>
      </w:tr>
      <w:tr w:rsidR="00123B0A" w14:paraId="7B0D8E35" w14:textId="77777777" w:rsidTr="00295ED8">
        <w:trPr>
          <w:cantSplit/>
          <w:trHeight w:val="288"/>
          <w:jc w:val="center"/>
        </w:trPr>
        <w:tc>
          <w:tcPr>
            <w:tcW w:w="1056" w:type="pct"/>
            <w:vAlign w:val="center"/>
          </w:tcPr>
          <w:p w14:paraId="065D5CF1" w14:textId="77777777" w:rsidR="00123B0A" w:rsidRDefault="00123B0A" w:rsidP="00123B0A">
            <w:pPr>
              <w:spacing w:after="0" w:line="252" w:lineRule="auto"/>
            </w:pPr>
            <w:r>
              <w:rPr>
                <w:sz w:val="18"/>
              </w:rPr>
              <w:t>Production</w:t>
            </w:r>
          </w:p>
        </w:tc>
        <w:tc>
          <w:tcPr>
            <w:tcW w:w="827" w:type="pct"/>
            <w:vAlign w:val="center"/>
          </w:tcPr>
          <w:p w14:paraId="46C34CB0" w14:textId="33115FD9" w:rsidR="00123B0A" w:rsidRDefault="00123B0A" w:rsidP="00123B0A">
            <w:pPr>
              <w:spacing w:after="0" w:line="252" w:lineRule="auto"/>
              <w:jc w:val="center"/>
            </w:pPr>
            <w:r>
              <w:rPr>
                <w:sz w:val="18"/>
              </w:rPr>
              <w:t>0.629 (0.017)</w:t>
            </w:r>
          </w:p>
        </w:tc>
        <w:tc>
          <w:tcPr>
            <w:tcW w:w="488" w:type="pct"/>
            <w:vAlign w:val="center"/>
          </w:tcPr>
          <w:p w14:paraId="4D61CC2F" w14:textId="0017DACB" w:rsidR="00123B0A" w:rsidRDefault="00123B0A" w:rsidP="00123B0A">
            <w:pPr>
              <w:spacing w:after="0" w:line="252" w:lineRule="auto"/>
              <w:jc w:val="center"/>
            </w:pPr>
            <w:r>
              <w:rPr>
                <w:sz w:val="18"/>
              </w:rPr>
              <w:t>&lt;0.001</w:t>
            </w:r>
          </w:p>
        </w:tc>
        <w:tc>
          <w:tcPr>
            <w:tcW w:w="827" w:type="pct"/>
            <w:vAlign w:val="center"/>
          </w:tcPr>
          <w:p w14:paraId="3BE31585" w14:textId="3672D8F5" w:rsidR="00123B0A" w:rsidRDefault="00123B0A" w:rsidP="00123B0A">
            <w:pPr>
              <w:spacing w:after="0" w:line="252" w:lineRule="auto"/>
              <w:jc w:val="center"/>
            </w:pPr>
            <w:r>
              <w:rPr>
                <w:sz w:val="18"/>
              </w:rPr>
              <w:t>0.538 (0.013)</w:t>
            </w:r>
          </w:p>
        </w:tc>
        <w:tc>
          <w:tcPr>
            <w:tcW w:w="488" w:type="pct"/>
            <w:vAlign w:val="center"/>
          </w:tcPr>
          <w:p w14:paraId="11BD5F1E" w14:textId="077A4BEE" w:rsidR="00123B0A" w:rsidRDefault="00123B0A" w:rsidP="00123B0A">
            <w:pPr>
              <w:spacing w:after="0" w:line="252" w:lineRule="auto"/>
              <w:jc w:val="center"/>
            </w:pPr>
            <w:r>
              <w:rPr>
                <w:sz w:val="18"/>
              </w:rPr>
              <w:t>&lt;0.001</w:t>
            </w:r>
          </w:p>
        </w:tc>
        <w:tc>
          <w:tcPr>
            <w:tcW w:w="827" w:type="pct"/>
            <w:vAlign w:val="center"/>
          </w:tcPr>
          <w:p w14:paraId="28F6C689" w14:textId="496718AB" w:rsidR="00123B0A" w:rsidRDefault="00123B0A" w:rsidP="00123B0A">
            <w:pPr>
              <w:spacing w:after="0" w:line="252" w:lineRule="auto"/>
              <w:jc w:val="center"/>
            </w:pPr>
            <w:r>
              <w:rPr>
                <w:sz w:val="18"/>
              </w:rPr>
              <w:t>0.596 (0.016)</w:t>
            </w:r>
          </w:p>
        </w:tc>
        <w:tc>
          <w:tcPr>
            <w:tcW w:w="487" w:type="pct"/>
            <w:vAlign w:val="center"/>
          </w:tcPr>
          <w:p w14:paraId="1E2B37EF" w14:textId="5253187D" w:rsidR="00123B0A" w:rsidRDefault="00123B0A" w:rsidP="00123B0A">
            <w:pPr>
              <w:spacing w:after="0" w:line="252" w:lineRule="auto"/>
              <w:jc w:val="center"/>
            </w:pPr>
            <w:r>
              <w:rPr>
                <w:sz w:val="18"/>
              </w:rPr>
              <w:t>&lt;0.001</w:t>
            </w:r>
          </w:p>
        </w:tc>
      </w:tr>
      <w:tr w:rsidR="00123B0A" w14:paraId="35012DC6" w14:textId="77777777" w:rsidTr="00295ED8">
        <w:trPr>
          <w:cantSplit/>
          <w:trHeight w:val="288"/>
          <w:jc w:val="center"/>
        </w:trPr>
        <w:tc>
          <w:tcPr>
            <w:tcW w:w="1056" w:type="pct"/>
            <w:vAlign w:val="center"/>
          </w:tcPr>
          <w:p w14:paraId="521584E8" w14:textId="77777777" w:rsidR="00123B0A" w:rsidRDefault="00123B0A" w:rsidP="00123B0A">
            <w:pPr>
              <w:spacing w:after="0" w:line="252" w:lineRule="auto"/>
            </w:pPr>
            <w:r>
              <w:rPr>
                <w:sz w:val="18"/>
              </w:rPr>
              <w:t>Exports</w:t>
            </w:r>
          </w:p>
        </w:tc>
        <w:tc>
          <w:tcPr>
            <w:tcW w:w="827" w:type="pct"/>
            <w:vAlign w:val="center"/>
          </w:tcPr>
          <w:p w14:paraId="1E98A9A6" w14:textId="0D3578CD" w:rsidR="00123B0A" w:rsidRDefault="00123B0A" w:rsidP="00123B0A">
            <w:pPr>
              <w:spacing w:after="0" w:line="252" w:lineRule="auto"/>
              <w:jc w:val="center"/>
            </w:pPr>
            <w:r>
              <w:rPr>
                <w:sz w:val="18"/>
              </w:rPr>
              <w:t>0.891 (0.032)</w:t>
            </w:r>
          </w:p>
        </w:tc>
        <w:tc>
          <w:tcPr>
            <w:tcW w:w="488" w:type="pct"/>
            <w:vAlign w:val="center"/>
          </w:tcPr>
          <w:p w14:paraId="61B11853" w14:textId="4B6F5E54" w:rsidR="00123B0A" w:rsidRDefault="00123B0A" w:rsidP="00123B0A">
            <w:pPr>
              <w:spacing w:after="0" w:line="252" w:lineRule="auto"/>
              <w:jc w:val="center"/>
            </w:pPr>
            <w:r>
              <w:rPr>
                <w:sz w:val="18"/>
              </w:rPr>
              <w:t>&lt;0.001</w:t>
            </w:r>
          </w:p>
        </w:tc>
        <w:tc>
          <w:tcPr>
            <w:tcW w:w="827" w:type="pct"/>
            <w:vAlign w:val="center"/>
          </w:tcPr>
          <w:p w14:paraId="61FF0BE1" w14:textId="51589581" w:rsidR="00123B0A" w:rsidRDefault="00123B0A" w:rsidP="00123B0A">
            <w:pPr>
              <w:spacing w:after="0" w:line="252" w:lineRule="auto"/>
              <w:jc w:val="center"/>
            </w:pPr>
            <w:r>
              <w:rPr>
                <w:sz w:val="18"/>
              </w:rPr>
              <w:t>1.065 (0.040)</w:t>
            </w:r>
          </w:p>
        </w:tc>
        <w:tc>
          <w:tcPr>
            <w:tcW w:w="488" w:type="pct"/>
            <w:vAlign w:val="center"/>
          </w:tcPr>
          <w:p w14:paraId="1077ADE1" w14:textId="2A911134" w:rsidR="00123B0A" w:rsidRDefault="00123B0A" w:rsidP="00123B0A">
            <w:pPr>
              <w:spacing w:after="0" w:line="252" w:lineRule="auto"/>
              <w:jc w:val="center"/>
            </w:pPr>
            <w:r>
              <w:rPr>
                <w:sz w:val="18"/>
              </w:rPr>
              <w:t>&lt;0.001</w:t>
            </w:r>
          </w:p>
        </w:tc>
        <w:tc>
          <w:tcPr>
            <w:tcW w:w="827" w:type="pct"/>
            <w:vAlign w:val="center"/>
          </w:tcPr>
          <w:p w14:paraId="5A563CDF" w14:textId="35CD0C1B" w:rsidR="00123B0A" w:rsidRDefault="00123B0A" w:rsidP="00123B0A">
            <w:pPr>
              <w:spacing w:after="0" w:line="252" w:lineRule="auto"/>
              <w:jc w:val="center"/>
            </w:pPr>
            <w:r>
              <w:rPr>
                <w:sz w:val="18"/>
              </w:rPr>
              <w:t>0.981 (0.036)</w:t>
            </w:r>
          </w:p>
        </w:tc>
        <w:tc>
          <w:tcPr>
            <w:tcW w:w="487" w:type="pct"/>
            <w:vAlign w:val="center"/>
          </w:tcPr>
          <w:p w14:paraId="396A1054" w14:textId="0763407F" w:rsidR="00123B0A" w:rsidRDefault="00123B0A" w:rsidP="00123B0A">
            <w:pPr>
              <w:spacing w:after="0" w:line="252" w:lineRule="auto"/>
              <w:jc w:val="center"/>
            </w:pPr>
            <w:r>
              <w:rPr>
                <w:sz w:val="18"/>
              </w:rPr>
              <w:t>&lt;0.001</w:t>
            </w:r>
          </w:p>
        </w:tc>
      </w:tr>
      <w:tr w:rsidR="00123B0A" w14:paraId="2011B800" w14:textId="77777777" w:rsidTr="00295ED8">
        <w:trPr>
          <w:cantSplit/>
          <w:trHeight w:val="288"/>
          <w:jc w:val="center"/>
        </w:trPr>
        <w:tc>
          <w:tcPr>
            <w:tcW w:w="1056" w:type="pct"/>
            <w:vAlign w:val="center"/>
          </w:tcPr>
          <w:p w14:paraId="0945D4CF" w14:textId="77777777" w:rsidR="00123B0A" w:rsidRPr="000A4741" w:rsidRDefault="00123B0A" w:rsidP="00123B0A">
            <w:pPr>
              <w:spacing w:after="0" w:line="252" w:lineRule="auto"/>
              <w:rPr>
                <w:b/>
              </w:rPr>
            </w:pPr>
            <w:r w:rsidRPr="000A4741">
              <w:rPr>
                <w:b/>
                <w:sz w:val="18"/>
              </w:rPr>
              <w:t>Closing stocks</w:t>
            </w:r>
          </w:p>
        </w:tc>
        <w:tc>
          <w:tcPr>
            <w:tcW w:w="827" w:type="pct"/>
            <w:vAlign w:val="center"/>
          </w:tcPr>
          <w:p w14:paraId="5701AE70" w14:textId="7E5B4A8C" w:rsidR="00123B0A" w:rsidRPr="00123B0A" w:rsidRDefault="00123B0A" w:rsidP="00123B0A">
            <w:pPr>
              <w:spacing w:after="0" w:line="252" w:lineRule="auto"/>
              <w:jc w:val="center"/>
              <w:rPr>
                <w:b/>
                <w:bCs/>
              </w:rPr>
            </w:pPr>
            <w:r w:rsidRPr="00123B0A">
              <w:rPr>
                <w:b/>
                <w:bCs/>
                <w:sz w:val="18"/>
              </w:rPr>
              <w:t>0.184 (0.011)</w:t>
            </w:r>
          </w:p>
        </w:tc>
        <w:tc>
          <w:tcPr>
            <w:tcW w:w="488" w:type="pct"/>
            <w:vAlign w:val="center"/>
          </w:tcPr>
          <w:p w14:paraId="768DE317" w14:textId="54FDE948" w:rsidR="00123B0A" w:rsidRPr="00123B0A" w:rsidRDefault="00123B0A" w:rsidP="00123B0A">
            <w:pPr>
              <w:spacing w:after="0" w:line="252" w:lineRule="auto"/>
              <w:jc w:val="center"/>
              <w:rPr>
                <w:b/>
                <w:bCs/>
              </w:rPr>
            </w:pPr>
            <w:r w:rsidRPr="00123B0A">
              <w:rPr>
                <w:b/>
                <w:bCs/>
                <w:sz w:val="18"/>
              </w:rPr>
              <w:t>&lt;0.001</w:t>
            </w:r>
          </w:p>
        </w:tc>
        <w:tc>
          <w:tcPr>
            <w:tcW w:w="827" w:type="pct"/>
            <w:vAlign w:val="center"/>
          </w:tcPr>
          <w:p w14:paraId="3C4DD27B" w14:textId="7B67DB4C" w:rsidR="00123B0A" w:rsidRPr="00123B0A" w:rsidRDefault="00123B0A" w:rsidP="00123B0A">
            <w:pPr>
              <w:spacing w:after="0" w:line="252" w:lineRule="auto"/>
              <w:jc w:val="center"/>
              <w:rPr>
                <w:b/>
                <w:bCs/>
              </w:rPr>
            </w:pPr>
            <w:r w:rsidRPr="00123B0A">
              <w:rPr>
                <w:b/>
                <w:bCs/>
                <w:sz w:val="18"/>
              </w:rPr>
              <w:t>—</w:t>
            </w:r>
          </w:p>
        </w:tc>
        <w:tc>
          <w:tcPr>
            <w:tcW w:w="488" w:type="pct"/>
            <w:vAlign w:val="center"/>
          </w:tcPr>
          <w:p w14:paraId="10908C88" w14:textId="08A33F59" w:rsidR="00123B0A" w:rsidRPr="00123B0A" w:rsidRDefault="00123B0A" w:rsidP="00123B0A">
            <w:pPr>
              <w:spacing w:after="0" w:line="252" w:lineRule="auto"/>
              <w:jc w:val="center"/>
              <w:rPr>
                <w:b/>
                <w:bCs/>
                <w:vertAlign w:val="subscript"/>
              </w:rPr>
            </w:pPr>
            <w:r w:rsidRPr="00123B0A">
              <w:rPr>
                <w:b/>
                <w:bCs/>
                <w:sz w:val="18"/>
              </w:rPr>
              <w:t>—</w:t>
            </w:r>
          </w:p>
        </w:tc>
        <w:tc>
          <w:tcPr>
            <w:tcW w:w="827" w:type="pct"/>
            <w:vAlign w:val="center"/>
          </w:tcPr>
          <w:p w14:paraId="146BFAB3" w14:textId="22279609" w:rsidR="00123B0A" w:rsidRPr="00123B0A" w:rsidRDefault="00123B0A" w:rsidP="00123B0A">
            <w:pPr>
              <w:spacing w:after="0" w:line="252" w:lineRule="auto"/>
              <w:jc w:val="center"/>
              <w:rPr>
                <w:b/>
                <w:bCs/>
              </w:rPr>
            </w:pPr>
            <w:r w:rsidRPr="00123B0A">
              <w:rPr>
                <w:b/>
                <w:bCs/>
                <w:sz w:val="18"/>
              </w:rPr>
              <w:t>0.039 (0.003)</w:t>
            </w:r>
          </w:p>
        </w:tc>
        <w:tc>
          <w:tcPr>
            <w:tcW w:w="487" w:type="pct"/>
            <w:vAlign w:val="center"/>
          </w:tcPr>
          <w:p w14:paraId="0D7D6ED6" w14:textId="7A1250BA" w:rsidR="00123B0A" w:rsidRPr="00123B0A" w:rsidRDefault="00123B0A" w:rsidP="00123B0A">
            <w:pPr>
              <w:spacing w:after="0" w:line="252" w:lineRule="auto"/>
              <w:jc w:val="center"/>
              <w:rPr>
                <w:b/>
                <w:bCs/>
              </w:rPr>
            </w:pPr>
            <w:r w:rsidRPr="00123B0A">
              <w:rPr>
                <w:b/>
                <w:bCs/>
                <w:sz w:val="18"/>
              </w:rPr>
              <w:t>&lt;0.001</w:t>
            </w:r>
          </w:p>
        </w:tc>
      </w:tr>
      <w:tr w:rsidR="00123B0A" w14:paraId="56062969" w14:textId="77777777" w:rsidTr="00295ED8">
        <w:trPr>
          <w:cantSplit/>
          <w:trHeight w:val="288"/>
          <w:jc w:val="center"/>
        </w:trPr>
        <w:tc>
          <w:tcPr>
            <w:tcW w:w="1056" w:type="pct"/>
            <w:vAlign w:val="center"/>
          </w:tcPr>
          <w:p w14:paraId="62CC8A93" w14:textId="77777777" w:rsidR="00123B0A" w:rsidRDefault="00123B0A" w:rsidP="00123B0A">
            <w:pPr>
              <w:spacing w:after="0" w:line="252" w:lineRule="auto"/>
            </w:pPr>
            <w:r>
              <w:rPr>
                <w:sz w:val="18"/>
              </w:rPr>
              <w:t>Imports</w:t>
            </w:r>
          </w:p>
        </w:tc>
        <w:tc>
          <w:tcPr>
            <w:tcW w:w="827" w:type="pct"/>
            <w:vAlign w:val="center"/>
          </w:tcPr>
          <w:p w14:paraId="5BED1A8B" w14:textId="17DECD0F" w:rsidR="00123B0A" w:rsidRDefault="00123B0A" w:rsidP="00123B0A">
            <w:pPr>
              <w:spacing w:after="0" w:line="252" w:lineRule="auto"/>
              <w:jc w:val="center"/>
            </w:pPr>
            <w:r>
              <w:rPr>
                <w:sz w:val="18"/>
              </w:rPr>
              <w:t>-0.096 (0.011)</w:t>
            </w:r>
          </w:p>
        </w:tc>
        <w:tc>
          <w:tcPr>
            <w:tcW w:w="488" w:type="pct"/>
            <w:vAlign w:val="center"/>
          </w:tcPr>
          <w:p w14:paraId="32202AFA" w14:textId="56C0CA09" w:rsidR="00123B0A" w:rsidRDefault="00123B0A" w:rsidP="00123B0A">
            <w:pPr>
              <w:spacing w:after="0" w:line="252" w:lineRule="auto"/>
              <w:jc w:val="center"/>
            </w:pPr>
            <w:r>
              <w:rPr>
                <w:sz w:val="18"/>
              </w:rPr>
              <w:t>&lt;0.001</w:t>
            </w:r>
          </w:p>
        </w:tc>
        <w:tc>
          <w:tcPr>
            <w:tcW w:w="827" w:type="pct"/>
            <w:vAlign w:val="center"/>
          </w:tcPr>
          <w:p w14:paraId="171D828D" w14:textId="33B6800F" w:rsidR="00123B0A" w:rsidRDefault="00123B0A" w:rsidP="00123B0A">
            <w:pPr>
              <w:spacing w:after="0" w:line="252" w:lineRule="auto"/>
              <w:jc w:val="center"/>
            </w:pPr>
            <w:r>
              <w:rPr>
                <w:sz w:val="18"/>
              </w:rPr>
              <w:t>-0.118 (0.012)</w:t>
            </w:r>
          </w:p>
        </w:tc>
        <w:tc>
          <w:tcPr>
            <w:tcW w:w="488" w:type="pct"/>
            <w:vAlign w:val="center"/>
          </w:tcPr>
          <w:p w14:paraId="62262ADF" w14:textId="04289CA7" w:rsidR="00123B0A" w:rsidRDefault="00123B0A" w:rsidP="00123B0A">
            <w:pPr>
              <w:spacing w:after="0" w:line="252" w:lineRule="auto"/>
              <w:jc w:val="center"/>
            </w:pPr>
            <w:r>
              <w:rPr>
                <w:sz w:val="18"/>
              </w:rPr>
              <w:t>&lt;0.001</w:t>
            </w:r>
          </w:p>
        </w:tc>
        <w:tc>
          <w:tcPr>
            <w:tcW w:w="827" w:type="pct"/>
            <w:vAlign w:val="center"/>
          </w:tcPr>
          <w:p w14:paraId="6D478A12" w14:textId="35D01B56" w:rsidR="00123B0A" w:rsidRDefault="00123B0A" w:rsidP="00123B0A">
            <w:pPr>
              <w:spacing w:after="0" w:line="252" w:lineRule="auto"/>
              <w:jc w:val="center"/>
            </w:pPr>
            <w:r>
              <w:rPr>
                <w:sz w:val="18"/>
              </w:rPr>
              <w:t>-0.129 (0.012)</w:t>
            </w:r>
          </w:p>
        </w:tc>
        <w:tc>
          <w:tcPr>
            <w:tcW w:w="487" w:type="pct"/>
            <w:vAlign w:val="center"/>
          </w:tcPr>
          <w:p w14:paraId="6C88C54E" w14:textId="4E1F5B0F" w:rsidR="00123B0A" w:rsidRDefault="00123B0A" w:rsidP="00123B0A">
            <w:pPr>
              <w:spacing w:after="0" w:line="252" w:lineRule="auto"/>
              <w:jc w:val="center"/>
            </w:pPr>
            <w:r>
              <w:rPr>
                <w:sz w:val="18"/>
              </w:rPr>
              <w:t>&lt;0.001</w:t>
            </w:r>
          </w:p>
        </w:tc>
      </w:tr>
      <w:tr w:rsidR="00123B0A" w14:paraId="62BD7820" w14:textId="77777777" w:rsidTr="00295ED8">
        <w:trPr>
          <w:cantSplit/>
          <w:trHeight w:val="288"/>
          <w:jc w:val="center"/>
        </w:trPr>
        <w:tc>
          <w:tcPr>
            <w:tcW w:w="1056" w:type="pct"/>
            <w:vAlign w:val="center"/>
          </w:tcPr>
          <w:p w14:paraId="456F8686" w14:textId="77777777" w:rsidR="00123B0A" w:rsidRDefault="00123B0A" w:rsidP="00123B0A">
            <w:pPr>
              <w:spacing w:after="0" w:line="252" w:lineRule="auto"/>
            </w:pPr>
            <w:r>
              <w:rPr>
                <w:sz w:val="18"/>
              </w:rPr>
              <w:t>Consumption</w:t>
            </w:r>
          </w:p>
        </w:tc>
        <w:tc>
          <w:tcPr>
            <w:tcW w:w="827" w:type="pct"/>
            <w:vAlign w:val="center"/>
          </w:tcPr>
          <w:p w14:paraId="6288934D" w14:textId="119593D9" w:rsidR="00123B0A" w:rsidRDefault="00123B0A" w:rsidP="00123B0A">
            <w:pPr>
              <w:spacing w:after="0" w:line="252" w:lineRule="auto"/>
              <w:jc w:val="center"/>
            </w:pPr>
            <w:r>
              <w:rPr>
                <w:sz w:val="18"/>
              </w:rPr>
              <w:t>0.031 (0.004)</w:t>
            </w:r>
          </w:p>
        </w:tc>
        <w:tc>
          <w:tcPr>
            <w:tcW w:w="488" w:type="pct"/>
            <w:vAlign w:val="center"/>
          </w:tcPr>
          <w:p w14:paraId="2C87DBE6" w14:textId="1A9C6210" w:rsidR="00123B0A" w:rsidRDefault="00123B0A" w:rsidP="00123B0A">
            <w:pPr>
              <w:spacing w:after="0" w:line="252" w:lineRule="auto"/>
              <w:jc w:val="center"/>
            </w:pPr>
            <w:r>
              <w:rPr>
                <w:sz w:val="18"/>
              </w:rPr>
              <w:t>&lt;0.001</w:t>
            </w:r>
          </w:p>
        </w:tc>
        <w:tc>
          <w:tcPr>
            <w:tcW w:w="827" w:type="pct"/>
            <w:vAlign w:val="center"/>
          </w:tcPr>
          <w:p w14:paraId="730BC1BF" w14:textId="25E29EBF" w:rsidR="00123B0A" w:rsidRDefault="00123B0A" w:rsidP="00123B0A">
            <w:pPr>
              <w:spacing w:after="0" w:line="252" w:lineRule="auto"/>
              <w:jc w:val="center"/>
            </w:pPr>
            <w:r>
              <w:rPr>
                <w:sz w:val="18"/>
              </w:rPr>
              <w:t>0.034 (0.005)</w:t>
            </w:r>
          </w:p>
        </w:tc>
        <w:tc>
          <w:tcPr>
            <w:tcW w:w="488" w:type="pct"/>
            <w:vAlign w:val="center"/>
          </w:tcPr>
          <w:p w14:paraId="2514A942" w14:textId="0B134669" w:rsidR="00123B0A" w:rsidRDefault="00123B0A" w:rsidP="00123B0A">
            <w:pPr>
              <w:spacing w:after="0" w:line="252" w:lineRule="auto"/>
              <w:jc w:val="center"/>
            </w:pPr>
            <w:r>
              <w:rPr>
                <w:sz w:val="18"/>
              </w:rPr>
              <w:t>&lt;0.001</w:t>
            </w:r>
          </w:p>
        </w:tc>
        <w:tc>
          <w:tcPr>
            <w:tcW w:w="827" w:type="pct"/>
            <w:vAlign w:val="center"/>
          </w:tcPr>
          <w:p w14:paraId="24AE1FF8" w14:textId="52085958" w:rsidR="00123B0A" w:rsidRDefault="00123B0A" w:rsidP="00123B0A">
            <w:pPr>
              <w:spacing w:after="0" w:line="252" w:lineRule="auto"/>
              <w:jc w:val="center"/>
            </w:pPr>
            <w:r>
              <w:rPr>
                <w:sz w:val="18"/>
              </w:rPr>
              <w:t>0.038 (0.004)</w:t>
            </w:r>
          </w:p>
        </w:tc>
        <w:tc>
          <w:tcPr>
            <w:tcW w:w="487" w:type="pct"/>
            <w:vAlign w:val="center"/>
          </w:tcPr>
          <w:p w14:paraId="470D4283" w14:textId="49A48399" w:rsidR="00123B0A" w:rsidRDefault="00123B0A" w:rsidP="00123B0A">
            <w:pPr>
              <w:spacing w:after="0" w:line="252" w:lineRule="auto"/>
              <w:jc w:val="center"/>
            </w:pPr>
            <w:r>
              <w:rPr>
                <w:sz w:val="18"/>
              </w:rPr>
              <w:t>&lt;0.001</w:t>
            </w:r>
          </w:p>
        </w:tc>
      </w:tr>
      <w:tr w:rsidR="00123B0A" w14:paraId="2ED84663" w14:textId="77777777" w:rsidTr="00295ED8">
        <w:trPr>
          <w:cantSplit/>
          <w:trHeight w:val="288"/>
          <w:jc w:val="center"/>
        </w:trPr>
        <w:tc>
          <w:tcPr>
            <w:tcW w:w="1056" w:type="pct"/>
            <w:tcBorders>
              <w:bottom w:val="single" w:sz="4" w:space="0" w:color="auto"/>
            </w:tcBorders>
            <w:vAlign w:val="center"/>
          </w:tcPr>
          <w:p w14:paraId="19B649FB" w14:textId="77777777" w:rsidR="00123B0A" w:rsidRDefault="00123B0A" w:rsidP="00123B0A">
            <w:pPr>
              <w:spacing w:after="0" w:line="252" w:lineRule="auto"/>
            </w:pPr>
            <w:r>
              <w:rPr>
                <w:sz w:val="18"/>
              </w:rPr>
              <w:t>Producer price</w:t>
            </w:r>
          </w:p>
        </w:tc>
        <w:tc>
          <w:tcPr>
            <w:tcW w:w="827" w:type="pct"/>
            <w:tcBorders>
              <w:bottom w:val="single" w:sz="4" w:space="0" w:color="auto"/>
            </w:tcBorders>
            <w:vAlign w:val="center"/>
          </w:tcPr>
          <w:p w14:paraId="0140DA4F" w14:textId="48158319" w:rsidR="00123B0A" w:rsidRDefault="00123B0A" w:rsidP="00123B0A">
            <w:pPr>
              <w:spacing w:after="0" w:line="252" w:lineRule="auto"/>
              <w:jc w:val="center"/>
            </w:pPr>
            <w:r>
              <w:rPr>
                <w:sz w:val="18"/>
              </w:rPr>
              <w:t>-0.212 (0.006)</w:t>
            </w:r>
          </w:p>
        </w:tc>
        <w:tc>
          <w:tcPr>
            <w:tcW w:w="488" w:type="pct"/>
            <w:tcBorders>
              <w:bottom w:val="single" w:sz="4" w:space="0" w:color="auto"/>
            </w:tcBorders>
            <w:vAlign w:val="center"/>
          </w:tcPr>
          <w:p w14:paraId="3003BE0D" w14:textId="20B82782" w:rsidR="00123B0A" w:rsidRDefault="00123B0A" w:rsidP="00123B0A">
            <w:pPr>
              <w:spacing w:after="0" w:line="252" w:lineRule="auto"/>
              <w:jc w:val="center"/>
            </w:pPr>
            <w:r>
              <w:rPr>
                <w:sz w:val="18"/>
              </w:rPr>
              <w:t>&lt;0.001</w:t>
            </w:r>
          </w:p>
        </w:tc>
        <w:tc>
          <w:tcPr>
            <w:tcW w:w="827" w:type="pct"/>
            <w:tcBorders>
              <w:bottom w:val="single" w:sz="4" w:space="0" w:color="auto"/>
            </w:tcBorders>
            <w:vAlign w:val="center"/>
          </w:tcPr>
          <w:p w14:paraId="1A9EB8CA" w14:textId="7EC8751F" w:rsidR="00123B0A" w:rsidRDefault="00123B0A" w:rsidP="00123B0A">
            <w:pPr>
              <w:spacing w:after="0" w:line="252" w:lineRule="auto"/>
              <w:jc w:val="center"/>
            </w:pPr>
            <w:r>
              <w:rPr>
                <w:sz w:val="18"/>
              </w:rPr>
              <w:t>-0.267 (0.008)</w:t>
            </w:r>
          </w:p>
        </w:tc>
        <w:tc>
          <w:tcPr>
            <w:tcW w:w="488" w:type="pct"/>
            <w:tcBorders>
              <w:bottom w:val="single" w:sz="4" w:space="0" w:color="auto"/>
            </w:tcBorders>
            <w:vAlign w:val="center"/>
          </w:tcPr>
          <w:p w14:paraId="5623E7F9" w14:textId="65A79F82" w:rsidR="00123B0A" w:rsidRDefault="00123B0A" w:rsidP="00123B0A">
            <w:pPr>
              <w:spacing w:after="0" w:line="252" w:lineRule="auto"/>
              <w:jc w:val="center"/>
            </w:pPr>
            <w:r>
              <w:rPr>
                <w:sz w:val="18"/>
              </w:rPr>
              <w:t>&lt;0.001</w:t>
            </w:r>
          </w:p>
        </w:tc>
        <w:tc>
          <w:tcPr>
            <w:tcW w:w="827" w:type="pct"/>
            <w:tcBorders>
              <w:bottom w:val="single" w:sz="4" w:space="0" w:color="auto"/>
            </w:tcBorders>
            <w:vAlign w:val="center"/>
          </w:tcPr>
          <w:p w14:paraId="3A8721B3" w14:textId="765F3F58" w:rsidR="00123B0A" w:rsidRDefault="00123B0A" w:rsidP="00123B0A">
            <w:pPr>
              <w:spacing w:after="0" w:line="252" w:lineRule="auto"/>
              <w:jc w:val="center"/>
            </w:pPr>
            <w:r>
              <w:rPr>
                <w:sz w:val="18"/>
              </w:rPr>
              <w:t>-0.235 (0.007)</w:t>
            </w:r>
          </w:p>
        </w:tc>
        <w:tc>
          <w:tcPr>
            <w:tcW w:w="487" w:type="pct"/>
            <w:tcBorders>
              <w:bottom w:val="single" w:sz="4" w:space="0" w:color="auto"/>
            </w:tcBorders>
            <w:vAlign w:val="center"/>
          </w:tcPr>
          <w:p w14:paraId="6D2490EA" w14:textId="15F77F4B" w:rsidR="00123B0A" w:rsidRDefault="00123B0A" w:rsidP="00123B0A">
            <w:pPr>
              <w:spacing w:after="0" w:line="252" w:lineRule="auto"/>
              <w:jc w:val="center"/>
            </w:pPr>
            <w:r>
              <w:rPr>
                <w:sz w:val="18"/>
              </w:rPr>
              <w:t>&lt;0.001</w:t>
            </w:r>
          </w:p>
        </w:tc>
      </w:tr>
    </w:tbl>
    <w:p w14:paraId="5A1832DE" w14:textId="77777777" w:rsidR="00EA5266" w:rsidRDefault="00EA5266"/>
    <w:p w14:paraId="6D644FD4" w14:textId="2EAD77F4" w:rsidR="00EA5266" w:rsidRPr="000A4741" w:rsidRDefault="00EA5266" w:rsidP="00EA5266">
      <w:pPr>
        <w:rPr>
          <w:b/>
          <w:bCs/>
        </w:rPr>
      </w:pPr>
      <w:r>
        <w:rPr>
          <w:b/>
          <w:bCs/>
        </w:rPr>
        <w:t>D</w:t>
      </w:r>
      <w:r w:rsidRPr="000A4741">
        <w:rPr>
          <w:b/>
          <w:bCs/>
        </w:rPr>
        <w:t xml:space="preserve"> | </w:t>
      </w:r>
      <w:r w:rsidRPr="00EA5266">
        <w:rPr>
          <w:b/>
          <w:bCs/>
        </w:rPr>
        <w:t>Cross-market heterogeneity in period-to-period transmission</w:t>
      </w:r>
      <w:r>
        <w:rPr>
          <w:b/>
          <w:bCs/>
        </w:rPr>
        <w:t xml:space="preserve"> (n = 16 transitions per r</w:t>
      </w:r>
      <w:r w:rsidRPr="000A4741">
        <w:rPr>
          <w:b/>
          <w:bCs/>
        </w:rPr>
        <w:t>egion–crop per storage representation</w:t>
      </w:r>
      <w:r>
        <w:rPr>
          <w:b/>
          <w:bCs/>
        </w:rPr>
        <w:t>)</w:t>
      </w:r>
      <w:r w:rsidR="00936262">
        <w:rPr>
          <w:b/>
          <w:bCs/>
        </w:rPr>
        <w:t xml:space="preserve">; </w:t>
      </w:r>
      <w:r w:rsidR="00936262" w:rsidRPr="00936262">
        <w:rPr>
          <w:b/>
          <w:bCs/>
        </w:rPr>
        <w:t>median and interquartile range</w:t>
      </w:r>
      <w:r w:rsidR="00936262">
        <w:rPr>
          <w:b/>
          <w:bCs/>
        </w:rPr>
        <w:t xml:space="preserve"> are shown.</w:t>
      </w:r>
    </w:p>
    <w:tbl>
      <w:tblPr>
        <w:tblW w:w="5000" w:type="pct"/>
        <w:jc w:val="center"/>
        <w:tblBorders>
          <w:top w:val="single" w:sz="6" w:space="0" w:color="6B7780"/>
          <w:left w:val="nil"/>
          <w:bottom w:val="single" w:sz="6" w:space="0" w:color="6B7780"/>
          <w:right w:val="nil"/>
          <w:insideH w:val="nil"/>
          <w:insideV w:val="nil"/>
        </w:tblBorders>
        <w:tblCellMar>
          <w:top w:w="65" w:type="dxa"/>
          <w:left w:w="60" w:type="dxa"/>
          <w:bottom w:w="65" w:type="dxa"/>
          <w:right w:w="60" w:type="dxa"/>
        </w:tblCellMar>
        <w:tblLook w:val="04A0" w:firstRow="1" w:lastRow="0" w:firstColumn="1" w:lastColumn="0" w:noHBand="0" w:noVBand="1"/>
      </w:tblPr>
      <w:tblGrid>
        <w:gridCol w:w="2282"/>
        <w:gridCol w:w="2840"/>
        <w:gridCol w:w="2840"/>
        <w:gridCol w:w="2838"/>
      </w:tblGrid>
      <w:tr w:rsidR="00EA5266" w14:paraId="2138E07C" w14:textId="77777777" w:rsidTr="00295ED8">
        <w:trPr>
          <w:cantSplit/>
          <w:trHeight w:val="288"/>
          <w:tblHeader/>
          <w:jc w:val="center"/>
        </w:trPr>
        <w:tc>
          <w:tcPr>
            <w:tcW w:w="1056" w:type="pct"/>
            <w:tcBorders>
              <w:top w:val="single" w:sz="4" w:space="0" w:color="auto"/>
              <w:bottom w:val="single" w:sz="4" w:space="0" w:color="auto"/>
            </w:tcBorders>
            <w:shd w:val="clear" w:color="auto" w:fill="E7E6E6" w:themeFill="background2"/>
            <w:vAlign w:val="center"/>
          </w:tcPr>
          <w:p w14:paraId="62C6234D" w14:textId="77777777" w:rsidR="00EA5266" w:rsidRDefault="00EA5266" w:rsidP="004C1C36">
            <w:pPr>
              <w:spacing w:after="0" w:line="252" w:lineRule="auto"/>
              <w:jc w:val="center"/>
            </w:pPr>
            <w:r>
              <w:rPr>
                <w:b/>
                <w:sz w:val="18"/>
              </w:rPr>
              <w:t>Outcome</w:t>
            </w:r>
          </w:p>
        </w:tc>
        <w:tc>
          <w:tcPr>
            <w:tcW w:w="1315" w:type="pct"/>
            <w:tcBorders>
              <w:top w:val="single" w:sz="4" w:space="0" w:color="auto"/>
              <w:bottom w:val="single" w:sz="4" w:space="0" w:color="auto"/>
            </w:tcBorders>
            <w:shd w:val="clear" w:color="auto" w:fill="E7E6E6" w:themeFill="background2"/>
            <w:vAlign w:val="center"/>
          </w:tcPr>
          <w:p w14:paraId="66452633" w14:textId="77777777" w:rsidR="00EA5266" w:rsidRDefault="00EA5266" w:rsidP="004C1C36">
            <w:pPr>
              <w:spacing w:after="0" w:line="252" w:lineRule="auto"/>
              <w:jc w:val="center"/>
            </w:pPr>
            <w:r>
              <w:rPr>
                <w:b/>
                <w:sz w:val="18"/>
              </w:rPr>
              <w:t>Dynamic Storage</w:t>
            </w:r>
          </w:p>
        </w:tc>
        <w:tc>
          <w:tcPr>
            <w:tcW w:w="1315" w:type="pct"/>
            <w:tcBorders>
              <w:top w:val="single" w:sz="4" w:space="0" w:color="auto"/>
              <w:bottom w:val="single" w:sz="4" w:space="0" w:color="auto"/>
            </w:tcBorders>
            <w:shd w:val="clear" w:color="auto" w:fill="E7E6E6" w:themeFill="background2"/>
            <w:vAlign w:val="center"/>
          </w:tcPr>
          <w:p w14:paraId="05D75B95" w14:textId="77777777" w:rsidR="00EA5266" w:rsidRDefault="00EA5266" w:rsidP="004C1C36">
            <w:pPr>
              <w:spacing w:after="0" w:line="252" w:lineRule="auto"/>
              <w:jc w:val="center"/>
            </w:pPr>
            <w:r>
              <w:rPr>
                <w:b/>
                <w:sz w:val="18"/>
              </w:rPr>
              <w:t>Hidden Storage</w:t>
            </w:r>
          </w:p>
        </w:tc>
        <w:tc>
          <w:tcPr>
            <w:tcW w:w="1315" w:type="pct"/>
            <w:tcBorders>
              <w:top w:val="single" w:sz="4" w:space="0" w:color="auto"/>
              <w:bottom w:val="single" w:sz="4" w:space="0" w:color="auto"/>
            </w:tcBorders>
            <w:shd w:val="clear" w:color="auto" w:fill="E7E6E6" w:themeFill="background2"/>
            <w:vAlign w:val="center"/>
          </w:tcPr>
          <w:p w14:paraId="31E10991" w14:textId="77777777" w:rsidR="00EA5266" w:rsidRDefault="00EA5266" w:rsidP="004C1C36">
            <w:pPr>
              <w:spacing w:after="0" w:line="252" w:lineRule="auto"/>
              <w:jc w:val="center"/>
            </w:pPr>
            <w:r>
              <w:rPr>
                <w:b/>
                <w:sz w:val="18"/>
              </w:rPr>
              <w:t>Fixed-Ratio Storage</w:t>
            </w:r>
          </w:p>
        </w:tc>
      </w:tr>
      <w:tr w:rsidR="00EA5266" w14:paraId="07989283" w14:textId="77777777" w:rsidTr="00295ED8">
        <w:trPr>
          <w:cantSplit/>
          <w:trHeight w:val="288"/>
          <w:jc w:val="center"/>
        </w:trPr>
        <w:tc>
          <w:tcPr>
            <w:tcW w:w="1056" w:type="pct"/>
            <w:tcBorders>
              <w:top w:val="single" w:sz="4" w:space="0" w:color="auto"/>
            </w:tcBorders>
            <w:vAlign w:val="center"/>
          </w:tcPr>
          <w:p w14:paraId="1E08C29A" w14:textId="77777777" w:rsidR="00EA5266" w:rsidRDefault="00EA5266" w:rsidP="004C1C36">
            <w:pPr>
              <w:spacing w:after="0" w:line="252" w:lineRule="auto"/>
            </w:pPr>
            <w:r>
              <w:rPr>
                <w:sz w:val="18"/>
              </w:rPr>
              <w:t>Realized yield</w:t>
            </w:r>
          </w:p>
        </w:tc>
        <w:tc>
          <w:tcPr>
            <w:tcW w:w="1315" w:type="pct"/>
            <w:tcBorders>
              <w:top w:val="single" w:sz="4" w:space="0" w:color="auto"/>
            </w:tcBorders>
            <w:vAlign w:val="center"/>
          </w:tcPr>
          <w:p w14:paraId="511E4158" w14:textId="77777777" w:rsidR="00EA5266" w:rsidRDefault="00EA5266" w:rsidP="004C1C36">
            <w:pPr>
              <w:spacing w:after="0" w:line="252" w:lineRule="auto"/>
              <w:jc w:val="center"/>
            </w:pPr>
            <w:r>
              <w:rPr>
                <w:sz w:val="18"/>
              </w:rPr>
              <w:t>0.897 [0.789, 1.043]</w:t>
            </w:r>
          </w:p>
        </w:tc>
        <w:tc>
          <w:tcPr>
            <w:tcW w:w="1315" w:type="pct"/>
            <w:tcBorders>
              <w:top w:val="single" w:sz="4" w:space="0" w:color="auto"/>
            </w:tcBorders>
            <w:vAlign w:val="center"/>
          </w:tcPr>
          <w:p w14:paraId="10BDBE0A" w14:textId="77777777" w:rsidR="00EA5266" w:rsidRDefault="00EA5266" w:rsidP="004C1C36">
            <w:pPr>
              <w:spacing w:after="0" w:line="252" w:lineRule="auto"/>
              <w:jc w:val="center"/>
            </w:pPr>
            <w:r>
              <w:rPr>
                <w:sz w:val="18"/>
              </w:rPr>
              <w:t>0.903 [0.804, 1.058]</w:t>
            </w:r>
          </w:p>
        </w:tc>
        <w:tc>
          <w:tcPr>
            <w:tcW w:w="1315" w:type="pct"/>
            <w:tcBorders>
              <w:top w:val="single" w:sz="4" w:space="0" w:color="auto"/>
            </w:tcBorders>
            <w:vAlign w:val="center"/>
          </w:tcPr>
          <w:p w14:paraId="5A303CC7" w14:textId="77777777" w:rsidR="00EA5266" w:rsidRDefault="00EA5266" w:rsidP="004C1C36">
            <w:pPr>
              <w:spacing w:after="0" w:line="252" w:lineRule="auto"/>
              <w:jc w:val="center"/>
            </w:pPr>
            <w:r>
              <w:rPr>
                <w:sz w:val="18"/>
              </w:rPr>
              <w:t>0.910 [0.792, 1.048]</w:t>
            </w:r>
          </w:p>
        </w:tc>
      </w:tr>
      <w:tr w:rsidR="00EA5266" w14:paraId="36E69BD9" w14:textId="77777777" w:rsidTr="00295ED8">
        <w:trPr>
          <w:cantSplit/>
          <w:trHeight w:val="288"/>
          <w:jc w:val="center"/>
        </w:trPr>
        <w:tc>
          <w:tcPr>
            <w:tcW w:w="1056" w:type="pct"/>
            <w:vAlign w:val="center"/>
          </w:tcPr>
          <w:p w14:paraId="03395481" w14:textId="77777777" w:rsidR="00EA5266" w:rsidRDefault="00EA5266" w:rsidP="004C1C36">
            <w:pPr>
              <w:spacing w:after="0" w:line="252" w:lineRule="auto"/>
            </w:pPr>
            <w:r>
              <w:rPr>
                <w:sz w:val="18"/>
              </w:rPr>
              <w:t>Area harvested</w:t>
            </w:r>
          </w:p>
        </w:tc>
        <w:tc>
          <w:tcPr>
            <w:tcW w:w="1315" w:type="pct"/>
            <w:vAlign w:val="center"/>
          </w:tcPr>
          <w:p w14:paraId="496B9315" w14:textId="77777777" w:rsidR="00EA5266" w:rsidRDefault="00EA5266" w:rsidP="004C1C36">
            <w:pPr>
              <w:spacing w:after="0" w:line="252" w:lineRule="auto"/>
              <w:jc w:val="center"/>
            </w:pPr>
            <w:r>
              <w:rPr>
                <w:sz w:val="18"/>
              </w:rPr>
              <w:t>-0.442 [-0.577, -0.150]</w:t>
            </w:r>
          </w:p>
        </w:tc>
        <w:tc>
          <w:tcPr>
            <w:tcW w:w="1315" w:type="pct"/>
            <w:vAlign w:val="center"/>
          </w:tcPr>
          <w:p w14:paraId="3EF66BA4" w14:textId="77777777" w:rsidR="00EA5266" w:rsidRDefault="00EA5266" w:rsidP="004C1C36">
            <w:pPr>
              <w:spacing w:after="0" w:line="252" w:lineRule="auto"/>
              <w:jc w:val="center"/>
            </w:pPr>
            <w:r>
              <w:rPr>
                <w:sz w:val="18"/>
              </w:rPr>
              <w:t>-0.514 [-0.667, -0.389]</w:t>
            </w:r>
          </w:p>
        </w:tc>
        <w:tc>
          <w:tcPr>
            <w:tcW w:w="1315" w:type="pct"/>
            <w:vAlign w:val="center"/>
          </w:tcPr>
          <w:p w14:paraId="0E8C4959" w14:textId="77777777" w:rsidR="00EA5266" w:rsidRDefault="00EA5266" w:rsidP="004C1C36">
            <w:pPr>
              <w:spacing w:after="0" w:line="252" w:lineRule="auto"/>
              <w:jc w:val="center"/>
            </w:pPr>
            <w:r>
              <w:rPr>
                <w:sz w:val="18"/>
              </w:rPr>
              <w:t>-0.462 [-0.643, -0.266]</w:t>
            </w:r>
          </w:p>
        </w:tc>
      </w:tr>
      <w:tr w:rsidR="00EA5266" w14:paraId="56E1A85C" w14:textId="77777777" w:rsidTr="00295ED8">
        <w:trPr>
          <w:cantSplit/>
          <w:trHeight w:val="288"/>
          <w:jc w:val="center"/>
        </w:trPr>
        <w:tc>
          <w:tcPr>
            <w:tcW w:w="1056" w:type="pct"/>
            <w:vAlign w:val="center"/>
          </w:tcPr>
          <w:p w14:paraId="47F5965E" w14:textId="77777777" w:rsidR="00EA5266" w:rsidRDefault="00EA5266" w:rsidP="004C1C36">
            <w:pPr>
              <w:spacing w:after="0" w:line="252" w:lineRule="auto"/>
            </w:pPr>
            <w:r>
              <w:rPr>
                <w:sz w:val="18"/>
              </w:rPr>
              <w:t>Production</w:t>
            </w:r>
          </w:p>
        </w:tc>
        <w:tc>
          <w:tcPr>
            <w:tcW w:w="1315" w:type="pct"/>
            <w:vAlign w:val="center"/>
          </w:tcPr>
          <w:p w14:paraId="33967961" w14:textId="77777777" w:rsidR="00EA5266" w:rsidRDefault="00EA5266" w:rsidP="004C1C36">
            <w:pPr>
              <w:spacing w:after="0" w:line="252" w:lineRule="auto"/>
              <w:jc w:val="center"/>
            </w:pPr>
            <w:r>
              <w:rPr>
                <w:sz w:val="18"/>
              </w:rPr>
              <w:t>0.546 [0.301, 0.666]</w:t>
            </w:r>
          </w:p>
        </w:tc>
        <w:tc>
          <w:tcPr>
            <w:tcW w:w="1315" w:type="pct"/>
            <w:vAlign w:val="center"/>
          </w:tcPr>
          <w:p w14:paraId="2EBB40ED" w14:textId="77777777" w:rsidR="00EA5266" w:rsidRDefault="00EA5266" w:rsidP="004C1C36">
            <w:pPr>
              <w:spacing w:after="0" w:line="252" w:lineRule="auto"/>
              <w:jc w:val="center"/>
            </w:pPr>
            <w:r>
              <w:rPr>
                <w:sz w:val="18"/>
              </w:rPr>
              <w:t>0.387 [0.271, 0.555]</w:t>
            </w:r>
          </w:p>
        </w:tc>
        <w:tc>
          <w:tcPr>
            <w:tcW w:w="1315" w:type="pct"/>
            <w:vAlign w:val="center"/>
          </w:tcPr>
          <w:p w14:paraId="60B690E6" w14:textId="77777777" w:rsidR="00EA5266" w:rsidRDefault="00EA5266" w:rsidP="004C1C36">
            <w:pPr>
              <w:spacing w:after="0" w:line="252" w:lineRule="auto"/>
              <w:jc w:val="center"/>
            </w:pPr>
            <w:r>
              <w:rPr>
                <w:sz w:val="18"/>
              </w:rPr>
              <w:t>0.433 [0.288, 0.604]</w:t>
            </w:r>
          </w:p>
        </w:tc>
      </w:tr>
      <w:tr w:rsidR="00EA5266" w14:paraId="2390D9CF" w14:textId="77777777" w:rsidTr="00295ED8">
        <w:trPr>
          <w:cantSplit/>
          <w:trHeight w:val="288"/>
          <w:jc w:val="center"/>
        </w:trPr>
        <w:tc>
          <w:tcPr>
            <w:tcW w:w="1056" w:type="pct"/>
            <w:vAlign w:val="center"/>
          </w:tcPr>
          <w:p w14:paraId="2A04C556" w14:textId="77777777" w:rsidR="00EA5266" w:rsidRDefault="00EA5266" w:rsidP="004C1C36">
            <w:pPr>
              <w:spacing w:after="0" w:line="252" w:lineRule="auto"/>
            </w:pPr>
            <w:r>
              <w:rPr>
                <w:sz w:val="18"/>
              </w:rPr>
              <w:t>Exports</w:t>
            </w:r>
          </w:p>
        </w:tc>
        <w:tc>
          <w:tcPr>
            <w:tcW w:w="1315" w:type="pct"/>
            <w:vAlign w:val="center"/>
          </w:tcPr>
          <w:p w14:paraId="14134E02" w14:textId="77777777" w:rsidR="00EA5266" w:rsidRDefault="00EA5266" w:rsidP="004C1C36">
            <w:pPr>
              <w:spacing w:after="0" w:line="252" w:lineRule="auto"/>
              <w:jc w:val="center"/>
            </w:pPr>
            <w:r>
              <w:rPr>
                <w:sz w:val="18"/>
              </w:rPr>
              <w:t>0.667 [0.466, 1.101]</w:t>
            </w:r>
          </w:p>
        </w:tc>
        <w:tc>
          <w:tcPr>
            <w:tcW w:w="1315" w:type="pct"/>
            <w:vAlign w:val="center"/>
          </w:tcPr>
          <w:p w14:paraId="43A46D6E" w14:textId="77777777" w:rsidR="00EA5266" w:rsidRDefault="00EA5266" w:rsidP="004C1C36">
            <w:pPr>
              <w:spacing w:after="0" w:line="252" w:lineRule="auto"/>
              <w:jc w:val="center"/>
            </w:pPr>
            <w:r>
              <w:rPr>
                <w:sz w:val="18"/>
              </w:rPr>
              <w:t>0.865 [0.567, 1.157]</w:t>
            </w:r>
          </w:p>
        </w:tc>
        <w:tc>
          <w:tcPr>
            <w:tcW w:w="1315" w:type="pct"/>
            <w:vAlign w:val="center"/>
          </w:tcPr>
          <w:p w14:paraId="1606F279" w14:textId="77777777" w:rsidR="00EA5266" w:rsidRDefault="00EA5266" w:rsidP="004C1C36">
            <w:pPr>
              <w:spacing w:after="0" w:line="252" w:lineRule="auto"/>
              <w:jc w:val="center"/>
            </w:pPr>
            <w:r>
              <w:rPr>
                <w:sz w:val="18"/>
              </w:rPr>
              <w:t>0.762 [0.509, 1.102]</w:t>
            </w:r>
          </w:p>
        </w:tc>
      </w:tr>
      <w:tr w:rsidR="00EA5266" w14:paraId="7000B1D5" w14:textId="77777777" w:rsidTr="00295ED8">
        <w:trPr>
          <w:cantSplit/>
          <w:trHeight w:val="288"/>
          <w:jc w:val="center"/>
        </w:trPr>
        <w:tc>
          <w:tcPr>
            <w:tcW w:w="1056" w:type="pct"/>
            <w:vAlign w:val="center"/>
          </w:tcPr>
          <w:p w14:paraId="0700A97A" w14:textId="77777777" w:rsidR="00EA5266" w:rsidRPr="00EA5266" w:rsidRDefault="00EA5266" w:rsidP="004C1C36">
            <w:pPr>
              <w:spacing w:after="0" w:line="252" w:lineRule="auto"/>
              <w:rPr>
                <w:b/>
              </w:rPr>
            </w:pPr>
            <w:r w:rsidRPr="00EA5266">
              <w:rPr>
                <w:b/>
                <w:sz w:val="18"/>
              </w:rPr>
              <w:t>Closing stocks</w:t>
            </w:r>
          </w:p>
        </w:tc>
        <w:tc>
          <w:tcPr>
            <w:tcW w:w="1315" w:type="pct"/>
            <w:vAlign w:val="center"/>
          </w:tcPr>
          <w:p w14:paraId="3F72678A" w14:textId="77777777" w:rsidR="00EA5266" w:rsidRPr="00EA5266" w:rsidRDefault="00EA5266" w:rsidP="004C1C36">
            <w:pPr>
              <w:spacing w:after="0" w:line="252" w:lineRule="auto"/>
              <w:jc w:val="center"/>
              <w:rPr>
                <w:b/>
              </w:rPr>
            </w:pPr>
            <w:r w:rsidRPr="00EA5266">
              <w:rPr>
                <w:b/>
                <w:sz w:val="18"/>
              </w:rPr>
              <w:t>0.185 [0.112, 0.390]</w:t>
            </w:r>
          </w:p>
        </w:tc>
        <w:tc>
          <w:tcPr>
            <w:tcW w:w="1315" w:type="pct"/>
            <w:vAlign w:val="center"/>
          </w:tcPr>
          <w:p w14:paraId="22FAF825" w14:textId="77777777" w:rsidR="00EA5266" w:rsidRPr="00EA5266" w:rsidRDefault="00EA5266" w:rsidP="004C1C36">
            <w:pPr>
              <w:spacing w:after="0" w:line="252" w:lineRule="auto"/>
              <w:jc w:val="center"/>
              <w:rPr>
                <w:b/>
              </w:rPr>
            </w:pPr>
            <w:r w:rsidRPr="00EA5266">
              <w:rPr>
                <w:b/>
                <w:sz w:val="18"/>
              </w:rPr>
              <w:t>—</w:t>
            </w:r>
          </w:p>
        </w:tc>
        <w:tc>
          <w:tcPr>
            <w:tcW w:w="1315" w:type="pct"/>
            <w:vAlign w:val="center"/>
          </w:tcPr>
          <w:p w14:paraId="110E6335" w14:textId="77777777" w:rsidR="00EA5266" w:rsidRPr="00EA5266" w:rsidRDefault="00EA5266" w:rsidP="004C1C36">
            <w:pPr>
              <w:spacing w:after="0" w:line="252" w:lineRule="auto"/>
              <w:jc w:val="center"/>
              <w:rPr>
                <w:b/>
              </w:rPr>
            </w:pPr>
            <w:r w:rsidRPr="00EA5266">
              <w:rPr>
                <w:b/>
                <w:sz w:val="18"/>
              </w:rPr>
              <w:t>0.041 [0.014, 0.103]</w:t>
            </w:r>
          </w:p>
        </w:tc>
      </w:tr>
      <w:tr w:rsidR="00EA5266" w14:paraId="4586DECE" w14:textId="77777777" w:rsidTr="00295ED8">
        <w:trPr>
          <w:cantSplit/>
          <w:trHeight w:val="288"/>
          <w:jc w:val="center"/>
        </w:trPr>
        <w:tc>
          <w:tcPr>
            <w:tcW w:w="1056" w:type="pct"/>
            <w:vAlign w:val="center"/>
          </w:tcPr>
          <w:p w14:paraId="65B32074" w14:textId="77777777" w:rsidR="00EA5266" w:rsidRDefault="00EA5266" w:rsidP="004C1C36">
            <w:pPr>
              <w:spacing w:after="0" w:line="252" w:lineRule="auto"/>
            </w:pPr>
            <w:r>
              <w:rPr>
                <w:sz w:val="18"/>
              </w:rPr>
              <w:t>Imports</w:t>
            </w:r>
          </w:p>
        </w:tc>
        <w:tc>
          <w:tcPr>
            <w:tcW w:w="1315" w:type="pct"/>
            <w:vAlign w:val="center"/>
          </w:tcPr>
          <w:p w14:paraId="23F0E785" w14:textId="77777777" w:rsidR="00EA5266" w:rsidRDefault="00EA5266" w:rsidP="004C1C36">
            <w:pPr>
              <w:spacing w:after="0" w:line="252" w:lineRule="auto"/>
              <w:jc w:val="center"/>
            </w:pPr>
            <w:r>
              <w:rPr>
                <w:sz w:val="18"/>
              </w:rPr>
              <w:t>-0.060 [-0.185, 0.034]</w:t>
            </w:r>
          </w:p>
        </w:tc>
        <w:tc>
          <w:tcPr>
            <w:tcW w:w="1315" w:type="pct"/>
            <w:vAlign w:val="center"/>
          </w:tcPr>
          <w:p w14:paraId="6BEEA9F0" w14:textId="77777777" w:rsidR="00EA5266" w:rsidRDefault="00EA5266" w:rsidP="004C1C36">
            <w:pPr>
              <w:spacing w:after="0" w:line="252" w:lineRule="auto"/>
              <w:jc w:val="center"/>
            </w:pPr>
            <w:r>
              <w:rPr>
                <w:sz w:val="18"/>
              </w:rPr>
              <w:t>-0.113 [-0.234, -0.024]</w:t>
            </w:r>
          </w:p>
        </w:tc>
        <w:tc>
          <w:tcPr>
            <w:tcW w:w="1315" w:type="pct"/>
            <w:vAlign w:val="center"/>
          </w:tcPr>
          <w:p w14:paraId="3DFA471C" w14:textId="77777777" w:rsidR="00EA5266" w:rsidRDefault="00EA5266" w:rsidP="004C1C36">
            <w:pPr>
              <w:spacing w:after="0" w:line="252" w:lineRule="auto"/>
              <w:jc w:val="center"/>
            </w:pPr>
            <w:r>
              <w:rPr>
                <w:sz w:val="18"/>
              </w:rPr>
              <w:t>-0.094 [-0.246, -0.011]</w:t>
            </w:r>
          </w:p>
        </w:tc>
      </w:tr>
      <w:tr w:rsidR="00EA5266" w14:paraId="11AC650E" w14:textId="77777777" w:rsidTr="00295ED8">
        <w:trPr>
          <w:cantSplit/>
          <w:trHeight w:val="288"/>
          <w:jc w:val="center"/>
        </w:trPr>
        <w:tc>
          <w:tcPr>
            <w:tcW w:w="1056" w:type="pct"/>
            <w:vAlign w:val="center"/>
          </w:tcPr>
          <w:p w14:paraId="621E524F" w14:textId="77777777" w:rsidR="00EA5266" w:rsidRDefault="00EA5266" w:rsidP="004C1C36">
            <w:pPr>
              <w:spacing w:after="0" w:line="252" w:lineRule="auto"/>
            </w:pPr>
            <w:r>
              <w:rPr>
                <w:sz w:val="18"/>
              </w:rPr>
              <w:t>Consumption</w:t>
            </w:r>
          </w:p>
        </w:tc>
        <w:tc>
          <w:tcPr>
            <w:tcW w:w="1315" w:type="pct"/>
            <w:vAlign w:val="center"/>
          </w:tcPr>
          <w:p w14:paraId="404899DC" w14:textId="77777777" w:rsidR="00EA5266" w:rsidRDefault="00EA5266" w:rsidP="004C1C36">
            <w:pPr>
              <w:spacing w:after="0" w:line="252" w:lineRule="auto"/>
              <w:jc w:val="center"/>
            </w:pPr>
            <w:r>
              <w:rPr>
                <w:sz w:val="18"/>
              </w:rPr>
              <w:t>0.033 [0.003, 0.099]</w:t>
            </w:r>
          </w:p>
        </w:tc>
        <w:tc>
          <w:tcPr>
            <w:tcW w:w="1315" w:type="pct"/>
            <w:vAlign w:val="center"/>
          </w:tcPr>
          <w:p w14:paraId="3C435BBF" w14:textId="77777777" w:rsidR="00EA5266" w:rsidRDefault="00EA5266" w:rsidP="004C1C36">
            <w:pPr>
              <w:spacing w:after="0" w:line="252" w:lineRule="auto"/>
              <w:jc w:val="center"/>
            </w:pPr>
            <w:r>
              <w:rPr>
                <w:sz w:val="18"/>
              </w:rPr>
              <w:t>0.035 [0.002, 0.135]</w:t>
            </w:r>
          </w:p>
        </w:tc>
        <w:tc>
          <w:tcPr>
            <w:tcW w:w="1315" w:type="pct"/>
            <w:vAlign w:val="center"/>
          </w:tcPr>
          <w:p w14:paraId="7F238B85" w14:textId="77777777" w:rsidR="00EA5266" w:rsidRDefault="00EA5266" w:rsidP="004C1C36">
            <w:pPr>
              <w:spacing w:after="0" w:line="252" w:lineRule="auto"/>
              <w:jc w:val="center"/>
            </w:pPr>
            <w:r>
              <w:rPr>
                <w:sz w:val="18"/>
              </w:rPr>
              <w:t>0.038 [0.007, 0.128]</w:t>
            </w:r>
          </w:p>
        </w:tc>
      </w:tr>
      <w:tr w:rsidR="00EA5266" w14:paraId="27EF2B72" w14:textId="77777777" w:rsidTr="00295ED8">
        <w:trPr>
          <w:cantSplit/>
          <w:trHeight w:val="288"/>
          <w:jc w:val="center"/>
        </w:trPr>
        <w:tc>
          <w:tcPr>
            <w:tcW w:w="1056" w:type="pct"/>
            <w:tcBorders>
              <w:bottom w:val="single" w:sz="4" w:space="0" w:color="auto"/>
            </w:tcBorders>
            <w:vAlign w:val="center"/>
          </w:tcPr>
          <w:p w14:paraId="1DAD87C1" w14:textId="77777777" w:rsidR="00EA5266" w:rsidRDefault="00EA5266" w:rsidP="004C1C36">
            <w:pPr>
              <w:spacing w:after="0" w:line="252" w:lineRule="auto"/>
            </w:pPr>
            <w:r>
              <w:rPr>
                <w:sz w:val="18"/>
              </w:rPr>
              <w:t>Producer price</w:t>
            </w:r>
          </w:p>
        </w:tc>
        <w:tc>
          <w:tcPr>
            <w:tcW w:w="1315" w:type="pct"/>
            <w:tcBorders>
              <w:bottom w:val="single" w:sz="4" w:space="0" w:color="auto"/>
            </w:tcBorders>
            <w:vAlign w:val="center"/>
          </w:tcPr>
          <w:p w14:paraId="253DBD66" w14:textId="77777777" w:rsidR="00EA5266" w:rsidRDefault="00EA5266" w:rsidP="004C1C36">
            <w:pPr>
              <w:spacing w:after="0" w:line="252" w:lineRule="auto"/>
              <w:jc w:val="center"/>
            </w:pPr>
            <w:r>
              <w:rPr>
                <w:sz w:val="18"/>
              </w:rPr>
              <w:t>-0.165 [-0.332, -0.106]</w:t>
            </w:r>
          </w:p>
        </w:tc>
        <w:tc>
          <w:tcPr>
            <w:tcW w:w="1315" w:type="pct"/>
            <w:tcBorders>
              <w:bottom w:val="single" w:sz="4" w:space="0" w:color="auto"/>
            </w:tcBorders>
            <w:vAlign w:val="center"/>
          </w:tcPr>
          <w:p w14:paraId="4C97B411" w14:textId="77777777" w:rsidR="00EA5266" w:rsidRDefault="00EA5266" w:rsidP="004C1C36">
            <w:pPr>
              <w:spacing w:after="0" w:line="252" w:lineRule="auto"/>
              <w:jc w:val="center"/>
            </w:pPr>
            <w:r>
              <w:rPr>
                <w:sz w:val="18"/>
              </w:rPr>
              <w:t>-0.191 [-0.382, -0.133]</w:t>
            </w:r>
          </w:p>
        </w:tc>
        <w:tc>
          <w:tcPr>
            <w:tcW w:w="1315" w:type="pct"/>
            <w:tcBorders>
              <w:bottom w:val="single" w:sz="4" w:space="0" w:color="auto"/>
            </w:tcBorders>
            <w:vAlign w:val="center"/>
          </w:tcPr>
          <w:p w14:paraId="72E3CAFC" w14:textId="77777777" w:rsidR="00EA5266" w:rsidRDefault="00EA5266" w:rsidP="004C1C36">
            <w:pPr>
              <w:spacing w:after="0" w:line="252" w:lineRule="auto"/>
              <w:jc w:val="center"/>
            </w:pPr>
            <w:r>
              <w:rPr>
                <w:sz w:val="18"/>
              </w:rPr>
              <w:t>-0.178 [-0.393, -0.148]</w:t>
            </w:r>
          </w:p>
        </w:tc>
      </w:tr>
    </w:tbl>
    <w:p w14:paraId="361D8DAB" w14:textId="77777777" w:rsidR="00936262" w:rsidRDefault="00936262"/>
    <w:p w14:paraId="429B61DA" w14:textId="77777777" w:rsidR="0015405F" w:rsidRDefault="0015405F">
      <w:pPr>
        <w:rPr>
          <w:b/>
          <w:iCs/>
          <w:szCs w:val="18"/>
        </w:rPr>
      </w:pPr>
      <w:bookmarkStart w:id="65" w:name="_Ref240384713"/>
      <w:r>
        <w:br w:type="page"/>
      </w:r>
    </w:p>
    <w:p w14:paraId="03671150" w14:textId="6CE04039" w:rsidR="0015405F" w:rsidRPr="008C3C17" w:rsidRDefault="00936262" w:rsidP="008C3C17">
      <w:pPr>
        <w:pStyle w:val="Caption"/>
        <w:jc w:val="both"/>
        <w:rPr>
          <w:vanish/>
          <w:specVanish/>
        </w:rPr>
      </w:pPr>
      <w:bookmarkStart w:id="66" w:name="_Ref241138139"/>
      <w:bookmarkStart w:id="67" w:name="_Toc241138218"/>
      <w:r w:rsidRPr="008C3C17">
        <w:lastRenderedPageBreak/>
        <w:t xml:space="preserve">Supplementary Table </w:t>
      </w:r>
      <w:fldSimple w:instr=" SEQ Table \* ARABIC ">
        <w:r w:rsidR="003E354C">
          <w:rPr>
            <w:noProof/>
          </w:rPr>
          <w:t>8</w:t>
        </w:r>
      </w:fldSimple>
      <w:bookmarkEnd w:id="65"/>
      <w:bookmarkEnd w:id="66"/>
      <w:r w:rsidRPr="008C3C17">
        <w:t xml:space="preserve"> |</w:t>
      </w:r>
      <w:r w:rsidR="008C3C17">
        <w:t xml:space="preserve"> </w:t>
      </w:r>
      <w:r w:rsidR="0015405F" w:rsidRPr="008C3C17">
        <w:t>Pairwise tests of period-to-period transmission elasticities across storage representations.</w:t>
      </w:r>
      <w:bookmarkEnd w:id="67"/>
      <w:r w:rsidR="0015405F" w:rsidRPr="008C3C17">
        <w:t xml:space="preserve"> </w:t>
      </w:r>
    </w:p>
    <w:p w14:paraId="29324AC0" w14:textId="3C033D11" w:rsidR="00936262" w:rsidRDefault="0015405F" w:rsidP="008C3C17">
      <w:pPr>
        <w:jc w:val="both"/>
        <w:rPr>
          <w:rFonts w:cs="Arial"/>
        </w:rPr>
      </w:pPr>
      <w:r w:rsidRPr="0015405F">
        <w:rPr>
          <w:rFonts w:cs="Arial"/>
        </w:rPr>
        <w:t xml:space="preserve">The table reports differences in slope coefficients (Δβ) and </w:t>
      </w:r>
      <w:r w:rsidR="00EA6635">
        <w:rPr>
          <w:rFonts w:cs="Arial"/>
        </w:rPr>
        <w:t xml:space="preserve">Wald F statistics, with </w:t>
      </w:r>
      <w:r w:rsidRPr="0015405F">
        <w:rPr>
          <w:rFonts w:cs="Arial"/>
        </w:rPr>
        <w:t>P values</w:t>
      </w:r>
      <w:r w:rsidR="00EA6635">
        <w:rPr>
          <w:rFonts w:cs="Arial"/>
        </w:rPr>
        <w:t xml:space="preserve"> in parentheses </w:t>
      </w:r>
      <w:r w:rsidRPr="0015405F">
        <w:rPr>
          <w:rFonts w:cs="Arial"/>
        </w:rPr>
        <w:t>from interacted pooled period-to-period regressions. Δβ is the coefficient under the first representation minus that under the second; the null hypothesis is equality of the two coefficients. The underlying period-to-period series contains 640 region–crop–transition observations per storage representation over 202</w:t>
      </w:r>
      <w:r w:rsidR="00412613">
        <w:rPr>
          <w:rFonts w:cs="Arial"/>
        </w:rPr>
        <w:t>1</w:t>
      </w:r>
      <w:r w:rsidRPr="0015405F">
        <w:rPr>
          <w:rFonts w:cs="Arial"/>
        </w:rPr>
        <w:t>–2100. Each pairwise test has one numerator degree of freedom. Only Dynamic versus Fixed-Ratio is available for closing stocks because Hidden Storage does not explicitly represent inventories. These tests support the comparisons in</w:t>
      </w:r>
      <w:r w:rsidR="00412613">
        <w:rPr>
          <w:rFonts w:cs="Arial"/>
        </w:rPr>
        <w:t xml:space="preserve"> </w:t>
      </w:r>
      <w:r w:rsidR="00412613" w:rsidRPr="00412613">
        <w:rPr>
          <w:rFonts w:cs="Arial"/>
          <w:b/>
          <w:bCs/>
        </w:rPr>
        <w:t>Main</w:t>
      </w:r>
      <w:r w:rsidRPr="0015405F">
        <w:rPr>
          <w:rFonts w:cs="Arial"/>
        </w:rPr>
        <w:t xml:space="preserve"> </w:t>
      </w:r>
      <w:r w:rsidRPr="00412613">
        <w:rPr>
          <w:rFonts w:cs="Arial"/>
          <w:b/>
          <w:bCs/>
        </w:rPr>
        <w:t>Fig. 5C</w:t>
      </w:r>
      <w:r w:rsidRPr="0015405F">
        <w:rPr>
          <w:rFonts w:cs="Arial"/>
        </w:rPr>
        <w:t>. Data source: GCAM simulation analysis.</w:t>
      </w:r>
    </w:p>
    <w:tbl>
      <w:tblPr>
        <w:tblW w:w="5000" w:type="pct"/>
        <w:jc w:val="center"/>
        <w:tblBorders>
          <w:top w:val="single" w:sz="6" w:space="0" w:color="6B7780"/>
          <w:left w:val="nil"/>
          <w:bottom w:val="single" w:sz="6" w:space="0" w:color="6B7780"/>
          <w:right w:val="nil"/>
          <w:insideH w:val="nil"/>
          <w:insideV w:val="nil"/>
        </w:tblBorders>
        <w:tblCellMar>
          <w:top w:w="65" w:type="dxa"/>
          <w:left w:w="60" w:type="dxa"/>
          <w:bottom w:w="65" w:type="dxa"/>
          <w:right w:w="60" w:type="dxa"/>
        </w:tblCellMar>
        <w:tblLook w:val="04A0" w:firstRow="1" w:lastRow="0" w:firstColumn="1" w:lastColumn="0" w:noHBand="0" w:noVBand="1"/>
      </w:tblPr>
      <w:tblGrid>
        <w:gridCol w:w="1901"/>
        <w:gridCol w:w="894"/>
        <w:gridCol w:w="1979"/>
        <w:gridCol w:w="1035"/>
        <w:gridCol w:w="2121"/>
        <w:gridCol w:w="894"/>
        <w:gridCol w:w="1976"/>
      </w:tblGrid>
      <w:tr w:rsidR="0015405F" w14:paraId="0AEF8006" w14:textId="77777777" w:rsidTr="00EA6635">
        <w:trPr>
          <w:cantSplit/>
          <w:trHeight w:val="288"/>
          <w:tblHeader/>
          <w:jc w:val="center"/>
        </w:trPr>
        <w:tc>
          <w:tcPr>
            <w:tcW w:w="880" w:type="pct"/>
            <w:vMerge w:val="restart"/>
            <w:tcBorders>
              <w:top w:val="single" w:sz="4" w:space="0" w:color="auto"/>
            </w:tcBorders>
            <w:shd w:val="clear" w:color="auto" w:fill="E7E6E6" w:themeFill="background2"/>
            <w:vAlign w:val="center"/>
          </w:tcPr>
          <w:p w14:paraId="3C965F1B" w14:textId="77777777" w:rsidR="0015405F" w:rsidRDefault="0015405F" w:rsidP="004C1C36">
            <w:pPr>
              <w:spacing w:after="0" w:line="252" w:lineRule="auto"/>
              <w:jc w:val="center"/>
            </w:pPr>
            <w:r>
              <w:rPr>
                <w:b/>
                <w:sz w:val="18"/>
              </w:rPr>
              <w:t>Outcome</w:t>
            </w:r>
          </w:p>
        </w:tc>
        <w:tc>
          <w:tcPr>
            <w:tcW w:w="1330" w:type="pct"/>
            <w:gridSpan w:val="2"/>
            <w:tcBorders>
              <w:top w:val="single" w:sz="4" w:space="0" w:color="auto"/>
            </w:tcBorders>
            <w:shd w:val="clear" w:color="auto" w:fill="E7E6E6" w:themeFill="background2"/>
            <w:vAlign w:val="center"/>
          </w:tcPr>
          <w:p w14:paraId="671ED522" w14:textId="22E2488A" w:rsidR="0015405F" w:rsidRDefault="0015405F" w:rsidP="00295ED8">
            <w:pPr>
              <w:spacing w:after="0" w:line="252" w:lineRule="auto"/>
              <w:jc w:val="center"/>
            </w:pPr>
            <w:r>
              <w:rPr>
                <w:b/>
                <w:sz w:val="18"/>
              </w:rPr>
              <w:t>Dynamic − Hidden</w:t>
            </w:r>
          </w:p>
        </w:tc>
        <w:tc>
          <w:tcPr>
            <w:tcW w:w="1461" w:type="pct"/>
            <w:gridSpan w:val="2"/>
            <w:tcBorders>
              <w:top w:val="single" w:sz="4" w:space="0" w:color="auto"/>
            </w:tcBorders>
            <w:shd w:val="clear" w:color="auto" w:fill="E7E6E6" w:themeFill="background2"/>
            <w:vAlign w:val="center"/>
          </w:tcPr>
          <w:p w14:paraId="43202C43" w14:textId="3FE72E26" w:rsidR="0015405F" w:rsidRDefault="0015405F" w:rsidP="00295ED8">
            <w:pPr>
              <w:spacing w:after="0" w:line="252" w:lineRule="auto"/>
              <w:jc w:val="center"/>
            </w:pPr>
            <w:r>
              <w:rPr>
                <w:b/>
                <w:sz w:val="18"/>
              </w:rPr>
              <w:t>Dynamic − Fixed-Ratio</w:t>
            </w:r>
          </w:p>
        </w:tc>
        <w:tc>
          <w:tcPr>
            <w:tcW w:w="1330" w:type="pct"/>
            <w:gridSpan w:val="2"/>
            <w:tcBorders>
              <w:top w:val="single" w:sz="4" w:space="0" w:color="auto"/>
            </w:tcBorders>
            <w:shd w:val="clear" w:color="auto" w:fill="E7E6E6" w:themeFill="background2"/>
            <w:vAlign w:val="center"/>
          </w:tcPr>
          <w:p w14:paraId="2076DC56" w14:textId="6EEE1D4E" w:rsidR="0015405F" w:rsidRDefault="0015405F" w:rsidP="00295ED8">
            <w:pPr>
              <w:spacing w:after="0" w:line="252" w:lineRule="auto"/>
              <w:jc w:val="center"/>
            </w:pPr>
            <w:r>
              <w:rPr>
                <w:b/>
                <w:sz w:val="18"/>
              </w:rPr>
              <w:t>Hidden − Fixed-Ratio</w:t>
            </w:r>
          </w:p>
        </w:tc>
      </w:tr>
      <w:tr w:rsidR="0015405F" w14:paraId="0E6BBD35" w14:textId="77777777" w:rsidTr="00EA6635">
        <w:trPr>
          <w:cantSplit/>
          <w:trHeight w:val="288"/>
          <w:tblHeader/>
          <w:jc w:val="center"/>
        </w:trPr>
        <w:tc>
          <w:tcPr>
            <w:tcW w:w="880" w:type="pct"/>
            <w:vMerge/>
            <w:tcBorders>
              <w:bottom w:val="single" w:sz="4" w:space="0" w:color="auto"/>
            </w:tcBorders>
            <w:shd w:val="clear" w:color="auto" w:fill="E7E6E6" w:themeFill="background2"/>
            <w:vAlign w:val="center"/>
          </w:tcPr>
          <w:p w14:paraId="210F232C" w14:textId="77777777" w:rsidR="0015405F" w:rsidRDefault="0015405F" w:rsidP="004C1C36">
            <w:pPr>
              <w:spacing w:after="0" w:line="252" w:lineRule="auto"/>
              <w:jc w:val="center"/>
            </w:pPr>
          </w:p>
        </w:tc>
        <w:tc>
          <w:tcPr>
            <w:tcW w:w="414" w:type="pct"/>
            <w:tcBorders>
              <w:bottom w:val="single" w:sz="4" w:space="0" w:color="auto"/>
            </w:tcBorders>
            <w:shd w:val="clear" w:color="auto" w:fill="E7E6E6" w:themeFill="background2"/>
            <w:vAlign w:val="center"/>
          </w:tcPr>
          <w:p w14:paraId="5CC52347" w14:textId="77777777" w:rsidR="0015405F" w:rsidRDefault="0015405F" w:rsidP="00295ED8">
            <w:pPr>
              <w:spacing w:after="0" w:line="252" w:lineRule="auto"/>
              <w:jc w:val="center"/>
            </w:pPr>
            <w:r>
              <w:rPr>
                <w:b/>
                <w:sz w:val="18"/>
              </w:rPr>
              <w:t>Δβ</w:t>
            </w:r>
          </w:p>
        </w:tc>
        <w:tc>
          <w:tcPr>
            <w:tcW w:w="916" w:type="pct"/>
            <w:tcBorders>
              <w:bottom w:val="single" w:sz="4" w:space="0" w:color="auto"/>
            </w:tcBorders>
            <w:shd w:val="clear" w:color="auto" w:fill="E7E6E6" w:themeFill="background2"/>
            <w:vAlign w:val="center"/>
          </w:tcPr>
          <w:p w14:paraId="11E741E6" w14:textId="14845DAB" w:rsidR="0015405F" w:rsidRDefault="00EA6635" w:rsidP="00295ED8">
            <w:pPr>
              <w:spacing w:after="0" w:line="252" w:lineRule="auto"/>
              <w:jc w:val="center"/>
            </w:pPr>
            <w:r>
              <w:rPr>
                <w:b/>
                <w:sz w:val="18"/>
              </w:rPr>
              <w:t>F (P)</w:t>
            </w:r>
          </w:p>
        </w:tc>
        <w:tc>
          <w:tcPr>
            <w:tcW w:w="479" w:type="pct"/>
            <w:tcBorders>
              <w:bottom w:val="single" w:sz="4" w:space="0" w:color="auto"/>
            </w:tcBorders>
            <w:shd w:val="clear" w:color="auto" w:fill="E7E6E6" w:themeFill="background2"/>
            <w:vAlign w:val="center"/>
          </w:tcPr>
          <w:p w14:paraId="6FD7C5A1" w14:textId="77777777" w:rsidR="0015405F" w:rsidRDefault="0015405F" w:rsidP="00295ED8">
            <w:pPr>
              <w:spacing w:after="0" w:line="252" w:lineRule="auto"/>
              <w:jc w:val="center"/>
            </w:pPr>
            <w:r>
              <w:rPr>
                <w:b/>
                <w:sz w:val="18"/>
              </w:rPr>
              <w:t>Δβ</w:t>
            </w:r>
          </w:p>
        </w:tc>
        <w:tc>
          <w:tcPr>
            <w:tcW w:w="982" w:type="pct"/>
            <w:tcBorders>
              <w:bottom w:val="single" w:sz="4" w:space="0" w:color="auto"/>
            </w:tcBorders>
            <w:shd w:val="clear" w:color="auto" w:fill="E7E6E6" w:themeFill="background2"/>
            <w:vAlign w:val="center"/>
          </w:tcPr>
          <w:p w14:paraId="43C5B0B7" w14:textId="1418CEF0" w:rsidR="0015405F" w:rsidRDefault="00EA6635" w:rsidP="00295ED8">
            <w:pPr>
              <w:spacing w:after="0" w:line="252" w:lineRule="auto"/>
              <w:jc w:val="center"/>
            </w:pPr>
            <w:r>
              <w:rPr>
                <w:b/>
                <w:sz w:val="18"/>
              </w:rPr>
              <w:t>F (P)</w:t>
            </w:r>
          </w:p>
        </w:tc>
        <w:tc>
          <w:tcPr>
            <w:tcW w:w="414" w:type="pct"/>
            <w:tcBorders>
              <w:bottom w:val="single" w:sz="4" w:space="0" w:color="auto"/>
            </w:tcBorders>
            <w:shd w:val="clear" w:color="auto" w:fill="E7E6E6" w:themeFill="background2"/>
            <w:vAlign w:val="center"/>
          </w:tcPr>
          <w:p w14:paraId="121946CF" w14:textId="77777777" w:rsidR="0015405F" w:rsidRDefault="0015405F" w:rsidP="00295ED8">
            <w:pPr>
              <w:spacing w:after="0" w:line="252" w:lineRule="auto"/>
              <w:jc w:val="center"/>
            </w:pPr>
            <w:r>
              <w:rPr>
                <w:b/>
                <w:sz w:val="18"/>
              </w:rPr>
              <w:t>Δβ</w:t>
            </w:r>
          </w:p>
        </w:tc>
        <w:tc>
          <w:tcPr>
            <w:tcW w:w="916" w:type="pct"/>
            <w:tcBorders>
              <w:bottom w:val="single" w:sz="4" w:space="0" w:color="auto"/>
            </w:tcBorders>
            <w:shd w:val="clear" w:color="auto" w:fill="E7E6E6" w:themeFill="background2"/>
            <w:vAlign w:val="center"/>
          </w:tcPr>
          <w:p w14:paraId="6EBE1D02" w14:textId="012C4E14" w:rsidR="0015405F" w:rsidRDefault="00EA6635" w:rsidP="00295ED8">
            <w:pPr>
              <w:spacing w:after="0" w:line="252" w:lineRule="auto"/>
              <w:jc w:val="center"/>
            </w:pPr>
            <w:r>
              <w:rPr>
                <w:b/>
                <w:sz w:val="18"/>
              </w:rPr>
              <w:t>F (P)</w:t>
            </w:r>
          </w:p>
        </w:tc>
      </w:tr>
      <w:tr w:rsidR="00EA6635" w14:paraId="116A92BF" w14:textId="77777777" w:rsidTr="00EA6635">
        <w:trPr>
          <w:cantSplit/>
          <w:trHeight w:val="288"/>
          <w:jc w:val="center"/>
        </w:trPr>
        <w:tc>
          <w:tcPr>
            <w:tcW w:w="880" w:type="pct"/>
            <w:tcBorders>
              <w:top w:val="single" w:sz="4" w:space="0" w:color="auto"/>
            </w:tcBorders>
            <w:vAlign w:val="center"/>
          </w:tcPr>
          <w:p w14:paraId="564647E2" w14:textId="77777777" w:rsidR="00EA6635" w:rsidRDefault="00EA6635" w:rsidP="00EA6635">
            <w:pPr>
              <w:spacing w:after="0" w:line="252" w:lineRule="auto"/>
            </w:pPr>
            <w:r>
              <w:rPr>
                <w:sz w:val="18"/>
              </w:rPr>
              <w:t>Realized yield</w:t>
            </w:r>
          </w:p>
        </w:tc>
        <w:tc>
          <w:tcPr>
            <w:tcW w:w="414" w:type="pct"/>
            <w:tcBorders>
              <w:top w:val="single" w:sz="4" w:space="0" w:color="auto"/>
            </w:tcBorders>
            <w:vAlign w:val="center"/>
          </w:tcPr>
          <w:p w14:paraId="61409AB1" w14:textId="77777777" w:rsidR="00EA6635" w:rsidRDefault="00EA6635" w:rsidP="00EA6635">
            <w:pPr>
              <w:spacing w:after="0" w:line="252" w:lineRule="auto"/>
              <w:jc w:val="center"/>
            </w:pPr>
            <w:r>
              <w:rPr>
                <w:sz w:val="18"/>
              </w:rPr>
              <w:t>-0.012</w:t>
            </w:r>
          </w:p>
        </w:tc>
        <w:tc>
          <w:tcPr>
            <w:tcW w:w="916" w:type="pct"/>
            <w:tcBorders>
              <w:top w:val="single" w:sz="4" w:space="0" w:color="auto"/>
            </w:tcBorders>
            <w:vAlign w:val="center"/>
          </w:tcPr>
          <w:p w14:paraId="067B603B" w14:textId="6D71CD02" w:rsidR="00EA6635" w:rsidRPr="00EA6635" w:rsidRDefault="00EA6635" w:rsidP="00EA6635">
            <w:pPr>
              <w:spacing w:after="0" w:line="252" w:lineRule="auto"/>
              <w:jc w:val="center"/>
              <w:rPr>
                <w:sz w:val="18"/>
                <w:szCs w:val="18"/>
              </w:rPr>
            </w:pPr>
            <w:r w:rsidRPr="00EA6635">
              <w:rPr>
                <w:rFonts w:cs="Arial"/>
                <w:color w:val="202020"/>
                <w:sz w:val="18"/>
                <w:szCs w:val="18"/>
              </w:rPr>
              <w:t>0.661 (0.416)</w:t>
            </w:r>
          </w:p>
        </w:tc>
        <w:tc>
          <w:tcPr>
            <w:tcW w:w="479" w:type="pct"/>
            <w:tcBorders>
              <w:top w:val="single" w:sz="4" w:space="0" w:color="auto"/>
            </w:tcBorders>
            <w:vAlign w:val="center"/>
          </w:tcPr>
          <w:p w14:paraId="46276870" w14:textId="49E11C98" w:rsidR="00EA6635" w:rsidRPr="00EA6635" w:rsidRDefault="00EA6635" w:rsidP="00EA6635">
            <w:pPr>
              <w:spacing w:after="0" w:line="252" w:lineRule="auto"/>
              <w:jc w:val="center"/>
              <w:rPr>
                <w:sz w:val="18"/>
                <w:szCs w:val="18"/>
              </w:rPr>
            </w:pPr>
            <w:r w:rsidRPr="00EA6635">
              <w:rPr>
                <w:rFonts w:cs="Arial"/>
                <w:color w:val="202020"/>
                <w:sz w:val="18"/>
                <w:szCs w:val="18"/>
              </w:rPr>
              <w:t>-0.0004</w:t>
            </w:r>
          </w:p>
        </w:tc>
        <w:tc>
          <w:tcPr>
            <w:tcW w:w="982" w:type="pct"/>
            <w:tcBorders>
              <w:top w:val="single" w:sz="4" w:space="0" w:color="auto"/>
            </w:tcBorders>
            <w:vAlign w:val="center"/>
          </w:tcPr>
          <w:p w14:paraId="70DE6295" w14:textId="5AB00ED5" w:rsidR="00EA6635" w:rsidRPr="00EA6635" w:rsidRDefault="00EA6635" w:rsidP="00EA6635">
            <w:pPr>
              <w:spacing w:after="0" w:line="252" w:lineRule="auto"/>
              <w:jc w:val="center"/>
              <w:rPr>
                <w:sz w:val="18"/>
                <w:szCs w:val="18"/>
              </w:rPr>
            </w:pPr>
            <w:r w:rsidRPr="00EA6635">
              <w:rPr>
                <w:rFonts w:cs="Arial"/>
                <w:color w:val="202020"/>
                <w:sz w:val="18"/>
                <w:szCs w:val="18"/>
              </w:rPr>
              <w:t>0.001 (0.975)</w:t>
            </w:r>
          </w:p>
        </w:tc>
        <w:tc>
          <w:tcPr>
            <w:tcW w:w="414" w:type="pct"/>
            <w:tcBorders>
              <w:top w:val="single" w:sz="4" w:space="0" w:color="auto"/>
            </w:tcBorders>
            <w:vAlign w:val="center"/>
          </w:tcPr>
          <w:p w14:paraId="1E78DC6D" w14:textId="42020FAD" w:rsidR="00EA6635" w:rsidRPr="00EA6635" w:rsidRDefault="00EA6635" w:rsidP="00EA6635">
            <w:pPr>
              <w:spacing w:after="0" w:line="252" w:lineRule="auto"/>
              <w:jc w:val="center"/>
              <w:rPr>
                <w:sz w:val="18"/>
                <w:szCs w:val="18"/>
              </w:rPr>
            </w:pPr>
            <w:r w:rsidRPr="00EA6635">
              <w:rPr>
                <w:rFonts w:cs="Arial"/>
                <w:color w:val="202020"/>
                <w:sz w:val="18"/>
                <w:szCs w:val="18"/>
              </w:rPr>
              <w:t>0.011</w:t>
            </w:r>
          </w:p>
        </w:tc>
        <w:tc>
          <w:tcPr>
            <w:tcW w:w="916" w:type="pct"/>
            <w:tcBorders>
              <w:top w:val="single" w:sz="4" w:space="0" w:color="auto"/>
            </w:tcBorders>
            <w:vAlign w:val="center"/>
          </w:tcPr>
          <w:p w14:paraId="1DAD0376" w14:textId="44D5F526" w:rsidR="00EA6635" w:rsidRPr="00EA6635" w:rsidRDefault="00EA6635" w:rsidP="00EA6635">
            <w:pPr>
              <w:spacing w:after="0" w:line="252" w:lineRule="auto"/>
              <w:jc w:val="center"/>
              <w:rPr>
                <w:sz w:val="18"/>
                <w:szCs w:val="18"/>
              </w:rPr>
            </w:pPr>
            <w:r w:rsidRPr="00EA6635">
              <w:rPr>
                <w:rFonts w:cs="Arial"/>
                <w:color w:val="202020"/>
                <w:sz w:val="18"/>
                <w:szCs w:val="18"/>
              </w:rPr>
              <w:t>0.609 (0.435)</w:t>
            </w:r>
          </w:p>
        </w:tc>
      </w:tr>
      <w:tr w:rsidR="00EA6635" w14:paraId="52FFA23B" w14:textId="77777777" w:rsidTr="00EA6635">
        <w:trPr>
          <w:cantSplit/>
          <w:trHeight w:val="288"/>
          <w:jc w:val="center"/>
        </w:trPr>
        <w:tc>
          <w:tcPr>
            <w:tcW w:w="880" w:type="pct"/>
            <w:vAlign w:val="center"/>
          </w:tcPr>
          <w:p w14:paraId="408C6ACD" w14:textId="77777777" w:rsidR="00EA6635" w:rsidRDefault="00EA6635" w:rsidP="00EA6635">
            <w:pPr>
              <w:spacing w:after="0" w:line="252" w:lineRule="auto"/>
            </w:pPr>
            <w:r>
              <w:rPr>
                <w:sz w:val="18"/>
              </w:rPr>
              <w:t>Area harvested</w:t>
            </w:r>
          </w:p>
        </w:tc>
        <w:tc>
          <w:tcPr>
            <w:tcW w:w="414" w:type="pct"/>
            <w:vAlign w:val="center"/>
          </w:tcPr>
          <w:p w14:paraId="65EA03E7" w14:textId="77777777" w:rsidR="00EA6635" w:rsidRDefault="00EA6635" w:rsidP="00EA6635">
            <w:pPr>
              <w:spacing w:after="0" w:line="252" w:lineRule="auto"/>
              <w:jc w:val="center"/>
            </w:pPr>
            <w:r>
              <w:rPr>
                <w:sz w:val="18"/>
              </w:rPr>
              <w:t>0.103</w:t>
            </w:r>
          </w:p>
        </w:tc>
        <w:tc>
          <w:tcPr>
            <w:tcW w:w="916" w:type="pct"/>
            <w:vAlign w:val="center"/>
          </w:tcPr>
          <w:p w14:paraId="5DA48F0E" w14:textId="012E276A" w:rsidR="00EA6635" w:rsidRPr="00EA6635" w:rsidRDefault="00EA6635" w:rsidP="00EA6635">
            <w:pPr>
              <w:spacing w:after="0" w:line="252" w:lineRule="auto"/>
              <w:jc w:val="center"/>
              <w:rPr>
                <w:sz w:val="18"/>
                <w:szCs w:val="18"/>
              </w:rPr>
            </w:pPr>
            <w:r w:rsidRPr="00EA6635">
              <w:rPr>
                <w:rFonts w:cs="Arial"/>
                <w:color w:val="202020"/>
                <w:sz w:val="18"/>
                <w:szCs w:val="18"/>
              </w:rPr>
              <w:t>20.251 (&lt;0.001)</w:t>
            </w:r>
          </w:p>
        </w:tc>
        <w:tc>
          <w:tcPr>
            <w:tcW w:w="479" w:type="pct"/>
            <w:vAlign w:val="center"/>
          </w:tcPr>
          <w:p w14:paraId="0D10F9A2" w14:textId="4D1BE550" w:rsidR="00EA6635" w:rsidRPr="00EA6635" w:rsidRDefault="00EA6635" w:rsidP="00EA6635">
            <w:pPr>
              <w:spacing w:after="0" w:line="252" w:lineRule="auto"/>
              <w:jc w:val="center"/>
              <w:rPr>
                <w:sz w:val="18"/>
                <w:szCs w:val="18"/>
              </w:rPr>
            </w:pPr>
            <w:r w:rsidRPr="00EA6635">
              <w:rPr>
                <w:rFonts w:cs="Arial"/>
                <w:color w:val="202020"/>
                <w:sz w:val="18"/>
                <w:szCs w:val="18"/>
              </w:rPr>
              <w:t>0.034</w:t>
            </w:r>
          </w:p>
        </w:tc>
        <w:tc>
          <w:tcPr>
            <w:tcW w:w="982" w:type="pct"/>
            <w:vAlign w:val="center"/>
          </w:tcPr>
          <w:p w14:paraId="5F4584C1" w14:textId="215E35AD" w:rsidR="00EA6635" w:rsidRPr="00EA6635" w:rsidRDefault="00EA6635" w:rsidP="00EA6635">
            <w:pPr>
              <w:spacing w:after="0" w:line="252" w:lineRule="auto"/>
              <w:jc w:val="center"/>
              <w:rPr>
                <w:sz w:val="18"/>
                <w:szCs w:val="18"/>
              </w:rPr>
            </w:pPr>
            <w:r w:rsidRPr="00EA6635">
              <w:rPr>
                <w:rFonts w:cs="Arial"/>
                <w:color w:val="202020"/>
                <w:sz w:val="18"/>
                <w:szCs w:val="18"/>
              </w:rPr>
              <w:t>2.261 (0.133)</w:t>
            </w:r>
          </w:p>
        </w:tc>
        <w:tc>
          <w:tcPr>
            <w:tcW w:w="414" w:type="pct"/>
            <w:vAlign w:val="center"/>
          </w:tcPr>
          <w:p w14:paraId="0902D634" w14:textId="042FC2D2" w:rsidR="00EA6635" w:rsidRPr="00EA6635" w:rsidRDefault="00EA6635" w:rsidP="00EA6635">
            <w:pPr>
              <w:spacing w:after="0" w:line="252" w:lineRule="auto"/>
              <w:jc w:val="center"/>
              <w:rPr>
                <w:sz w:val="18"/>
                <w:szCs w:val="18"/>
              </w:rPr>
            </w:pPr>
            <w:r w:rsidRPr="00EA6635">
              <w:rPr>
                <w:rFonts w:cs="Arial"/>
                <w:color w:val="202020"/>
                <w:sz w:val="18"/>
                <w:szCs w:val="18"/>
              </w:rPr>
              <w:t>-0.069</w:t>
            </w:r>
          </w:p>
        </w:tc>
        <w:tc>
          <w:tcPr>
            <w:tcW w:w="916" w:type="pct"/>
            <w:vAlign w:val="center"/>
          </w:tcPr>
          <w:p w14:paraId="4CE0468E" w14:textId="5325D84E" w:rsidR="00EA6635" w:rsidRPr="00EA6635" w:rsidRDefault="00EA6635" w:rsidP="00EA6635">
            <w:pPr>
              <w:spacing w:after="0" w:line="252" w:lineRule="auto"/>
              <w:jc w:val="center"/>
              <w:rPr>
                <w:sz w:val="18"/>
                <w:szCs w:val="18"/>
              </w:rPr>
            </w:pPr>
            <w:r w:rsidRPr="00EA6635">
              <w:rPr>
                <w:rFonts w:cs="Arial"/>
                <w:color w:val="202020"/>
                <w:sz w:val="18"/>
                <w:szCs w:val="18"/>
              </w:rPr>
              <w:t>9.039 (0.003)</w:t>
            </w:r>
          </w:p>
        </w:tc>
      </w:tr>
      <w:tr w:rsidR="00EA6635" w14:paraId="3B63169A" w14:textId="77777777" w:rsidTr="00EA6635">
        <w:trPr>
          <w:cantSplit/>
          <w:trHeight w:val="288"/>
          <w:jc w:val="center"/>
        </w:trPr>
        <w:tc>
          <w:tcPr>
            <w:tcW w:w="880" w:type="pct"/>
            <w:vAlign w:val="center"/>
          </w:tcPr>
          <w:p w14:paraId="33FF99CF" w14:textId="77777777" w:rsidR="00EA6635" w:rsidRDefault="00EA6635" w:rsidP="00EA6635">
            <w:pPr>
              <w:spacing w:after="0" w:line="252" w:lineRule="auto"/>
            </w:pPr>
            <w:r>
              <w:rPr>
                <w:sz w:val="18"/>
              </w:rPr>
              <w:t>Production</w:t>
            </w:r>
          </w:p>
        </w:tc>
        <w:tc>
          <w:tcPr>
            <w:tcW w:w="414" w:type="pct"/>
            <w:vAlign w:val="center"/>
          </w:tcPr>
          <w:p w14:paraId="6FBC7502" w14:textId="77777777" w:rsidR="00EA6635" w:rsidRDefault="00EA6635" w:rsidP="00EA6635">
            <w:pPr>
              <w:spacing w:after="0" w:line="252" w:lineRule="auto"/>
              <w:jc w:val="center"/>
            </w:pPr>
            <w:r>
              <w:rPr>
                <w:sz w:val="18"/>
              </w:rPr>
              <w:t>0.091</w:t>
            </w:r>
          </w:p>
        </w:tc>
        <w:tc>
          <w:tcPr>
            <w:tcW w:w="916" w:type="pct"/>
            <w:vAlign w:val="center"/>
          </w:tcPr>
          <w:p w14:paraId="2BE1D3A0" w14:textId="78E1C76E" w:rsidR="00EA6635" w:rsidRPr="00EA6635" w:rsidRDefault="00EA6635" w:rsidP="00EA6635">
            <w:pPr>
              <w:spacing w:after="0" w:line="252" w:lineRule="auto"/>
              <w:jc w:val="center"/>
              <w:rPr>
                <w:sz w:val="18"/>
                <w:szCs w:val="18"/>
              </w:rPr>
            </w:pPr>
            <w:r w:rsidRPr="00EA6635">
              <w:rPr>
                <w:rFonts w:cs="Arial"/>
                <w:color w:val="202020"/>
                <w:sz w:val="18"/>
                <w:szCs w:val="18"/>
              </w:rPr>
              <w:t>17.235 (&lt;0.001)</w:t>
            </w:r>
          </w:p>
        </w:tc>
        <w:tc>
          <w:tcPr>
            <w:tcW w:w="479" w:type="pct"/>
            <w:vAlign w:val="center"/>
          </w:tcPr>
          <w:p w14:paraId="11806B62" w14:textId="667B7259" w:rsidR="00EA6635" w:rsidRPr="00EA6635" w:rsidRDefault="00EA6635" w:rsidP="00EA6635">
            <w:pPr>
              <w:spacing w:after="0" w:line="252" w:lineRule="auto"/>
              <w:jc w:val="center"/>
              <w:rPr>
                <w:sz w:val="18"/>
                <w:szCs w:val="18"/>
              </w:rPr>
            </w:pPr>
            <w:r w:rsidRPr="00EA6635">
              <w:rPr>
                <w:rFonts w:cs="Arial"/>
                <w:color w:val="202020"/>
                <w:sz w:val="18"/>
                <w:szCs w:val="18"/>
              </w:rPr>
              <w:t>0.034</w:t>
            </w:r>
          </w:p>
        </w:tc>
        <w:tc>
          <w:tcPr>
            <w:tcW w:w="982" w:type="pct"/>
            <w:vAlign w:val="center"/>
          </w:tcPr>
          <w:p w14:paraId="06A4424E" w14:textId="03314918" w:rsidR="00EA6635" w:rsidRPr="00EA6635" w:rsidRDefault="00EA6635" w:rsidP="00EA6635">
            <w:pPr>
              <w:spacing w:after="0" w:line="252" w:lineRule="auto"/>
              <w:jc w:val="center"/>
              <w:rPr>
                <w:sz w:val="18"/>
                <w:szCs w:val="18"/>
              </w:rPr>
            </w:pPr>
            <w:r w:rsidRPr="00EA6635">
              <w:rPr>
                <w:rFonts w:cs="Arial"/>
                <w:color w:val="202020"/>
                <w:sz w:val="18"/>
                <w:szCs w:val="18"/>
              </w:rPr>
              <w:t>2.385 (0.123)</w:t>
            </w:r>
          </w:p>
        </w:tc>
        <w:tc>
          <w:tcPr>
            <w:tcW w:w="414" w:type="pct"/>
            <w:vAlign w:val="center"/>
          </w:tcPr>
          <w:p w14:paraId="66906A8C" w14:textId="36CB1DBF" w:rsidR="00EA6635" w:rsidRPr="00EA6635" w:rsidRDefault="00EA6635" w:rsidP="00EA6635">
            <w:pPr>
              <w:spacing w:after="0" w:line="252" w:lineRule="auto"/>
              <w:jc w:val="center"/>
              <w:rPr>
                <w:sz w:val="18"/>
                <w:szCs w:val="18"/>
              </w:rPr>
            </w:pPr>
            <w:r w:rsidRPr="00EA6635">
              <w:rPr>
                <w:rFonts w:cs="Arial"/>
                <w:color w:val="202020"/>
                <w:sz w:val="18"/>
                <w:szCs w:val="18"/>
              </w:rPr>
              <w:t>-0.058</w:t>
            </w:r>
          </w:p>
        </w:tc>
        <w:tc>
          <w:tcPr>
            <w:tcW w:w="916" w:type="pct"/>
            <w:vAlign w:val="center"/>
          </w:tcPr>
          <w:p w14:paraId="4D547040" w14:textId="3A33A874" w:rsidR="00EA6635" w:rsidRPr="00EA6635" w:rsidRDefault="00EA6635" w:rsidP="00EA6635">
            <w:pPr>
              <w:spacing w:after="0" w:line="252" w:lineRule="auto"/>
              <w:jc w:val="center"/>
              <w:rPr>
                <w:sz w:val="18"/>
                <w:szCs w:val="18"/>
              </w:rPr>
            </w:pPr>
            <w:r w:rsidRPr="00EA6635">
              <w:rPr>
                <w:rFonts w:cs="Arial"/>
                <w:color w:val="202020"/>
                <w:sz w:val="18"/>
                <w:szCs w:val="18"/>
              </w:rPr>
              <w:t>6.855 (0.009)</w:t>
            </w:r>
          </w:p>
        </w:tc>
      </w:tr>
      <w:tr w:rsidR="00EA6635" w14:paraId="65CBA065" w14:textId="77777777" w:rsidTr="00EA6635">
        <w:trPr>
          <w:cantSplit/>
          <w:trHeight w:val="288"/>
          <w:jc w:val="center"/>
        </w:trPr>
        <w:tc>
          <w:tcPr>
            <w:tcW w:w="880" w:type="pct"/>
            <w:vAlign w:val="center"/>
          </w:tcPr>
          <w:p w14:paraId="6366D322" w14:textId="77777777" w:rsidR="00EA6635" w:rsidRDefault="00EA6635" w:rsidP="00EA6635">
            <w:pPr>
              <w:spacing w:after="0" w:line="252" w:lineRule="auto"/>
            </w:pPr>
            <w:r>
              <w:rPr>
                <w:sz w:val="18"/>
              </w:rPr>
              <w:t>Exports</w:t>
            </w:r>
          </w:p>
        </w:tc>
        <w:tc>
          <w:tcPr>
            <w:tcW w:w="414" w:type="pct"/>
            <w:vAlign w:val="center"/>
          </w:tcPr>
          <w:p w14:paraId="7ABE9A3C" w14:textId="77777777" w:rsidR="00EA6635" w:rsidRDefault="00EA6635" w:rsidP="00EA6635">
            <w:pPr>
              <w:spacing w:after="0" w:line="252" w:lineRule="auto"/>
              <w:jc w:val="center"/>
            </w:pPr>
            <w:r>
              <w:rPr>
                <w:sz w:val="18"/>
              </w:rPr>
              <w:t>-0.174</w:t>
            </w:r>
          </w:p>
        </w:tc>
        <w:tc>
          <w:tcPr>
            <w:tcW w:w="916" w:type="pct"/>
            <w:vAlign w:val="center"/>
          </w:tcPr>
          <w:p w14:paraId="7D2FFCA9" w14:textId="213BB233" w:rsidR="00EA6635" w:rsidRPr="00EA6635" w:rsidRDefault="00EA6635" w:rsidP="00EA6635">
            <w:pPr>
              <w:spacing w:after="0" w:line="252" w:lineRule="auto"/>
              <w:jc w:val="center"/>
              <w:rPr>
                <w:sz w:val="18"/>
                <w:szCs w:val="18"/>
              </w:rPr>
            </w:pPr>
            <w:r w:rsidRPr="00EA6635">
              <w:rPr>
                <w:rFonts w:cs="Arial"/>
                <w:color w:val="202020"/>
                <w:sz w:val="18"/>
                <w:szCs w:val="18"/>
              </w:rPr>
              <w:t>11.503 (&lt;0.001)</w:t>
            </w:r>
          </w:p>
        </w:tc>
        <w:tc>
          <w:tcPr>
            <w:tcW w:w="479" w:type="pct"/>
            <w:vAlign w:val="center"/>
          </w:tcPr>
          <w:p w14:paraId="34FCCBD1" w14:textId="729B0610" w:rsidR="00EA6635" w:rsidRPr="00EA6635" w:rsidRDefault="00EA6635" w:rsidP="00EA6635">
            <w:pPr>
              <w:spacing w:after="0" w:line="252" w:lineRule="auto"/>
              <w:jc w:val="center"/>
              <w:rPr>
                <w:sz w:val="18"/>
                <w:szCs w:val="18"/>
              </w:rPr>
            </w:pPr>
            <w:r w:rsidRPr="00EA6635">
              <w:rPr>
                <w:rFonts w:cs="Arial"/>
                <w:color w:val="202020"/>
                <w:sz w:val="18"/>
                <w:szCs w:val="18"/>
              </w:rPr>
              <w:t>-0.090</w:t>
            </w:r>
          </w:p>
        </w:tc>
        <w:tc>
          <w:tcPr>
            <w:tcW w:w="982" w:type="pct"/>
            <w:vAlign w:val="center"/>
          </w:tcPr>
          <w:p w14:paraId="6123E478" w14:textId="1EDB92A3" w:rsidR="00EA6635" w:rsidRPr="00EA6635" w:rsidRDefault="00EA6635" w:rsidP="00EA6635">
            <w:pPr>
              <w:spacing w:after="0" w:line="252" w:lineRule="auto"/>
              <w:jc w:val="center"/>
              <w:rPr>
                <w:sz w:val="18"/>
                <w:szCs w:val="18"/>
              </w:rPr>
            </w:pPr>
            <w:r w:rsidRPr="00EA6635">
              <w:rPr>
                <w:rFonts w:cs="Arial"/>
                <w:color w:val="202020"/>
                <w:sz w:val="18"/>
                <w:szCs w:val="18"/>
              </w:rPr>
              <w:t>3.119 (0.077)</w:t>
            </w:r>
          </w:p>
        </w:tc>
        <w:tc>
          <w:tcPr>
            <w:tcW w:w="414" w:type="pct"/>
            <w:vAlign w:val="center"/>
          </w:tcPr>
          <w:p w14:paraId="3900BDBD" w14:textId="410BD203" w:rsidR="00EA6635" w:rsidRPr="00EA6635" w:rsidRDefault="00EA6635" w:rsidP="00EA6635">
            <w:pPr>
              <w:spacing w:after="0" w:line="252" w:lineRule="auto"/>
              <w:jc w:val="center"/>
              <w:rPr>
                <w:sz w:val="18"/>
                <w:szCs w:val="18"/>
              </w:rPr>
            </w:pPr>
            <w:r w:rsidRPr="00EA6635">
              <w:rPr>
                <w:rFonts w:cs="Arial"/>
                <w:color w:val="202020"/>
                <w:sz w:val="18"/>
                <w:szCs w:val="18"/>
              </w:rPr>
              <w:t>0.084</w:t>
            </w:r>
          </w:p>
        </w:tc>
        <w:tc>
          <w:tcPr>
            <w:tcW w:w="916" w:type="pct"/>
            <w:vAlign w:val="center"/>
          </w:tcPr>
          <w:p w14:paraId="6C7BD5F2" w14:textId="617127B6" w:rsidR="00EA6635" w:rsidRPr="00EA6635" w:rsidRDefault="00EA6635" w:rsidP="00EA6635">
            <w:pPr>
              <w:spacing w:after="0" w:line="252" w:lineRule="auto"/>
              <w:jc w:val="center"/>
              <w:rPr>
                <w:sz w:val="18"/>
                <w:szCs w:val="18"/>
              </w:rPr>
            </w:pPr>
            <w:r w:rsidRPr="00EA6635">
              <w:rPr>
                <w:rFonts w:cs="Arial"/>
                <w:color w:val="202020"/>
                <w:sz w:val="18"/>
                <w:szCs w:val="18"/>
              </w:rPr>
              <w:t>2.691 (0.101)</w:t>
            </w:r>
          </w:p>
        </w:tc>
      </w:tr>
      <w:tr w:rsidR="00EA6635" w14:paraId="51005F1A" w14:textId="77777777" w:rsidTr="00EA6635">
        <w:trPr>
          <w:cantSplit/>
          <w:trHeight w:val="288"/>
          <w:jc w:val="center"/>
        </w:trPr>
        <w:tc>
          <w:tcPr>
            <w:tcW w:w="880" w:type="pct"/>
            <w:vAlign w:val="center"/>
          </w:tcPr>
          <w:p w14:paraId="4FD529B8" w14:textId="77777777" w:rsidR="00EA6635" w:rsidRPr="0015405F" w:rsidRDefault="00EA6635" w:rsidP="00EA6635">
            <w:pPr>
              <w:spacing w:after="0" w:line="252" w:lineRule="auto"/>
              <w:rPr>
                <w:bCs/>
              </w:rPr>
            </w:pPr>
            <w:r w:rsidRPr="0015405F">
              <w:rPr>
                <w:bCs/>
                <w:sz w:val="18"/>
              </w:rPr>
              <w:t>Closing stocks</w:t>
            </w:r>
          </w:p>
        </w:tc>
        <w:tc>
          <w:tcPr>
            <w:tcW w:w="414" w:type="pct"/>
            <w:vAlign w:val="center"/>
          </w:tcPr>
          <w:p w14:paraId="3FAE4851" w14:textId="77777777" w:rsidR="00EA6635" w:rsidRPr="0015405F" w:rsidRDefault="00EA6635" w:rsidP="00EA6635">
            <w:pPr>
              <w:spacing w:after="0" w:line="252" w:lineRule="auto"/>
              <w:jc w:val="center"/>
              <w:rPr>
                <w:bCs/>
              </w:rPr>
            </w:pPr>
            <w:r w:rsidRPr="0015405F">
              <w:rPr>
                <w:bCs/>
                <w:sz w:val="18"/>
              </w:rPr>
              <w:t>—</w:t>
            </w:r>
          </w:p>
        </w:tc>
        <w:tc>
          <w:tcPr>
            <w:tcW w:w="916" w:type="pct"/>
            <w:vAlign w:val="center"/>
          </w:tcPr>
          <w:p w14:paraId="1C19286A" w14:textId="138E18D5" w:rsidR="00EA6635" w:rsidRPr="00EA6635" w:rsidRDefault="00EA6635" w:rsidP="00EA6635">
            <w:pPr>
              <w:spacing w:after="0" w:line="252" w:lineRule="auto"/>
              <w:jc w:val="center"/>
              <w:rPr>
                <w:bCs/>
                <w:sz w:val="18"/>
                <w:szCs w:val="18"/>
              </w:rPr>
            </w:pPr>
            <w:r w:rsidRPr="00EA6635">
              <w:rPr>
                <w:rFonts w:cs="Arial"/>
                <w:color w:val="202020"/>
                <w:sz w:val="18"/>
                <w:szCs w:val="18"/>
              </w:rPr>
              <w:t>—</w:t>
            </w:r>
          </w:p>
        </w:tc>
        <w:tc>
          <w:tcPr>
            <w:tcW w:w="479" w:type="pct"/>
            <w:vAlign w:val="center"/>
          </w:tcPr>
          <w:p w14:paraId="0C302DF2" w14:textId="4511565E" w:rsidR="00EA6635" w:rsidRPr="00EA6635" w:rsidRDefault="00EA6635" w:rsidP="00EA6635">
            <w:pPr>
              <w:spacing w:after="0" w:line="252" w:lineRule="auto"/>
              <w:jc w:val="center"/>
              <w:rPr>
                <w:bCs/>
                <w:sz w:val="18"/>
                <w:szCs w:val="18"/>
              </w:rPr>
            </w:pPr>
            <w:r w:rsidRPr="00EA6635">
              <w:rPr>
                <w:rFonts w:cs="Arial"/>
                <w:color w:val="202020"/>
                <w:sz w:val="18"/>
                <w:szCs w:val="18"/>
              </w:rPr>
              <w:t>0.145</w:t>
            </w:r>
          </w:p>
        </w:tc>
        <w:tc>
          <w:tcPr>
            <w:tcW w:w="982" w:type="pct"/>
            <w:vAlign w:val="center"/>
          </w:tcPr>
          <w:p w14:paraId="2F5F62AC" w14:textId="245C56E9" w:rsidR="00EA6635" w:rsidRPr="00EA6635" w:rsidRDefault="00EA6635" w:rsidP="00EA6635">
            <w:pPr>
              <w:spacing w:after="0" w:line="252" w:lineRule="auto"/>
              <w:jc w:val="center"/>
              <w:rPr>
                <w:bCs/>
                <w:sz w:val="18"/>
                <w:szCs w:val="18"/>
              </w:rPr>
            </w:pPr>
            <w:r w:rsidRPr="00EA6635">
              <w:rPr>
                <w:rFonts w:cs="Arial"/>
                <w:color w:val="202020"/>
                <w:sz w:val="18"/>
                <w:szCs w:val="18"/>
              </w:rPr>
              <w:t>169.852 (&lt;0.001)</w:t>
            </w:r>
          </w:p>
        </w:tc>
        <w:tc>
          <w:tcPr>
            <w:tcW w:w="414" w:type="pct"/>
            <w:vAlign w:val="center"/>
          </w:tcPr>
          <w:p w14:paraId="79593E71" w14:textId="741C25E4" w:rsidR="00EA6635" w:rsidRPr="00EA6635" w:rsidRDefault="00EA6635" w:rsidP="00EA6635">
            <w:pPr>
              <w:spacing w:after="0" w:line="252" w:lineRule="auto"/>
              <w:jc w:val="center"/>
              <w:rPr>
                <w:bCs/>
                <w:sz w:val="18"/>
                <w:szCs w:val="18"/>
              </w:rPr>
            </w:pPr>
            <w:r w:rsidRPr="00EA6635">
              <w:rPr>
                <w:rFonts w:cs="Arial"/>
                <w:color w:val="202020"/>
                <w:sz w:val="18"/>
                <w:szCs w:val="18"/>
              </w:rPr>
              <w:t>—</w:t>
            </w:r>
          </w:p>
        </w:tc>
        <w:tc>
          <w:tcPr>
            <w:tcW w:w="916" w:type="pct"/>
            <w:vAlign w:val="center"/>
          </w:tcPr>
          <w:p w14:paraId="6FBD6CB5" w14:textId="03E09FFE" w:rsidR="00EA6635" w:rsidRPr="00EA6635" w:rsidRDefault="00EA6635" w:rsidP="00EA6635">
            <w:pPr>
              <w:spacing w:after="0" w:line="252" w:lineRule="auto"/>
              <w:jc w:val="center"/>
              <w:rPr>
                <w:bCs/>
                <w:sz w:val="18"/>
                <w:szCs w:val="18"/>
              </w:rPr>
            </w:pPr>
            <w:r w:rsidRPr="00EA6635">
              <w:rPr>
                <w:rFonts w:cs="Arial"/>
                <w:color w:val="202020"/>
                <w:sz w:val="18"/>
                <w:szCs w:val="18"/>
              </w:rPr>
              <w:t>—</w:t>
            </w:r>
          </w:p>
        </w:tc>
      </w:tr>
      <w:tr w:rsidR="00EA6635" w14:paraId="0F34BC3D" w14:textId="77777777" w:rsidTr="00EA6635">
        <w:trPr>
          <w:cantSplit/>
          <w:trHeight w:val="288"/>
          <w:jc w:val="center"/>
        </w:trPr>
        <w:tc>
          <w:tcPr>
            <w:tcW w:w="880" w:type="pct"/>
            <w:vAlign w:val="center"/>
          </w:tcPr>
          <w:p w14:paraId="164D5252" w14:textId="77777777" w:rsidR="00EA6635" w:rsidRDefault="00EA6635" w:rsidP="00EA6635">
            <w:pPr>
              <w:spacing w:after="0" w:line="252" w:lineRule="auto"/>
            </w:pPr>
            <w:r>
              <w:rPr>
                <w:sz w:val="18"/>
              </w:rPr>
              <w:t>Imports</w:t>
            </w:r>
          </w:p>
        </w:tc>
        <w:tc>
          <w:tcPr>
            <w:tcW w:w="414" w:type="pct"/>
            <w:vAlign w:val="center"/>
          </w:tcPr>
          <w:p w14:paraId="2F5BE084" w14:textId="77777777" w:rsidR="00EA6635" w:rsidRDefault="00EA6635" w:rsidP="00EA6635">
            <w:pPr>
              <w:spacing w:after="0" w:line="252" w:lineRule="auto"/>
              <w:jc w:val="center"/>
            </w:pPr>
            <w:r>
              <w:rPr>
                <w:sz w:val="18"/>
              </w:rPr>
              <w:t>0.022</w:t>
            </w:r>
          </w:p>
        </w:tc>
        <w:tc>
          <w:tcPr>
            <w:tcW w:w="916" w:type="pct"/>
            <w:vAlign w:val="center"/>
          </w:tcPr>
          <w:p w14:paraId="72C101CA" w14:textId="045B274F" w:rsidR="00EA6635" w:rsidRPr="00EA6635" w:rsidRDefault="00EA6635" w:rsidP="00EA6635">
            <w:pPr>
              <w:spacing w:after="0" w:line="252" w:lineRule="auto"/>
              <w:jc w:val="center"/>
              <w:rPr>
                <w:sz w:val="18"/>
                <w:szCs w:val="18"/>
              </w:rPr>
            </w:pPr>
            <w:r w:rsidRPr="00EA6635">
              <w:rPr>
                <w:rFonts w:cs="Arial"/>
                <w:color w:val="202020"/>
                <w:sz w:val="18"/>
                <w:szCs w:val="18"/>
              </w:rPr>
              <w:t>1.689 (0.194)</w:t>
            </w:r>
          </w:p>
        </w:tc>
        <w:tc>
          <w:tcPr>
            <w:tcW w:w="479" w:type="pct"/>
            <w:vAlign w:val="center"/>
          </w:tcPr>
          <w:p w14:paraId="716E9A6A" w14:textId="6899C839" w:rsidR="00EA6635" w:rsidRPr="00EA6635" w:rsidRDefault="00EA6635" w:rsidP="00EA6635">
            <w:pPr>
              <w:spacing w:after="0" w:line="252" w:lineRule="auto"/>
              <w:jc w:val="center"/>
              <w:rPr>
                <w:sz w:val="18"/>
                <w:szCs w:val="18"/>
              </w:rPr>
            </w:pPr>
            <w:r w:rsidRPr="00EA6635">
              <w:rPr>
                <w:rFonts w:cs="Arial"/>
                <w:color w:val="202020"/>
                <w:sz w:val="18"/>
                <w:szCs w:val="18"/>
              </w:rPr>
              <w:t>0.032</w:t>
            </w:r>
          </w:p>
        </w:tc>
        <w:tc>
          <w:tcPr>
            <w:tcW w:w="982" w:type="pct"/>
            <w:vAlign w:val="center"/>
          </w:tcPr>
          <w:p w14:paraId="3B26D469" w14:textId="04133B45" w:rsidR="00EA6635" w:rsidRPr="00EA6635" w:rsidRDefault="00EA6635" w:rsidP="00EA6635">
            <w:pPr>
              <w:spacing w:after="0" w:line="252" w:lineRule="auto"/>
              <w:jc w:val="center"/>
              <w:rPr>
                <w:sz w:val="18"/>
                <w:szCs w:val="18"/>
              </w:rPr>
            </w:pPr>
            <w:r w:rsidRPr="00EA6635">
              <w:rPr>
                <w:rFonts w:cs="Arial"/>
                <w:color w:val="202020"/>
                <w:sz w:val="18"/>
                <w:szCs w:val="18"/>
              </w:rPr>
              <w:t>3.933 (0.048)</w:t>
            </w:r>
          </w:p>
        </w:tc>
        <w:tc>
          <w:tcPr>
            <w:tcW w:w="414" w:type="pct"/>
            <w:vAlign w:val="center"/>
          </w:tcPr>
          <w:p w14:paraId="5BAF9C61" w14:textId="4AE3814D" w:rsidR="00EA6635" w:rsidRPr="00EA6635" w:rsidRDefault="00EA6635" w:rsidP="00EA6635">
            <w:pPr>
              <w:spacing w:after="0" w:line="252" w:lineRule="auto"/>
              <w:jc w:val="center"/>
              <w:rPr>
                <w:sz w:val="18"/>
                <w:szCs w:val="18"/>
              </w:rPr>
            </w:pPr>
            <w:r w:rsidRPr="00EA6635">
              <w:rPr>
                <w:rFonts w:cs="Arial"/>
                <w:color w:val="202020"/>
                <w:sz w:val="18"/>
                <w:szCs w:val="18"/>
              </w:rPr>
              <w:t>0.011</w:t>
            </w:r>
          </w:p>
        </w:tc>
        <w:tc>
          <w:tcPr>
            <w:tcW w:w="916" w:type="pct"/>
            <w:vAlign w:val="center"/>
          </w:tcPr>
          <w:p w14:paraId="7B0F2614" w14:textId="16829B9D" w:rsidR="00EA6635" w:rsidRPr="00EA6635" w:rsidRDefault="00EA6635" w:rsidP="00EA6635">
            <w:pPr>
              <w:spacing w:after="0" w:line="252" w:lineRule="auto"/>
              <w:jc w:val="center"/>
              <w:rPr>
                <w:sz w:val="18"/>
                <w:szCs w:val="18"/>
              </w:rPr>
            </w:pPr>
            <w:r w:rsidRPr="00EA6635">
              <w:rPr>
                <w:rFonts w:cs="Arial"/>
                <w:color w:val="202020"/>
                <w:sz w:val="18"/>
                <w:szCs w:val="18"/>
              </w:rPr>
              <w:t>0.439 (0.508)</w:t>
            </w:r>
          </w:p>
        </w:tc>
      </w:tr>
      <w:tr w:rsidR="00EA6635" w14:paraId="6D60EC9C" w14:textId="77777777" w:rsidTr="00EA6635">
        <w:trPr>
          <w:cantSplit/>
          <w:trHeight w:val="288"/>
          <w:jc w:val="center"/>
        </w:trPr>
        <w:tc>
          <w:tcPr>
            <w:tcW w:w="880" w:type="pct"/>
            <w:vAlign w:val="center"/>
          </w:tcPr>
          <w:p w14:paraId="75262415" w14:textId="77777777" w:rsidR="00EA6635" w:rsidRDefault="00EA6635" w:rsidP="00EA6635">
            <w:pPr>
              <w:spacing w:after="0" w:line="252" w:lineRule="auto"/>
            </w:pPr>
            <w:r>
              <w:rPr>
                <w:sz w:val="18"/>
              </w:rPr>
              <w:t>Consumption</w:t>
            </w:r>
          </w:p>
        </w:tc>
        <w:tc>
          <w:tcPr>
            <w:tcW w:w="414" w:type="pct"/>
            <w:vAlign w:val="center"/>
          </w:tcPr>
          <w:p w14:paraId="5343351C" w14:textId="77777777" w:rsidR="00EA6635" w:rsidRDefault="00EA6635" w:rsidP="00EA6635">
            <w:pPr>
              <w:spacing w:after="0" w:line="252" w:lineRule="auto"/>
              <w:jc w:val="center"/>
            </w:pPr>
            <w:r>
              <w:rPr>
                <w:sz w:val="18"/>
              </w:rPr>
              <w:t>-0.004</w:t>
            </w:r>
          </w:p>
        </w:tc>
        <w:tc>
          <w:tcPr>
            <w:tcW w:w="916" w:type="pct"/>
            <w:vAlign w:val="center"/>
          </w:tcPr>
          <w:p w14:paraId="54595A33" w14:textId="16367463" w:rsidR="00EA6635" w:rsidRPr="00EA6635" w:rsidRDefault="00EA6635" w:rsidP="00EA6635">
            <w:pPr>
              <w:spacing w:after="0" w:line="252" w:lineRule="auto"/>
              <w:jc w:val="center"/>
              <w:rPr>
                <w:sz w:val="18"/>
                <w:szCs w:val="18"/>
              </w:rPr>
            </w:pPr>
            <w:r w:rsidRPr="00EA6635">
              <w:rPr>
                <w:rFonts w:cs="Arial"/>
                <w:color w:val="202020"/>
                <w:sz w:val="18"/>
                <w:szCs w:val="18"/>
              </w:rPr>
              <w:t>0.369 (0.543)</w:t>
            </w:r>
          </w:p>
        </w:tc>
        <w:tc>
          <w:tcPr>
            <w:tcW w:w="479" w:type="pct"/>
            <w:vAlign w:val="center"/>
          </w:tcPr>
          <w:p w14:paraId="02E62701" w14:textId="3980A93E" w:rsidR="00EA6635" w:rsidRPr="00EA6635" w:rsidRDefault="00EA6635" w:rsidP="00EA6635">
            <w:pPr>
              <w:spacing w:after="0" w:line="252" w:lineRule="auto"/>
              <w:jc w:val="center"/>
              <w:rPr>
                <w:sz w:val="18"/>
                <w:szCs w:val="18"/>
              </w:rPr>
            </w:pPr>
            <w:r w:rsidRPr="00EA6635">
              <w:rPr>
                <w:rFonts w:cs="Arial"/>
                <w:color w:val="202020"/>
                <w:sz w:val="18"/>
                <w:szCs w:val="18"/>
              </w:rPr>
              <w:t>-0.007</w:t>
            </w:r>
          </w:p>
        </w:tc>
        <w:tc>
          <w:tcPr>
            <w:tcW w:w="982" w:type="pct"/>
            <w:vAlign w:val="center"/>
          </w:tcPr>
          <w:p w14:paraId="527307FC" w14:textId="74954E79" w:rsidR="00EA6635" w:rsidRPr="00EA6635" w:rsidRDefault="00EA6635" w:rsidP="00EA6635">
            <w:pPr>
              <w:spacing w:after="0" w:line="252" w:lineRule="auto"/>
              <w:jc w:val="center"/>
              <w:rPr>
                <w:sz w:val="18"/>
                <w:szCs w:val="18"/>
              </w:rPr>
            </w:pPr>
            <w:r w:rsidRPr="00EA6635">
              <w:rPr>
                <w:rFonts w:cs="Arial"/>
                <w:color w:val="202020"/>
                <w:sz w:val="18"/>
                <w:szCs w:val="18"/>
              </w:rPr>
              <w:t>1.350 (0.245)</w:t>
            </w:r>
          </w:p>
        </w:tc>
        <w:tc>
          <w:tcPr>
            <w:tcW w:w="414" w:type="pct"/>
            <w:vAlign w:val="center"/>
          </w:tcPr>
          <w:p w14:paraId="2206385A" w14:textId="083925EC" w:rsidR="00EA6635" w:rsidRPr="00EA6635" w:rsidRDefault="00EA6635" w:rsidP="00EA6635">
            <w:pPr>
              <w:spacing w:after="0" w:line="252" w:lineRule="auto"/>
              <w:jc w:val="center"/>
              <w:rPr>
                <w:sz w:val="18"/>
                <w:szCs w:val="18"/>
              </w:rPr>
            </w:pPr>
            <w:r w:rsidRPr="00EA6635">
              <w:rPr>
                <w:rFonts w:cs="Arial"/>
                <w:color w:val="202020"/>
                <w:sz w:val="18"/>
                <w:szCs w:val="18"/>
              </w:rPr>
              <w:t>-0.003</w:t>
            </w:r>
          </w:p>
        </w:tc>
        <w:tc>
          <w:tcPr>
            <w:tcW w:w="916" w:type="pct"/>
            <w:vAlign w:val="center"/>
          </w:tcPr>
          <w:p w14:paraId="63AC8B17" w14:textId="6128A1CB" w:rsidR="00EA6635" w:rsidRPr="00EA6635" w:rsidRDefault="00EA6635" w:rsidP="00EA6635">
            <w:pPr>
              <w:spacing w:after="0" w:line="252" w:lineRule="auto"/>
              <w:jc w:val="center"/>
              <w:rPr>
                <w:sz w:val="18"/>
                <w:szCs w:val="18"/>
              </w:rPr>
            </w:pPr>
            <w:r w:rsidRPr="00EA6635">
              <w:rPr>
                <w:rFonts w:cs="Arial"/>
                <w:color w:val="202020"/>
                <w:sz w:val="18"/>
                <w:szCs w:val="18"/>
              </w:rPr>
              <w:t>0.293 (0.588)</w:t>
            </w:r>
          </w:p>
        </w:tc>
      </w:tr>
      <w:tr w:rsidR="00EA6635" w14:paraId="079718B4" w14:textId="77777777" w:rsidTr="00EA6635">
        <w:trPr>
          <w:cantSplit/>
          <w:trHeight w:val="288"/>
          <w:jc w:val="center"/>
        </w:trPr>
        <w:tc>
          <w:tcPr>
            <w:tcW w:w="880" w:type="pct"/>
            <w:tcBorders>
              <w:bottom w:val="single" w:sz="4" w:space="0" w:color="auto"/>
            </w:tcBorders>
            <w:vAlign w:val="center"/>
          </w:tcPr>
          <w:p w14:paraId="3A621528" w14:textId="77777777" w:rsidR="00EA6635" w:rsidRDefault="00EA6635" w:rsidP="00EA6635">
            <w:pPr>
              <w:spacing w:after="0" w:line="252" w:lineRule="auto"/>
            </w:pPr>
            <w:r>
              <w:rPr>
                <w:sz w:val="18"/>
              </w:rPr>
              <w:t>Producer price</w:t>
            </w:r>
          </w:p>
        </w:tc>
        <w:tc>
          <w:tcPr>
            <w:tcW w:w="414" w:type="pct"/>
            <w:tcBorders>
              <w:bottom w:val="single" w:sz="4" w:space="0" w:color="auto"/>
            </w:tcBorders>
            <w:vAlign w:val="center"/>
          </w:tcPr>
          <w:p w14:paraId="5FD27C5E" w14:textId="77777777" w:rsidR="00EA6635" w:rsidRDefault="00EA6635" w:rsidP="00EA6635">
            <w:pPr>
              <w:spacing w:after="0" w:line="252" w:lineRule="auto"/>
              <w:jc w:val="center"/>
            </w:pPr>
            <w:r>
              <w:rPr>
                <w:sz w:val="18"/>
              </w:rPr>
              <w:t>0.055</w:t>
            </w:r>
          </w:p>
        </w:tc>
        <w:tc>
          <w:tcPr>
            <w:tcW w:w="916" w:type="pct"/>
            <w:tcBorders>
              <w:bottom w:val="single" w:sz="4" w:space="0" w:color="auto"/>
            </w:tcBorders>
            <w:vAlign w:val="center"/>
          </w:tcPr>
          <w:p w14:paraId="28F9FE03" w14:textId="4DD11B2C" w:rsidR="00EA6635" w:rsidRPr="00EA6635" w:rsidRDefault="00EA6635" w:rsidP="00EA6635">
            <w:pPr>
              <w:spacing w:after="0" w:line="252" w:lineRule="auto"/>
              <w:jc w:val="center"/>
              <w:rPr>
                <w:sz w:val="18"/>
                <w:szCs w:val="18"/>
              </w:rPr>
            </w:pPr>
            <w:r w:rsidRPr="00EA6635">
              <w:rPr>
                <w:rFonts w:cs="Arial"/>
                <w:color w:val="202020"/>
                <w:sz w:val="18"/>
                <w:szCs w:val="18"/>
              </w:rPr>
              <w:t>32.541 (&lt;0.001)</w:t>
            </w:r>
          </w:p>
        </w:tc>
        <w:tc>
          <w:tcPr>
            <w:tcW w:w="479" w:type="pct"/>
            <w:tcBorders>
              <w:bottom w:val="single" w:sz="4" w:space="0" w:color="auto"/>
            </w:tcBorders>
            <w:vAlign w:val="center"/>
          </w:tcPr>
          <w:p w14:paraId="19928718" w14:textId="7250B9A2" w:rsidR="00EA6635" w:rsidRPr="00EA6635" w:rsidRDefault="00EA6635" w:rsidP="00EA6635">
            <w:pPr>
              <w:spacing w:after="0" w:line="252" w:lineRule="auto"/>
              <w:jc w:val="center"/>
              <w:rPr>
                <w:sz w:val="18"/>
                <w:szCs w:val="18"/>
              </w:rPr>
            </w:pPr>
            <w:r w:rsidRPr="00EA6635">
              <w:rPr>
                <w:rFonts w:cs="Arial"/>
                <w:color w:val="202020"/>
                <w:sz w:val="18"/>
                <w:szCs w:val="18"/>
              </w:rPr>
              <w:t>0.023</w:t>
            </w:r>
          </w:p>
        </w:tc>
        <w:tc>
          <w:tcPr>
            <w:tcW w:w="982" w:type="pct"/>
            <w:tcBorders>
              <w:bottom w:val="single" w:sz="4" w:space="0" w:color="auto"/>
            </w:tcBorders>
            <w:vAlign w:val="center"/>
          </w:tcPr>
          <w:p w14:paraId="25555A91" w14:textId="5F81C932" w:rsidR="00EA6635" w:rsidRPr="00EA6635" w:rsidRDefault="00EA6635" w:rsidP="00EA6635">
            <w:pPr>
              <w:spacing w:after="0" w:line="252" w:lineRule="auto"/>
              <w:jc w:val="center"/>
              <w:rPr>
                <w:sz w:val="18"/>
                <w:szCs w:val="18"/>
              </w:rPr>
            </w:pPr>
            <w:r w:rsidRPr="00EA6635">
              <w:rPr>
                <w:rFonts w:cs="Arial"/>
                <w:color w:val="202020"/>
                <w:sz w:val="18"/>
                <w:szCs w:val="18"/>
              </w:rPr>
              <w:t>5.888 (0.015)</w:t>
            </w:r>
          </w:p>
        </w:tc>
        <w:tc>
          <w:tcPr>
            <w:tcW w:w="414" w:type="pct"/>
            <w:tcBorders>
              <w:bottom w:val="single" w:sz="4" w:space="0" w:color="auto"/>
            </w:tcBorders>
            <w:vAlign w:val="center"/>
          </w:tcPr>
          <w:p w14:paraId="56804504" w14:textId="3E3C84F9" w:rsidR="00EA6635" w:rsidRPr="00EA6635" w:rsidRDefault="00EA6635" w:rsidP="00EA6635">
            <w:pPr>
              <w:spacing w:after="0" w:line="252" w:lineRule="auto"/>
              <w:jc w:val="center"/>
              <w:rPr>
                <w:sz w:val="18"/>
                <w:szCs w:val="18"/>
              </w:rPr>
            </w:pPr>
            <w:r w:rsidRPr="00EA6635">
              <w:rPr>
                <w:rFonts w:cs="Arial"/>
                <w:color w:val="202020"/>
                <w:sz w:val="18"/>
                <w:szCs w:val="18"/>
              </w:rPr>
              <w:t>-0.032</w:t>
            </w:r>
          </w:p>
        </w:tc>
        <w:tc>
          <w:tcPr>
            <w:tcW w:w="916" w:type="pct"/>
            <w:tcBorders>
              <w:bottom w:val="single" w:sz="4" w:space="0" w:color="auto"/>
            </w:tcBorders>
            <w:vAlign w:val="center"/>
          </w:tcPr>
          <w:p w14:paraId="11E48A37" w14:textId="73AAD09E" w:rsidR="00EA6635" w:rsidRPr="00EA6635" w:rsidRDefault="00EA6635" w:rsidP="00EA6635">
            <w:pPr>
              <w:spacing w:after="0" w:line="252" w:lineRule="auto"/>
              <w:jc w:val="center"/>
              <w:rPr>
                <w:sz w:val="18"/>
                <w:szCs w:val="18"/>
              </w:rPr>
            </w:pPr>
            <w:r w:rsidRPr="00EA6635">
              <w:rPr>
                <w:rFonts w:cs="Arial"/>
                <w:color w:val="202020"/>
                <w:sz w:val="18"/>
                <w:szCs w:val="18"/>
              </w:rPr>
              <w:t>10.867 (&lt;0.001)</w:t>
            </w:r>
          </w:p>
        </w:tc>
      </w:tr>
    </w:tbl>
    <w:p w14:paraId="76497C35" w14:textId="77777777" w:rsidR="0015405F" w:rsidRDefault="0015405F" w:rsidP="0015405F">
      <w:pPr>
        <w:rPr>
          <w:rFonts w:cs="Arial"/>
        </w:rPr>
      </w:pPr>
    </w:p>
    <w:p w14:paraId="3006771D" w14:textId="77777777" w:rsidR="0015405F" w:rsidRDefault="0015405F" w:rsidP="0015405F">
      <w:pPr>
        <w:rPr>
          <w:rFonts w:cs="Arial"/>
        </w:rPr>
      </w:pPr>
    </w:p>
    <w:p w14:paraId="228E8BC7" w14:textId="77777777" w:rsidR="0015405F" w:rsidRDefault="0015405F">
      <w:pPr>
        <w:rPr>
          <w:b/>
          <w:iCs/>
          <w:szCs w:val="18"/>
        </w:rPr>
      </w:pPr>
      <w:bookmarkStart w:id="68" w:name="_Ref240384720"/>
      <w:r>
        <w:br w:type="page"/>
      </w:r>
    </w:p>
    <w:p w14:paraId="1F68CD3A" w14:textId="07CAC909" w:rsidR="0015405F" w:rsidRPr="0015405F" w:rsidRDefault="00936262" w:rsidP="0015405F">
      <w:pPr>
        <w:pStyle w:val="Caption"/>
        <w:jc w:val="both"/>
        <w:rPr>
          <w:vanish/>
          <w:specVanish/>
        </w:rPr>
      </w:pPr>
      <w:bookmarkStart w:id="69" w:name="_Ref241137915"/>
      <w:bookmarkStart w:id="70" w:name="_Toc241138219"/>
      <w:r w:rsidRPr="0015405F">
        <w:lastRenderedPageBreak/>
        <w:t xml:space="preserve">Supplementary Table </w:t>
      </w:r>
      <w:fldSimple w:instr=" SEQ Table \* ARABIC ">
        <w:r w:rsidR="003E354C">
          <w:rPr>
            <w:noProof/>
          </w:rPr>
          <w:t>9</w:t>
        </w:r>
      </w:fldSimple>
      <w:bookmarkEnd w:id="68"/>
      <w:bookmarkEnd w:id="69"/>
      <w:r w:rsidRPr="0015405F">
        <w:t xml:space="preserve"> | </w:t>
      </w:r>
      <w:r w:rsidR="0015405F" w:rsidRPr="0015405F">
        <w:t>Fixed-effect robustness of period-to-period transmission elasticities.</w:t>
      </w:r>
      <w:bookmarkEnd w:id="70"/>
    </w:p>
    <w:p w14:paraId="56950903" w14:textId="54FD7C74" w:rsidR="0015405F" w:rsidRDefault="0015405F" w:rsidP="0015405F">
      <w:pPr>
        <w:jc w:val="both"/>
      </w:pPr>
      <w:r>
        <w:t xml:space="preserve"> Panels A and B report the region fixed-effect and region–crop-market fixed-effect specifications, respectively. Entries in the first three numerical columns are slope coefficients (β), with standard errors (SEs) in parentheses. Each scenario-specific regression contains 640 observations from 40 region–crop markets and 16 transitions over 202</w:t>
      </w:r>
      <w:r w:rsidR="00412613">
        <w:t>1</w:t>
      </w:r>
      <w:r>
        <w:t>–2100. The final three columns report pairwise Wald F</w:t>
      </w:r>
      <w:r w:rsidR="00900113">
        <w:t xml:space="preserve"> statistics with</w:t>
      </w:r>
      <w:r>
        <w:t xml:space="preserve"> P values</w:t>
      </w:r>
      <w:r w:rsidR="00900113">
        <w:t xml:space="preserve"> in parentheses</w:t>
      </w:r>
      <w:r>
        <w:t xml:space="preserve"> for equality of coefficients between storage representations within each specification; each pairwise test has one numerator degree of freedom. All available individual-slope tests against zero have P &lt; 0.001. All elasticities are dimensionless. Data source: GCAM simulation analysis.</w:t>
      </w:r>
    </w:p>
    <w:p w14:paraId="22242711" w14:textId="483CA6C8" w:rsidR="0015405F" w:rsidRPr="0015405F" w:rsidRDefault="0015405F" w:rsidP="0015405F">
      <w:pPr>
        <w:jc w:val="both"/>
        <w:rPr>
          <w:b/>
          <w:bCs/>
        </w:rPr>
      </w:pPr>
      <w:r w:rsidRPr="0015405F">
        <w:rPr>
          <w:b/>
          <w:bCs/>
        </w:rPr>
        <w:t>A | Region fixed effects</w:t>
      </w:r>
    </w:p>
    <w:tbl>
      <w:tblPr>
        <w:tblW w:w="5000" w:type="pct"/>
        <w:jc w:val="center"/>
        <w:tblBorders>
          <w:top w:val="single" w:sz="6" w:space="0" w:color="6B7780"/>
          <w:left w:val="nil"/>
          <w:bottom w:val="single" w:sz="6" w:space="0" w:color="6B7780"/>
          <w:right w:val="nil"/>
          <w:insideH w:val="nil"/>
          <w:insideV w:val="nil"/>
        </w:tblBorders>
        <w:tblCellMar>
          <w:top w:w="65" w:type="dxa"/>
          <w:left w:w="60" w:type="dxa"/>
          <w:bottom w:w="65" w:type="dxa"/>
          <w:right w:w="60" w:type="dxa"/>
        </w:tblCellMar>
        <w:tblLook w:val="04A0" w:firstRow="1" w:lastRow="0" w:firstColumn="1" w:lastColumn="0" w:noHBand="0" w:noVBand="1"/>
      </w:tblPr>
      <w:tblGrid>
        <w:gridCol w:w="1562"/>
        <w:gridCol w:w="1456"/>
        <w:gridCol w:w="1456"/>
        <w:gridCol w:w="1458"/>
        <w:gridCol w:w="1624"/>
        <w:gridCol w:w="1743"/>
        <w:gridCol w:w="1501"/>
      </w:tblGrid>
      <w:tr w:rsidR="0015405F" w14:paraId="586CAD7E" w14:textId="77777777" w:rsidTr="00900113">
        <w:trPr>
          <w:cantSplit/>
          <w:trHeight w:val="288"/>
          <w:tblHeader/>
          <w:jc w:val="center"/>
        </w:trPr>
        <w:tc>
          <w:tcPr>
            <w:tcW w:w="723" w:type="pct"/>
            <w:vMerge w:val="restart"/>
            <w:tcBorders>
              <w:top w:val="single" w:sz="4" w:space="0" w:color="auto"/>
            </w:tcBorders>
            <w:shd w:val="clear" w:color="auto" w:fill="E7E6E6" w:themeFill="background2"/>
            <w:vAlign w:val="center"/>
          </w:tcPr>
          <w:p w14:paraId="5FFB74FD" w14:textId="77777777" w:rsidR="0015405F" w:rsidRDefault="0015405F" w:rsidP="004C1C36">
            <w:pPr>
              <w:spacing w:after="0" w:line="252" w:lineRule="auto"/>
              <w:jc w:val="center"/>
            </w:pPr>
            <w:r>
              <w:rPr>
                <w:b/>
                <w:sz w:val="18"/>
              </w:rPr>
              <w:t>Outcome</w:t>
            </w:r>
          </w:p>
        </w:tc>
        <w:tc>
          <w:tcPr>
            <w:tcW w:w="2023" w:type="pct"/>
            <w:gridSpan w:val="3"/>
            <w:tcBorders>
              <w:top w:val="single" w:sz="4" w:space="0" w:color="auto"/>
            </w:tcBorders>
            <w:shd w:val="clear" w:color="auto" w:fill="E7E6E6" w:themeFill="background2"/>
            <w:vAlign w:val="center"/>
          </w:tcPr>
          <w:p w14:paraId="243104D8" w14:textId="45BB4245" w:rsidR="0015405F" w:rsidRDefault="0015405F" w:rsidP="0015405F">
            <w:pPr>
              <w:spacing w:after="0" w:line="252" w:lineRule="auto"/>
              <w:jc w:val="center"/>
            </w:pPr>
            <w:r>
              <w:rPr>
                <w:b/>
                <w:sz w:val="18"/>
              </w:rPr>
              <w:t>Transmission elasticity, β (SE)</w:t>
            </w:r>
          </w:p>
        </w:tc>
        <w:tc>
          <w:tcPr>
            <w:tcW w:w="2255" w:type="pct"/>
            <w:gridSpan w:val="3"/>
            <w:tcBorders>
              <w:top w:val="single" w:sz="4" w:space="0" w:color="auto"/>
            </w:tcBorders>
            <w:shd w:val="clear" w:color="auto" w:fill="E7E6E6" w:themeFill="background2"/>
            <w:vAlign w:val="center"/>
          </w:tcPr>
          <w:p w14:paraId="27FAB7DF" w14:textId="25760AE0" w:rsidR="0015405F" w:rsidRDefault="0015405F" w:rsidP="0015405F">
            <w:pPr>
              <w:spacing w:after="0" w:line="252" w:lineRule="auto"/>
              <w:jc w:val="center"/>
            </w:pPr>
            <w:r>
              <w:rPr>
                <w:b/>
                <w:sz w:val="18"/>
              </w:rPr>
              <w:t>Pairwise Wald</w:t>
            </w:r>
            <w:r w:rsidR="00900113">
              <w:rPr>
                <w:b/>
                <w:sz w:val="18"/>
              </w:rPr>
              <w:t xml:space="preserve"> F</w:t>
            </w:r>
            <w:r>
              <w:rPr>
                <w:b/>
                <w:sz w:val="18"/>
              </w:rPr>
              <w:t xml:space="preserve"> </w:t>
            </w:r>
            <w:r w:rsidR="00900113">
              <w:rPr>
                <w:b/>
                <w:sz w:val="18"/>
              </w:rPr>
              <w:t>(</w:t>
            </w:r>
            <w:r>
              <w:rPr>
                <w:b/>
                <w:sz w:val="18"/>
              </w:rPr>
              <w:t>P</w:t>
            </w:r>
            <w:r w:rsidR="00900113">
              <w:rPr>
                <w:b/>
                <w:sz w:val="18"/>
              </w:rPr>
              <w:t>)</w:t>
            </w:r>
          </w:p>
        </w:tc>
      </w:tr>
      <w:tr w:rsidR="0015405F" w14:paraId="14317010" w14:textId="77777777" w:rsidTr="00900113">
        <w:trPr>
          <w:cantSplit/>
          <w:trHeight w:val="144"/>
          <w:tblHeader/>
          <w:jc w:val="center"/>
        </w:trPr>
        <w:tc>
          <w:tcPr>
            <w:tcW w:w="723" w:type="pct"/>
            <w:vMerge/>
            <w:tcBorders>
              <w:bottom w:val="single" w:sz="4" w:space="0" w:color="auto"/>
            </w:tcBorders>
            <w:shd w:val="clear" w:color="auto" w:fill="E7E6E6" w:themeFill="background2"/>
            <w:vAlign w:val="center"/>
          </w:tcPr>
          <w:p w14:paraId="5C489F8D" w14:textId="77777777" w:rsidR="0015405F" w:rsidRDefault="0015405F" w:rsidP="004C1C36">
            <w:pPr>
              <w:spacing w:after="0" w:line="252" w:lineRule="auto"/>
              <w:jc w:val="center"/>
            </w:pPr>
          </w:p>
        </w:tc>
        <w:tc>
          <w:tcPr>
            <w:tcW w:w="674" w:type="pct"/>
            <w:tcBorders>
              <w:bottom w:val="single" w:sz="4" w:space="0" w:color="auto"/>
            </w:tcBorders>
            <w:shd w:val="clear" w:color="auto" w:fill="E7E6E6" w:themeFill="background2"/>
            <w:vAlign w:val="center"/>
          </w:tcPr>
          <w:p w14:paraId="691DC9D3" w14:textId="77777777" w:rsidR="0015405F" w:rsidRDefault="0015405F" w:rsidP="004C1C36">
            <w:pPr>
              <w:spacing w:after="0" w:line="252" w:lineRule="auto"/>
              <w:jc w:val="center"/>
            </w:pPr>
            <w:r>
              <w:rPr>
                <w:b/>
                <w:sz w:val="18"/>
              </w:rPr>
              <w:t>Dynamic</w:t>
            </w:r>
          </w:p>
        </w:tc>
        <w:tc>
          <w:tcPr>
            <w:tcW w:w="674" w:type="pct"/>
            <w:tcBorders>
              <w:bottom w:val="single" w:sz="4" w:space="0" w:color="auto"/>
            </w:tcBorders>
            <w:shd w:val="clear" w:color="auto" w:fill="E7E6E6" w:themeFill="background2"/>
            <w:vAlign w:val="center"/>
          </w:tcPr>
          <w:p w14:paraId="36D4892E" w14:textId="77777777" w:rsidR="0015405F" w:rsidRDefault="0015405F" w:rsidP="004C1C36">
            <w:pPr>
              <w:spacing w:after="0" w:line="252" w:lineRule="auto"/>
              <w:jc w:val="center"/>
            </w:pPr>
            <w:r>
              <w:rPr>
                <w:b/>
                <w:sz w:val="18"/>
              </w:rPr>
              <w:t>Hidden</w:t>
            </w:r>
          </w:p>
        </w:tc>
        <w:tc>
          <w:tcPr>
            <w:tcW w:w="674" w:type="pct"/>
            <w:tcBorders>
              <w:bottom w:val="single" w:sz="4" w:space="0" w:color="auto"/>
            </w:tcBorders>
            <w:shd w:val="clear" w:color="auto" w:fill="E7E6E6" w:themeFill="background2"/>
            <w:vAlign w:val="center"/>
          </w:tcPr>
          <w:p w14:paraId="129F8846" w14:textId="77777777" w:rsidR="0015405F" w:rsidRDefault="0015405F" w:rsidP="004C1C36">
            <w:pPr>
              <w:spacing w:after="0" w:line="252" w:lineRule="auto"/>
              <w:jc w:val="center"/>
            </w:pPr>
            <w:r>
              <w:rPr>
                <w:b/>
                <w:sz w:val="18"/>
              </w:rPr>
              <w:t>Fixed-Ratio</w:t>
            </w:r>
          </w:p>
        </w:tc>
        <w:tc>
          <w:tcPr>
            <w:tcW w:w="752" w:type="pct"/>
            <w:tcBorders>
              <w:bottom w:val="single" w:sz="4" w:space="0" w:color="auto"/>
            </w:tcBorders>
            <w:shd w:val="clear" w:color="auto" w:fill="E7E6E6" w:themeFill="background2"/>
            <w:vAlign w:val="center"/>
          </w:tcPr>
          <w:p w14:paraId="0D3BA1C0" w14:textId="77777777" w:rsidR="0015405F" w:rsidRDefault="0015405F" w:rsidP="004C1C36">
            <w:pPr>
              <w:spacing w:after="0" w:line="252" w:lineRule="auto"/>
              <w:jc w:val="center"/>
            </w:pPr>
            <w:r>
              <w:rPr>
                <w:b/>
                <w:sz w:val="18"/>
              </w:rPr>
              <w:t>Dynamic vs</w:t>
            </w:r>
            <w:r>
              <w:rPr>
                <w:b/>
                <w:sz w:val="18"/>
              </w:rPr>
              <w:br/>
              <w:t>Hidden</w:t>
            </w:r>
          </w:p>
        </w:tc>
        <w:tc>
          <w:tcPr>
            <w:tcW w:w="807" w:type="pct"/>
            <w:tcBorders>
              <w:bottom w:val="single" w:sz="4" w:space="0" w:color="auto"/>
            </w:tcBorders>
            <w:shd w:val="clear" w:color="auto" w:fill="E7E6E6" w:themeFill="background2"/>
            <w:vAlign w:val="center"/>
          </w:tcPr>
          <w:p w14:paraId="43B8FEB1" w14:textId="77777777" w:rsidR="0015405F" w:rsidRDefault="0015405F" w:rsidP="004C1C36">
            <w:pPr>
              <w:spacing w:after="0" w:line="252" w:lineRule="auto"/>
              <w:jc w:val="center"/>
            </w:pPr>
            <w:r>
              <w:rPr>
                <w:b/>
                <w:sz w:val="18"/>
              </w:rPr>
              <w:t>Dynamic vs</w:t>
            </w:r>
            <w:r>
              <w:rPr>
                <w:b/>
                <w:sz w:val="18"/>
              </w:rPr>
              <w:br/>
              <w:t>Fixed-Ratio</w:t>
            </w:r>
          </w:p>
        </w:tc>
        <w:tc>
          <w:tcPr>
            <w:tcW w:w="696" w:type="pct"/>
            <w:tcBorders>
              <w:bottom w:val="single" w:sz="4" w:space="0" w:color="auto"/>
            </w:tcBorders>
            <w:shd w:val="clear" w:color="auto" w:fill="E7E6E6" w:themeFill="background2"/>
            <w:vAlign w:val="center"/>
          </w:tcPr>
          <w:p w14:paraId="2B0FB221" w14:textId="77777777" w:rsidR="0015405F" w:rsidRDefault="0015405F" w:rsidP="004C1C36">
            <w:pPr>
              <w:spacing w:after="0" w:line="252" w:lineRule="auto"/>
              <w:jc w:val="center"/>
            </w:pPr>
            <w:r>
              <w:rPr>
                <w:b/>
                <w:sz w:val="18"/>
              </w:rPr>
              <w:t>Hidden vs</w:t>
            </w:r>
            <w:r>
              <w:rPr>
                <w:b/>
                <w:sz w:val="18"/>
              </w:rPr>
              <w:br/>
              <w:t>Fixed-Ratio</w:t>
            </w:r>
          </w:p>
        </w:tc>
      </w:tr>
      <w:tr w:rsidR="00900113" w14:paraId="31EC40CD" w14:textId="77777777" w:rsidTr="00900113">
        <w:trPr>
          <w:cantSplit/>
          <w:trHeight w:val="288"/>
          <w:jc w:val="center"/>
        </w:trPr>
        <w:tc>
          <w:tcPr>
            <w:tcW w:w="723" w:type="pct"/>
            <w:tcBorders>
              <w:top w:val="single" w:sz="4" w:space="0" w:color="auto"/>
            </w:tcBorders>
            <w:vAlign w:val="center"/>
          </w:tcPr>
          <w:p w14:paraId="47A4C1A5" w14:textId="77777777" w:rsidR="00900113" w:rsidRDefault="00900113" w:rsidP="00900113">
            <w:pPr>
              <w:spacing w:after="0" w:line="252" w:lineRule="auto"/>
            </w:pPr>
            <w:r>
              <w:rPr>
                <w:sz w:val="18"/>
              </w:rPr>
              <w:t>Realized yield</w:t>
            </w:r>
          </w:p>
        </w:tc>
        <w:tc>
          <w:tcPr>
            <w:tcW w:w="674" w:type="pct"/>
            <w:tcBorders>
              <w:top w:val="single" w:sz="4" w:space="0" w:color="auto"/>
            </w:tcBorders>
            <w:vAlign w:val="center"/>
          </w:tcPr>
          <w:p w14:paraId="16A5BAC0" w14:textId="77777777" w:rsidR="00900113" w:rsidRDefault="00900113" w:rsidP="00900113">
            <w:pPr>
              <w:spacing w:after="0" w:line="252" w:lineRule="auto"/>
              <w:jc w:val="center"/>
            </w:pPr>
            <w:r>
              <w:rPr>
                <w:sz w:val="18"/>
              </w:rPr>
              <w:t>0.994 (0.010)</w:t>
            </w:r>
          </w:p>
        </w:tc>
        <w:tc>
          <w:tcPr>
            <w:tcW w:w="674" w:type="pct"/>
            <w:tcBorders>
              <w:top w:val="single" w:sz="4" w:space="0" w:color="auto"/>
            </w:tcBorders>
            <w:vAlign w:val="center"/>
          </w:tcPr>
          <w:p w14:paraId="6EFA0920" w14:textId="77777777" w:rsidR="00900113" w:rsidRDefault="00900113" w:rsidP="00900113">
            <w:pPr>
              <w:spacing w:after="0" w:line="252" w:lineRule="auto"/>
              <w:jc w:val="center"/>
            </w:pPr>
            <w:r>
              <w:rPr>
                <w:sz w:val="18"/>
              </w:rPr>
              <w:t>1.005 (0.010)</w:t>
            </w:r>
          </w:p>
        </w:tc>
        <w:tc>
          <w:tcPr>
            <w:tcW w:w="674" w:type="pct"/>
            <w:tcBorders>
              <w:top w:val="single" w:sz="4" w:space="0" w:color="auto"/>
            </w:tcBorders>
            <w:vAlign w:val="center"/>
          </w:tcPr>
          <w:p w14:paraId="093D055E" w14:textId="77777777" w:rsidR="00900113" w:rsidRDefault="00900113" w:rsidP="00900113">
            <w:pPr>
              <w:spacing w:after="0" w:line="252" w:lineRule="auto"/>
              <w:jc w:val="center"/>
            </w:pPr>
            <w:r>
              <w:rPr>
                <w:sz w:val="18"/>
              </w:rPr>
              <w:t>0.994 (0.010)</w:t>
            </w:r>
          </w:p>
        </w:tc>
        <w:tc>
          <w:tcPr>
            <w:tcW w:w="752" w:type="pct"/>
            <w:tcBorders>
              <w:top w:val="single" w:sz="4" w:space="0" w:color="auto"/>
            </w:tcBorders>
            <w:vAlign w:val="center"/>
          </w:tcPr>
          <w:p w14:paraId="05039AA1" w14:textId="26914EF6" w:rsidR="00900113" w:rsidRPr="00900113" w:rsidRDefault="00900113" w:rsidP="00900113">
            <w:pPr>
              <w:spacing w:after="0" w:line="252" w:lineRule="auto"/>
              <w:jc w:val="center"/>
              <w:rPr>
                <w:sz w:val="18"/>
                <w:szCs w:val="18"/>
              </w:rPr>
            </w:pPr>
            <w:r w:rsidRPr="00900113">
              <w:rPr>
                <w:rFonts w:cs="Arial"/>
                <w:color w:val="202020"/>
                <w:sz w:val="18"/>
                <w:szCs w:val="18"/>
              </w:rPr>
              <w:t>0.659 (0.417)</w:t>
            </w:r>
          </w:p>
        </w:tc>
        <w:tc>
          <w:tcPr>
            <w:tcW w:w="807" w:type="pct"/>
            <w:tcBorders>
              <w:top w:val="single" w:sz="4" w:space="0" w:color="auto"/>
            </w:tcBorders>
            <w:vAlign w:val="center"/>
          </w:tcPr>
          <w:p w14:paraId="764FBDCB" w14:textId="1D98C053" w:rsidR="00900113" w:rsidRPr="00900113" w:rsidRDefault="00900113" w:rsidP="00900113">
            <w:pPr>
              <w:spacing w:after="0" w:line="252" w:lineRule="auto"/>
              <w:jc w:val="center"/>
              <w:rPr>
                <w:sz w:val="18"/>
                <w:szCs w:val="18"/>
              </w:rPr>
            </w:pPr>
            <w:r w:rsidRPr="00900113">
              <w:rPr>
                <w:rFonts w:cs="Arial"/>
                <w:color w:val="202020"/>
                <w:sz w:val="18"/>
                <w:szCs w:val="18"/>
              </w:rPr>
              <w:t>0.001 (0.975)</w:t>
            </w:r>
          </w:p>
        </w:tc>
        <w:tc>
          <w:tcPr>
            <w:tcW w:w="696" w:type="pct"/>
            <w:tcBorders>
              <w:top w:val="single" w:sz="4" w:space="0" w:color="auto"/>
            </w:tcBorders>
            <w:vAlign w:val="center"/>
          </w:tcPr>
          <w:p w14:paraId="6C31147F" w14:textId="74D63EBD" w:rsidR="00900113" w:rsidRPr="00900113" w:rsidRDefault="00900113" w:rsidP="00900113">
            <w:pPr>
              <w:spacing w:after="0" w:line="252" w:lineRule="auto"/>
              <w:jc w:val="center"/>
              <w:rPr>
                <w:sz w:val="18"/>
                <w:szCs w:val="18"/>
              </w:rPr>
            </w:pPr>
            <w:r w:rsidRPr="00900113">
              <w:rPr>
                <w:rFonts w:cs="Arial"/>
                <w:color w:val="202020"/>
                <w:sz w:val="18"/>
                <w:szCs w:val="18"/>
              </w:rPr>
              <w:t>0.608 (0.436)</w:t>
            </w:r>
          </w:p>
        </w:tc>
      </w:tr>
      <w:tr w:rsidR="00900113" w14:paraId="6A7C9F32" w14:textId="77777777" w:rsidTr="00900113">
        <w:trPr>
          <w:cantSplit/>
          <w:trHeight w:val="288"/>
          <w:jc w:val="center"/>
        </w:trPr>
        <w:tc>
          <w:tcPr>
            <w:tcW w:w="723" w:type="pct"/>
            <w:vAlign w:val="center"/>
          </w:tcPr>
          <w:p w14:paraId="4F7ECB45" w14:textId="77777777" w:rsidR="00900113" w:rsidRDefault="00900113" w:rsidP="00900113">
            <w:pPr>
              <w:spacing w:after="0" w:line="252" w:lineRule="auto"/>
            </w:pPr>
            <w:r>
              <w:rPr>
                <w:sz w:val="18"/>
              </w:rPr>
              <w:t>Area harvested</w:t>
            </w:r>
          </w:p>
        </w:tc>
        <w:tc>
          <w:tcPr>
            <w:tcW w:w="674" w:type="pct"/>
            <w:vAlign w:val="center"/>
          </w:tcPr>
          <w:p w14:paraId="4E48E4E4" w14:textId="77777777" w:rsidR="00900113" w:rsidRDefault="00900113" w:rsidP="00900113">
            <w:pPr>
              <w:spacing w:after="0" w:line="252" w:lineRule="auto"/>
              <w:jc w:val="center"/>
            </w:pPr>
            <w:r>
              <w:rPr>
                <w:sz w:val="18"/>
              </w:rPr>
              <w:t>-0.365 (0.017)</w:t>
            </w:r>
          </w:p>
        </w:tc>
        <w:tc>
          <w:tcPr>
            <w:tcW w:w="674" w:type="pct"/>
            <w:vAlign w:val="center"/>
          </w:tcPr>
          <w:p w14:paraId="5D81DBF6" w14:textId="77777777" w:rsidR="00900113" w:rsidRDefault="00900113" w:rsidP="00900113">
            <w:pPr>
              <w:spacing w:after="0" w:line="252" w:lineRule="auto"/>
              <w:jc w:val="center"/>
            </w:pPr>
            <w:r>
              <w:rPr>
                <w:sz w:val="18"/>
              </w:rPr>
              <w:t>-0.468 (0.015)</w:t>
            </w:r>
          </w:p>
        </w:tc>
        <w:tc>
          <w:tcPr>
            <w:tcW w:w="674" w:type="pct"/>
            <w:vAlign w:val="center"/>
          </w:tcPr>
          <w:p w14:paraId="59E0641A" w14:textId="77777777" w:rsidR="00900113" w:rsidRDefault="00900113" w:rsidP="00900113">
            <w:pPr>
              <w:spacing w:after="0" w:line="252" w:lineRule="auto"/>
              <w:jc w:val="center"/>
            </w:pPr>
            <w:r>
              <w:rPr>
                <w:sz w:val="18"/>
              </w:rPr>
              <w:t>-0.399 (0.016)</w:t>
            </w:r>
          </w:p>
        </w:tc>
        <w:tc>
          <w:tcPr>
            <w:tcW w:w="752" w:type="pct"/>
            <w:vAlign w:val="center"/>
          </w:tcPr>
          <w:p w14:paraId="106D1D54" w14:textId="43EF3854" w:rsidR="00900113" w:rsidRPr="00900113" w:rsidRDefault="00900113" w:rsidP="00900113">
            <w:pPr>
              <w:spacing w:after="0" w:line="252" w:lineRule="auto"/>
              <w:jc w:val="center"/>
              <w:rPr>
                <w:sz w:val="18"/>
                <w:szCs w:val="18"/>
              </w:rPr>
            </w:pPr>
            <w:r w:rsidRPr="00900113">
              <w:rPr>
                <w:rFonts w:cs="Arial"/>
                <w:color w:val="202020"/>
                <w:sz w:val="18"/>
                <w:szCs w:val="18"/>
              </w:rPr>
              <w:t>20.181 (&lt;0.001)</w:t>
            </w:r>
          </w:p>
        </w:tc>
        <w:tc>
          <w:tcPr>
            <w:tcW w:w="807" w:type="pct"/>
            <w:vAlign w:val="center"/>
          </w:tcPr>
          <w:p w14:paraId="450AD7DD" w14:textId="73711041" w:rsidR="00900113" w:rsidRPr="00900113" w:rsidRDefault="00900113" w:rsidP="00900113">
            <w:pPr>
              <w:spacing w:after="0" w:line="252" w:lineRule="auto"/>
              <w:jc w:val="center"/>
              <w:rPr>
                <w:sz w:val="18"/>
                <w:szCs w:val="18"/>
              </w:rPr>
            </w:pPr>
            <w:r w:rsidRPr="00900113">
              <w:rPr>
                <w:rFonts w:cs="Arial"/>
                <w:color w:val="202020"/>
                <w:sz w:val="18"/>
                <w:szCs w:val="18"/>
              </w:rPr>
              <w:t>2.253 (0.133)</w:t>
            </w:r>
          </w:p>
        </w:tc>
        <w:tc>
          <w:tcPr>
            <w:tcW w:w="696" w:type="pct"/>
            <w:vAlign w:val="center"/>
          </w:tcPr>
          <w:p w14:paraId="4C08038A" w14:textId="6045EEE8" w:rsidR="00900113" w:rsidRPr="00900113" w:rsidRDefault="00900113" w:rsidP="00900113">
            <w:pPr>
              <w:spacing w:after="0" w:line="252" w:lineRule="auto"/>
              <w:jc w:val="center"/>
              <w:rPr>
                <w:sz w:val="18"/>
                <w:szCs w:val="18"/>
              </w:rPr>
            </w:pPr>
            <w:r w:rsidRPr="00900113">
              <w:rPr>
                <w:rFonts w:cs="Arial"/>
                <w:color w:val="202020"/>
                <w:sz w:val="18"/>
                <w:szCs w:val="18"/>
              </w:rPr>
              <w:t>9.007 (0.003)</w:t>
            </w:r>
          </w:p>
        </w:tc>
      </w:tr>
      <w:tr w:rsidR="00900113" w14:paraId="2F7AF24F" w14:textId="77777777" w:rsidTr="00900113">
        <w:trPr>
          <w:cantSplit/>
          <w:trHeight w:val="288"/>
          <w:jc w:val="center"/>
        </w:trPr>
        <w:tc>
          <w:tcPr>
            <w:tcW w:w="723" w:type="pct"/>
            <w:vAlign w:val="center"/>
          </w:tcPr>
          <w:p w14:paraId="49F427BE" w14:textId="77777777" w:rsidR="00900113" w:rsidRDefault="00900113" w:rsidP="00900113">
            <w:pPr>
              <w:spacing w:after="0" w:line="252" w:lineRule="auto"/>
            </w:pPr>
            <w:r>
              <w:rPr>
                <w:sz w:val="18"/>
              </w:rPr>
              <w:t>Production</w:t>
            </w:r>
          </w:p>
        </w:tc>
        <w:tc>
          <w:tcPr>
            <w:tcW w:w="674" w:type="pct"/>
            <w:vAlign w:val="center"/>
          </w:tcPr>
          <w:p w14:paraId="36A5710D" w14:textId="77777777" w:rsidR="00900113" w:rsidRDefault="00900113" w:rsidP="00900113">
            <w:pPr>
              <w:spacing w:after="0" w:line="252" w:lineRule="auto"/>
              <w:jc w:val="center"/>
            </w:pPr>
            <w:r>
              <w:rPr>
                <w:sz w:val="18"/>
              </w:rPr>
              <w:t>0.629 (0.017)</w:t>
            </w:r>
          </w:p>
        </w:tc>
        <w:tc>
          <w:tcPr>
            <w:tcW w:w="674" w:type="pct"/>
            <w:vAlign w:val="center"/>
          </w:tcPr>
          <w:p w14:paraId="03EECF13" w14:textId="77777777" w:rsidR="00900113" w:rsidRDefault="00900113" w:rsidP="00900113">
            <w:pPr>
              <w:spacing w:after="0" w:line="252" w:lineRule="auto"/>
              <w:jc w:val="center"/>
            </w:pPr>
            <w:r>
              <w:rPr>
                <w:sz w:val="18"/>
              </w:rPr>
              <w:t>0.538 (0.014)</w:t>
            </w:r>
          </w:p>
        </w:tc>
        <w:tc>
          <w:tcPr>
            <w:tcW w:w="674" w:type="pct"/>
            <w:vAlign w:val="center"/>
          </w:tcPr>
          <w:p w14:paraId="7B8ACD16" w14:textId="77777777" w:rsidR="00900113" w:rsidRDefault="00900113" w:rsidP="00900113">
            <w:pPr>
              <w:spacing w:after="0" w:line="252" w:lineRule="auto"/>
              <w:jc w:val="center"/>
            </w:pPr>
            <w:r>
              <w:rPr>
                <w:sz w:val="18"/>
              </w:rPr>
              <w:t>0.595 (0.016)</w:t>
            </w:r>
          </w:p>
        </w:tc>
        <w:tc>
          <w:tcPr>
            <w:tcW w:w="752" w:type="pct"/>
            <w:vAlign w:val="center"/>
          </w:tcPr>
          <w:p w14:paraId="16EAC63F" w14:textId="5B5DA228" w:rsidR="00900113" w:rsidRPr="00900113" w:rsidRDefault="00900113" w:rsidP="00900113">
            <w:pPr>
              <w:spacing w:after="0" w:line="252" w:lineRule="auto"/>
              <w:jc w:val="center"/>
              <w:rPr>
                <w:sz w:val="18"/>
                <w:szCs w:val="18"/>
              </w:rPr>
            </w:pPr>
            <w:r w:rsidRPr="00900113">
              <w:rPr>
                <w:rFonts w:cs="Arial"/>
                <w:color w:val="202020"/>
                <w:sz w:val="18"/>
                <w:szCs w:val="18"/>
              </w:rPr>
              <w:t>17.208 (&lt;0.001)</w:t>
            </w:r>
          </w:p>
        </w:tc>
        <w:tc>
          <w:tcPr>
            <w:tcW w:w="807" w:type="pct"/>
            <w:vAlign w:val="center"/>
          </w:tcPr>
          <w:p w14:paraId="47C41F1A" w14:textId="7CEA4116" w:rsidR="00900113" w:rsidRPr="00900113" w:rsidRDefault="00900113" w:rsidP="00900113">
            <w:pPr>
              <w:spacing w:after="0" w:line="252" w:lineRule="auto"/>
              <w:jc w:val="center"/>
              <w:rPr>
                <w:sz w:val="18"/>
                <w:szCs w:val="18"/>
              </w:rPr>
            </w:pPr>
            <w:r w:rsidRPr="00900113">
              <w:rPr>
                <w:rFonts w:cs="Arial"/>
                <w:color w:val="202020"/>
                <w:sz w:val="18"/>
                <w:szCs w:val="18"/>
              </w:rPr>
              <w:t>2.382 (0.123)</w:t>
            </w:r>
          </w:p>
        </w:tc>
        <w:tc>
          <w:tcPr>
            <w:tcW w:w="696" w:type="pct"/>
            <w:vAlign w:val="center"/>
          </w:tcPr>
          <w:p w14:paraId="49E9F579" w14:textId="617F65E8" w:rsidR="00900113" w:rsidRPr="00900113" w:rsidRDefault="00900113" w:rsidP="00900113">
            <w:pPr>
              <w:spacing w:after="0" w:line="252" w:lineRule="auto"/>
              <w:jc w:val="center"/>
              <w:rPr>
                <w:sz w:val="18"/>
                <w:szCs w:val="18"/>
              </w:rPr>
            </w:pPr>
            <w:r w:rsidRPr="00900113">
              <w:rPr>
                <w:rFonts w:cs="Arial"/>
                <w:color w:val="202020"/>
                <w:sz w:val="18"/>
                <w:szCs w:val="18"/>
              </w:rPr>
              <w:t>6.843 (0.009)</w:t>
            </w:r>
          </w:p>
        </w:tc>
      </w:tr>
      <w:tr w:rsidR="00900113" w14:paraId="571A853A" w14:textId="77777777" w:rsidTr="00900113">
        <w:trPr>
          <w:cantSplit/>
          <w:trHeight w:val="288"/>
          <w:jc w:val="center"/>
        </w:trPr>
        <w:tc>
          <w:tcPr>
            <w:tcW w:w="723" w:type="pct"/>
            <w:vAlign w:val="center"/>
          </w:tcPr>
          <w:p w14:paraId="1AAE81E4" w14:textId="77777777" w:rsidR="00900113" w:rsidRDefault="00900113" w:rsidP="00900113">
            <w:pPr>
              <w:spacing w:after="0" w:line="252" w:lineRule="auto"/>
            </w:pPr>
            <w:r>
              <w:rPr>
                <w:sz w:val="18"/>
              </w:rPr>
              <w:t>Exports</w:t>
            </w:r>
          </w:p>
        </w:tc>
        <w:tc>
          <w:tcPr>
            <w:tcW w:w="674" w:type="pct"/>
            <w:vAlign w:val="center"/>
          </w:tcPr>
          <w:p w14:paraId="33B9BC5B" w14:textId="77777777" w:rsidR="00900113" w:rsidRDefault="00900113" w:rsidP="00900113">
            <w:pPr>
              <w:spacing w:after="0" w:line="252" w:lineRule="auto"/>
              <w:jc w:val="center"/>
            </w:pPr>
            <w:r>
              <w:rPr>
                <w:sz w:val="18"/>
              </w:rPr>
              <w:t>0.889 (0.032)</w:t>
            </w:r>
          </w:p>
        </w:tc>
        <w:tc>
          <w:tcPr>
            <w:tcW w:w="674" w:type="pct"/>
            <w:vAlign w:val="center"/>
          </w:tcPr>
          <w:p w14:paraId="777BAF32" w14:textId="77777777" w:rsidR="00900113" w:rsidRDefault="00900113" w:rsidP="00900113">
            <w:pPr>
              <w:spacing w:after="0" w:line="252" w:lineRule="auto"/>
              <w:jc w:val="center"/>
            </w:pPr>
            <w:r>
              <w:rPr>
                <w:sz w:val="18"/>
              </w:rPr>
              <w:t>1.063 (0.040)</w:t>
            </w:r>
          </w:p>
        </w:tc>
        <w:tc>
          <w:tcPr>
            <w:tcW w:w="674" w:type="pct"/>
            <w:vAlign w:val="center"/>
          </w:tcPr>
          <w:p w14:paraId="5EFCFD95" w14:textId="77777777" w:rsidR="00900113" w:rsidRDefault="00900113" w:rsidP="00900113">
            <w:pPr>
              <w:spacing w:after="0" w:line="252" w:lineRule="auto"/>
              <w:jc w:val="center"/>
            </w:pPr>
            <w:r>
              <w:rPr>
                <w:sz w:val="18"/>
              </w:rPr>
              <w:t>0.979 (0.037)</w:t>
            </w:r>
          </w:p>
        </w:tc>
        <w:tc>
          <w:tcPr>
            <w:tcW w:w="752" w:type="pct"/>
            <w:vAlign w:val="center"/>
          </w:tcPr>
          <w:p w14:paraId="2A99370A" w14:textId="067C9AFE" w:rsidR="00900113" w:rsidRPr="00900113" w:rsidRDefault="00900113" w:rsidP="00900113">
            <w:pPr>
              <w:spacing w:after="0" w:line="252" w:lineRule="auto"/>
              <w:jc w:val="center"/>
              <w:rPr>
                <w:sz w:val="18"/>
                <w:szCs w:val="18"/>
              </w:rPr>
            </w:pPr>
            <w:r w:rsidRPr="00900113">
              <w:rPr>
                <w:rFonts w:cs="Arial"/>
                <w:color w:val="202020"/>
                <w:sz w:val="18"/>
                <w:szCs w:val="18"/>
              </w:rPr>
              <w:t>11.494 (&lt;0.001)</w:t>
            </w:r>
          </w:p>
        </w:tc>
        <w:tc>
          <w:tcPr>
            <w:tcW w:w="807" w:type="pct"/>
            <w:vAlign w:val="center"/>
          </w:tcPr>
          <w:p w14:paraId="52E1426A" w14:textId="010D98AF" w:rsidR="00900113" w:rsidRPr="00900113" w:rsidRDefault="00900113" w:rsidP="00900113">
            <w:pPr>
              <w:spacing w:after="0" w:line="252" w:lineRule="auto"/>
              <w:jc w:val="center"/>
              <w:rPr>
                <w:sz w:val="18"/>
                <w:szCs w:val="18"/>
              </w:rPr>
            </w:pPr>
            <w:r w:rsidRPr="00900113">
              <w:rPr>
                <w:rFonts w:cs="Arial"/>
                <w:color w:val="202020"/>
                <w:sz w:val="18"/>
                <w:szCs w:val="18"/>
              </w:rPr>
              <w:t>3.116 (0.078)</w:t>
            </w:r>
          </w:p>
        </w:tc>
        <w:tc>
          <w:tcPr>
            <w:tcW w:w="696" w:type="pct"/>
            <w:vAlign w:val="center"/>
          </w:tcPr>
          <w:p w14:paraId="26BDB6CC" w14:textId="057027F3" w:rsidR="00900113" w:rsidRPr="00900113" w:rsidRDefault="00900113" w:rsidP="00900113">
            <w:pPr>
              <w:spacing w:after="0" w:line="252" w:lineRule="auto"/>
              <w:jc w:val="center"/>
              <w:rPr>
                <w:sz w:val="18"/>
                <w:szCs w:val="18"/>
              </w:rPr>
            </w:pPr>
            <w:r w:rsidRPr="00900113">
              <w:rPr>
                <w:rFonts w:cs="Arial"/>
                <w:color w:val="202020"/>
                <w:sz w:val="18"/>
                <w:szCs w:val="18"/>
              </w:rPr>
              <w:t>2.689 (0.101)</w:t>
            </w:r>
          </w:p>
        </w:tc>
      </w:tr>
      <w:tr w:rsidR="00900113" w14:paraId="7DBF00FB" w14:textId="77777777" w:rsidTr="00900113">
        <w:trPr>
          <w:cantSplit/>
          <w:trHeight w:val="288"/>
          <w:jc w:val="center"/>
        </w:trPr>
        <w:tc>
          <w:tcPr>
            <w:tcW w:w="723" w:type="pct"/>
            <w:vAlign w:val="center"/>
          </w:tcPr>
          <w:p w14:paraId="2F75E919" w14:textId="77777777" w:rsidR="00900113" w:rsidRPr="00295ED8" w:rsidRDefault="00900113" w:rsidP="00900113">
            <w:pPr>
              <w:spacing w:after="0" w:line="252" w:lineRule="auto"/>
              <w:rPr>
                <w:bCs/>
              </w:rPr>
            </w:pPr>
            <w:r w:rsidRPr="00295ED8">
              <w:rPr>
                <w:bCs/>
                <w:sz w:val="18"/>
              </w:rPr>
              <w:t>Closing stocks</w:t>
            </w:r>
          </w:p>
        </w:tc>
        <w:tc>
          <w:tcPr>
            <w:tcW w:w="674" w:type="pct"/>
            <w:vAlign w:val="center"/>
          </w:tcPr>
          <w:p w14:paraId="597C348E" w14:textId="77777777" w:rsidR="00900113" w:rsidRDefault="00900113" w:rsidP="00900113">
            <w:pPr>
              <w:spacing w:after="0" w:line="252" w:lineRule="auto"/>
              <w:jc w:val="center"/>
            </w:pPr>
            <w:r>
              <w:rPr>
                <w:sz w:val="18"/>
              </w:rPr>
              <w:t>0.184 (0.011)</w:t>
            </w:r>
          </w:p>
        </w:tc>
        <w:tc>
          <w:tcPr>
            <w:tcW w:w="674" w:type="pct"/>
            <w:vAlign w:val="center"/>
          </w:tcPr>
          <w:p w14:paraId="0CF90893" w14:textId="77777777" w:rsidR="00900113" w:rsidRDefault="00900113" w:rsidP="00900113">
            <w:pPr>
              <w:spacing w:after="0" w:line="252" w:lineRule="auto"/>
              <w:jc w:val="center"/>
            </w:pPr>
            <w:r>
              <w:rPr>
                <w:sz w:val="18"/>
              </w:rPr>
              <w:t>—</w:t>
            </w:r>
          </w:p>
        </w:tc>
        <w:tc>
          <w:tcPr>
            <w:tcW w:w="674" w:type="pct"/>
            <w:vAlign w:val="center"/>
          </w:tcPr>
          <w:p w14:paraId="48CAB2D6" w14:textId="77777777" w:rsidR="00900113" w:rsidRDefault="00900113" w:rsidP="00900113">
            <w:pPr>
              <w:spacing w:after="0" w:line="252" w:lineRule="auto"/>
              <w:jc w:val="center"/>
            </w:pPr>
            <w:r>
              <w:rPr>
                <w:sz w:val="18"/>
              </w:rPr>
              <w:t>0.039 (0.003)</w:t>
            </w:r>
          </w:p>
        </w:tc>
        <w:tc>
          <w:tcPr>
            <w:tcW w:w="752" w:type="pct"/>
            <w:vAlign w:val="center"/>
          </w:tcPr>
          <w:p w14:paraId="233BA7DE" w14:textId="71D3D718" w:rsidR="00900113" w:rsidRPr="00900113" w:rsidRDefault="00900113" w:rsidP="00900113">
            <w:pPr>
              <w:spacing w:after="0" w:line="252" w:lineRule="auto"/>
              <w:jc w:val="center"/>
              <w:rPr>
                <w:sz w:val="18"/>
                <w:szCs w:val="18"/>
              </w:rPr>
            </w:pPr>
            <w:r w:rsidRPr="00900113">
              <w:rPr>
                <w:rFonts w:cs="Arial"/>
                <w:color w:val="202020"/>
                <w:sz w:val="18"/>
                <w:szCs w:val="18"/>
              </w:rPr>
              <w:t>—</w:t>
            </w:r>
          </w:p>
        </w:tc>
        <w:tc>
          <w:tcPr>
            <w:tcW w:w="807" w:type="pct"/>
            <w:vAlign w:val="center"/>
          </w:tcPr>
          <w:p w14:paraId="42A3A73F" w14:textId="13498855" w:rsidR="00900113" w:rsidRPr="00900113" w:rsidRDefault="00900113" w:rsidP="00900113">
            <w:pPr>
              <w:spacing w:after="0" w:line="252" w:lineRule="auto"/>
              <w:jc w:val="center"/>
              <w:rPr>
                <w:sz w:val="18"/>
                <w:szCs w:val="18"/>
              </w:rPr>
            </w:pPr>
            <w:r w:rsidRPr="00900113">
              <w:rPr>
                <w:rFonts w:cs="Arial"/>
                <w:color w:val="202020"/>
                <w:sz w:val="18"/>
                <w:szCs w:val="18"/>
              </w:rPr>
              <w:t>168.755 (&lt;0.001)</w:t>
            </w:r>
          </w:p>
        </w:tc>
        <w:tc>
          <w:tcPr>
            <w:tcW w:w="696" w:type="pct"/>
            <w:vAlign w:val="center"/>
          </w:tcPr>
          <w:p w14:paraId="1B53ED30" w14:textId="20134D1F" w:rsidR="00900113" w:rsidRPr="00900113" w:rsidRDefault="00900113" w:rsidP="00900113">
            <w:pPr>
              <w:spacing w:after="0" w:line="252" w:lineRule="auto"/>
              <w:jc w:val="center"/>
              <w:rPr>
                <w:sz w:val="18"/>
                <w:szCs w:val="18"/>
              </w:rPr>
            </w:pPr>
            <w:r w:rsidRPr="00900113">
              <w:rPr>
                <w:rFonts w:cs="Arial"/>
                <w:color w:val="202020"/>
                <w:sz w:val="18"/>
                <w:szCs w:val="18"/>
              </w:rPr>
              <w:t>—</w:t>
            </w:r>
          </w:p>
        </w:tc>
      </w:tr>
      <w:tr w:rsidR="00900113" w14:paraId="27B57275" w14:textId="77777777" w:rsidTr="00900113">
        <w:trPr>
          <w:cantSplit/>
          <w:trHeight w:val="288"/>
          <w:jc w:val="center"/>
        </w:trPr>
        <w:tc>
          <w:tcPr>
            <w:tcW w:w="723" w:type="pct"/>
            <w:vAlign w:val="center"/>
          </w:tcPr>
          <w:p w14:paraId="2395A661" w14:textId="77777777" w:rsidR="00900113" w:rsidRDefault="00900113" w:rsidP="00900113">
            <w:pPr>
              <w:spacing w:after="0" w:line="252" w:lineRule="auto"/>
            </w:pPr>
            <w:r>
              <w:rPr>
                <w:sz w:val="18"/>
              </w:rPr>
              <w:t>Imports</w:t>
            </w:r>
          </w:p>
        </w:tc>
        <w:tc>
          <w:tcPr>
            <w:tcW w:w="674" w:type="pct"/>
            <w:vAlign w:val="center"/>
          </w:tcPr>
          <w:p w14:paraId="3F1CA131" w14:textId="77777777" w:rsidR="00900113" w:rsidRDefault="00900113" w:rsidP="00900113">
            <w:pPr>
              <w:spacing w:after="0" w:line="252" w:lineRule="auto"/>
              <w:jc w:val="center"/>
            </w:pPr>
            <w:r>
              <w:rPr>
                <w:sz w:val="18"/>
              </w:rPr>
              <w:t>-0.096 (0.012)</w:t>
            </w:r>
          </w:p>
        </w:tc>
        <w:tc>
          <w:tcPr>
            <w:tcW w:w="674" w:type="pct"/>
            <w:vAlign w:val="center"/>
          </w:tcPr>
          <w:p w14:paraId="4860B95B" w14:textId="77777777" w:rsidR="00900113" w:rsidRDefault="00900113" w:rsidP="00900113">
            <w:pPr>
              <w:spacing w:after="0" w:line="252" w:lineRule="auto"/>
              <w:jc w:val="center"/>
            </w:pPr>
            <w:r>
              <w:rPr>
                <w:sz w:val="18"/>
              </w:rPr>
              <w:t>-0.117 (0.012)</w:t>
            </w:r>
          </w:p>
        </w:tc>
        <w:tc>
          <w:tcPr>
            <w:tcW w:w="674" w:type="pct"/>
            <w:vAlign w:val="center"/>
          </w:tcPr>
          <w:p w14:paraId="41B3A8C2" w14:textId="77777777" w:rsidR="00900113" w:rsidRDefault="00900113" w:rsidP="00900113">
            <w:pPr>
              <w:spacing w:after="0" w:line="252" w:lineRule="auto"/>
              <w:jc w:val="center"/>
            </w:pPr>
            <w:r>
              <w:rPr>
                <w:sz w:val="18"/>
              </w:rPr>
              <w:t>-0.128 (0.012)</w:t>
            </w:r>
          </w:p>
        </w:tc>
        <w:tc>
          <w:tcPr>
            <w:tcW w:w="752" w:type="pct"/>
            <w:vAlign w:val="center"/>
          </w:tcPr>
          <w:p w14:paraId="245DE602" w14:textId="674F9CC4" w:rsidR="00900113" w:rsidRPr="00900113" w:rsidRDefault="00900113" w:rsidP="00900113">
            <w:pPr>
              <w:spacing w:after="0" w:line="252" w:lineRule="auto"/>
              <w:jc w:val="center"/>
              <w:rPr>
                <w:sz w:val="18"/>
                <w:szCs w:val="18"/>
              </w:rPr>
            </w:pPr>
            <w:r w:rsidRPr="00900113">
              <w:rPr>
                <w:rFonts w:cs="Arial"/>
                <w:color w:val="202020"/>
                <w:sz w:val="18"/>
                <w:szCs w:val="18"/>
              </w:rPr>
              <w:t>1.683 (0.195)</w:t>
            </w:r>
          </w:p>
        </w:tc>
        <w:tc>
          <w:tcPr>
            <w:tcW w:w="807" w:type="pct"/>
            <w:vAlign w:val="center"/>
          </w:tcPr>
          <w:p w14:paraId="414D91CD" w14:textId="0AC14C89" w:rsidR="00900113" w:rsidRPr="00900113" w:rsidRDefault="00900113" w:rsidP="00900113">
            <w:pPr>
              <w:spacing w:after="0" w:line="252" w:lineRule="auto"/>
              <w:jc w:val="center"/>
              <w:rPr>
                <w:sz w:val="18"/>
                <w:szCs w:val="18"/>
              </w:rPr>
            </w:pPr>
            <w:r w:rsidRPr="00900113">
              <w:rPr>
                <w:rFonts w:cs="Arial"/>
                <w:color w:val="202020"/>
                <w:sz w:val="18"/>
                <w:szCs w:val="18"/>
              </w:rPr>
              <w:t>3.922 (0.048)</w:t>
            </w:r>
          </w:p>
        </w:tc>
        <w:tc>
          <w:tcPr>
            <w:tcW w:w="696" w:type="pct"/>
            <w:vAlign w:val="center"/>
          </w:tcPr>
          <w:p w14:paraId="57DF2C5B" w14:textId="4004DAF9" w:rsidR="00900113" w:rsidRPr="00900113" w:rsidRDefault="00900113" w:rsidP="00900113">
            <w:pPr>
              <w:spacing w:after="0" w:line="252" w:lineRule="auto"/>
              <w:jc w:val="center"/>
              <w:rPr>
                <w:sz w:val="18"/>
                <w:szCs w:val="18"/>
              </w:rPr>
            </w:pPr>
            <w:r w:rsidRPr="00900113">
              <w:rPr>
                <w:rFonts w:cs="Arial"/>
                <w:color w:val="202020"/>
                <w:sz w:val="18"/>
                <w:szCs w:val="18"/>
              </w:rPr>
              <w:t>0.438 (0.508)</w:t>
            </w:r>
          </w:p>
        </w:tc>
      </w:tr>
      <w:tr w:rsidR="00900113" w14:paraId="6E9B5741" w14:textId="77777777" w:rsidTr="00900113">
        <w:trPr>
          <w:cantSplit/>
          <w:trHeight w:val="288"/>
          <w:jc w:val="center"/>
        </w:trPr>
        <w:tc>
          <w:tcPr>
            <w:tcW w:w="723" w:type="pct"/>
            <w:vAlign w:val="center"/>
          </w:tcPr>
          <w:p w14:paraId="76F4AC58" w14:textId="77777777" w:rsidR="00900113" w:rsidRDefault="00900113" w:rsidP="00900113">
            <w:pPr>
              <w:spacing w:after="0" w:line="252" w:lineRule="auto"/>
            </w:pPr>
            <w:r>
              <w:rPr>
                <w:sz w:val="18"/>
              </w:rPr>
              <w:t>Consumption</w:t>
            </w:r>
          </w:p>
        </w:tc>
        <w:tc>
          <w:tcPr>
            <w:tcW w:w="674" w:type="pct"/>
            <w:vAlign w:val="center"/>
          </w:tcPr>
          <w:p w14:paraId="2384B4DD" w14:textId="77777777" w:rsidR="00900113" w:rsidRDefault="00900113" w:rsidP="00900113">
            <w:pPr>
              <w:spacing w:after="0" w:line="252" w:lineRule="auto"/>
              <w:jc w:val="center"/>
            </w:pPr>
            <w:r>
              <w:rPr>
                <w:sz w:val="18"/>
              </w:rPr>
              <w:t>0.031 (0.004)</w:t>
            </w:r>
          </w:p>
        </w:tc>
        <w:tc>
          <w:tcPr>
            <w:tcW w:w="674" w:type="pct"/>
            <w:vAlign w:val="center"/>
          </w:tcPr>
          <w:p w14:paraId="351B56BB" w14:textId="77777777" w:rsidR="00900113" w:rsidRDefault="00900113" w:rsidP="00900113">
            <w:pPr>
              <w:spacing w:after="0" w:line="252" w:lineRule="auto"/>
              <w:jc w:val="center"/>
            </w:pPr>
            <w:r>
              <w:rPr>
                <w:sz w:val="18"/>
              </w:rPr>
              <w:t>0.034 (0.005)</w:t>
            </w:r>
          </w:p>
        </w:tc>
        <w:tc>
          <w:tcPr>
            <w:tcW w:w="674" w:type="pct"/>
            <w:vAlign w:val="center"/>
          </w:tcPr>
          <w:p w14:paraId="74DB129B" w14:textId="77777777" w:rsidR="00900113" w:rsidRDefault="00900113" w:rsidP="00900113">
            <w:pPr>
              <w:spacing w:after="0" w:line="252" w:lineRule="auto"/>
              <w:jc w:val="center"/>
            </w:pPr>
            <w:r>
              <w:rPr>
                <w:sz w:val="18"/>
              </w:rPr>
              <w:t>0.038 (0.004)</w:t>
            </w:r>
          </w:p>
        </w:tc>
        <w:tc>
          <w:tcPr>
            <w:tcW w:w="752" w:type="pct"/>
            <w:vAlign w:val="center"/>
          </w:tcPr>
          <w:p w14:paraId="1365B9E0" w14:textId="6C62EBE2" w:rsidR="00900113" w:rsidRPr="00900113" w:rsidRDefault="00900113" w:rsidP="00900113">
            <w:pPr>
              <w:spacing w:after="0" w:line="252" w:lineRule="auto"/>
              <w:jc w:val="center"/>
              <w:rPr>
                <w:sz w:val="18"/>
                <w:szCs w:val="18"/>
              </w:rPr>
            </w:pPr>
            <w:r w:rsidRPr="00900113">
              <w:rPr>
                <w:rFonts w:cs="Arial"/>
                <w:color w:val="202020"/>
                <w:sz w:val="18"/>
                <w:szCs w:val="18"/>
              </w:rPr>
              <w:t>0.367 (0.545)</w:t>
            </w:r>
          </w:p>
        </w:tc>
        <w:tc>
          <w:tcPr>
            <w:tcW w:w="807" w:type="pct"/>
            <w:vAlign w:val="center"/>
          </w:tcPr>
          <w:p w14:paraId="409879B4" w14:textId="6511B888" w:rsidR="00900113" w:rsidRPr="00900113" w:rsidRDefault="00900113" w:rsidP="00900113">
            <w:pPr>
              <w:spacing w:after="0" w:line="252" w:lineRule="auto"/>
              <w:jc w:val="center"/>
              <w:rPr>
                <w:sz w:val="18"/>
                <w:szCs w:val="18"/>
              </w:rPr>
            </w:pPr>
            <w:r w:rsidRPr="00900113">
              <w:rPr>
                <w:rFonts w:cs="Arial"/>
                <w:color w:val="202020"/>
                <w:sz w:val="18"/>
                <w:szCs w:val="18"/>
              </w:rPr>
              <w:t>1.346 (0.246)</w:t>
            </w:r>
          </w:p>
        </w:tc>
        <w:tc>
          <w:tcPr>
            <w:tcW w:w="696" w:type="pct"/>
            <w:vAlign w:val="center"/>
          </w:tcPr>
          <w:p w14:paraId="3481B220" w14:textId="1EA332EE" w:rsidR="00900113" w:rsidRPr="00900113" w:rsidRDefault="00900113" w:rsidP="00900113">
            <w:pPr>
              <w:spacing w:after="0" w:line="252" w:lineRule="auto"/>
              <w:jc w:val="center"/>
              <w:rPr>
                <w:sz w:val="18"/>
                <w:szCs w:val="18"/>
              </w:rPr>
            </w:pPr>
            <w:r w:rsidRPr="00900113">
              <w:rPr>
                <w:rFonts w:cs="Arial"/>
                <w:color w:val="202020"/>
                <w:sz w:val="18"/>
                <w:szCs w:val="18"/>
              </w:rPr>
              <w:t>0.293 (0.588)</w:t>
            </w:r>
          </w:p>
        </w:tc>
      </w:tr>
      <w:tr w:rsidR="00900113" w14:paraId="6E0CE16A" w14:textId="77777777" w:rsidTr="00900113">
        <w:trPr>
          <w:cantSplit/>
          <w:trHeight w:val="288"/>
          <w:jc w:val="center"/>
        </w:trPr>
        <w:tc>
          <w:tcPr>
            <w:tcW w:w="723" w:type="pct"/>
            <w:tcBorders>
              <w:bottom w:val="single" w:sz="4" w:space="0" w:color="auto"/>
            </w:tcBorders>
            <w:vAlign w:val="center"/>
          </w:tcPr>
          <w:p w14:paraId="586F4C74" w14:textId="77777777" w:rsidR="00900113" w:rsidRDefault="00900113" w:rsidP="00900113">
            <w:pPr>
              <w:spacing w:after="0" w:line="252" w:lineRule="auto"/>
            </w:pPr>
            <w:r>
              <w:rPr>
                <w:sz w:val="18"/>
              </w:rPr>
              <w:t>Producer price</w:t>
            </w:r>
          </w:p>
        </w:tc>
        <w:tc>
          <w:tcPr>
            <w:tcW w:w="674" w:type="pct"/>
            <w:tcBorders>
              <w:bottom w:val="single" w:sz="4" w:space="0" w:color="auto"/>
            </w:tcBorders>
            <w:vAlign w:val="center"/>
          </w:tcPr>
          <w:p w14:paraId="40D4D116" w14:textId="77777777" w:rsidR="00900113" w:rsidRDefault="00900113" w:rsidP="00900113">
            <w:pPr>
              <w:spacing w:after="0" w:line="252" w:lineRule="auto"/>
              <w:jc w:val="center"/>
            </w:pPr>
            <w:r>
              <w:rPr>
                <w:sz w:val="18"/>
              </w:rPr>
              <w:t>-0.211 (0.006)</w:t>
            </w:r>
          </w:p>
        </w:tc>
        <w:tc>
          <w:tcPr>
            <w:tcW w:w="674" w:type="pct"/>
            <w:tcBorders>
              <w:bottom w:val="single" w:sz="4" w:space="0" w:color="auto"/>
            </w:tcBorders>
            <w:vAlign w:val="center"/>
          </w:tcPr>
          <w:p w14:paraId="3F6615C1" w14:textId="77777777" w:rsidR="00900113" w:rsidRDefault="00900113" w:rsidP="00900113">
            <w:pPr>
              <w:spacing w:after="0" w:line="252" w:lineRule="auto"/>
              <w:jc w:val="center"/>
            </w:pPr>
            <w:r>
              <w:rPr>
                <w:sz w:val="18"/>
              </w:rPr>
              <w:t>-0.266 (0.008)</w:t>
            </w:r>
          </w:p>
        </w:tc>
        <w:tc>
          <w:tcPr>
            <w:tcW w:w="674" w:type="pct"/>
            <w:tcBorders>
              <w:bottom w:val="single" w:sz="4" w:space="0" w:color="auto"/>
            </w:tcBorders>
            <w:vAlign w:val="center"/>
          </w:tcPr>
          <w:p w14:paraId="4A5D6202" w14:textId="77777777" w:rsidR="00900113" w:rsidRDefault="00900113" w:rsidP="00900113">
            <w:pPr>
              <w:spacing w:after="0" w:line="252" w:lineRule="auto"/>
              <w:jc w:val="center"/>
            </w:pPr>
            <w:r>
              <w:rPr>
                <w:sz w:val="18"/>
              </w:rPr>
              <w:t>-0.234 (0.007)</w:t>
            </w:r>
          </w:p>
        </w:tc>
        <w:tc>
          <w:tcPr>
            <w:tcW w:w="752" w:type="pct"/>
            <w:tcBorders>
              <w:bottom w:val="single" w:sz="4" w:space="0" w:color="auto"/>
            </w:tcBorders>
            <w:vAlign w:val="center"/>
          </w:tcPr>
          <w:p w14:paraId="7B85B8D8" w14:textId="02B68731" w:rsidR="00900113" w:rsidRPr="00900113" w:rsidRDefault="00900113" w:rsidP="00900113">
            <w:pPr>
              <w:spacing w:after="0" w:line="252" w:lineRule="auto"/>
              <w:jc w:val="center"/>
              <w:rPr>
                <w:sz w:val="18"/>
                <w:szCs w:val="18"/>
              </w:rPr>
            </w:pPr>
            <w:r w:rsidRPr="00900113">
              <w:rPr>
                <w:rFonts w:cs="Arial"/>
                <w:color w:val="202020"/>
                <w:sz w:val="18"/>
                <w:szCs w:val="18"/>
              </w:rPr>
              <w:t>32.483 (&lt;0.001)</w:t>
            </w:r>
          </w:p>
        </w:tc>
        <w:tc>
          <w:tcPr>
            <w:tcW w:w="807" w:type="pct"/>
            <w:tcBorders>
              <w:bottom w:val="single" w:sz="4" w:space="0" w:color="auto"/>
            </w:tcBorders>
            <w:vAlign w:val="center"/>
          </w:tcPr>
          <w:p w14:paraId="541139AB" w14:textId="03E3172A" w:rsidR="00900113" w:rsidRPr="00900113" w:rsidRDefault="00900113" w:rsidP="00900113">
            <w:pPr>
              <w:spacing w:after="0" w:line="252" w:lineRule="auto"/>
              <w:jc w:val="center"/>
              <w:rPr>
                <w:sz w:val="18"/>
                <w:szCs w:val="18"/>
              </w:rPr>
            </w:pPr>
            <w:r w:rsidRPr="00900113">
              <w:rPr>
                <w:rFonts w:cs="Arial"/>
                <w:color w:val="202020"/>
                <w:sz w:val="18"/>
                <w:szCs w:val="18"/>
              </w:rPr>
              <w:t>5.877 (0.015)</w:t>
            </w:r>
          </w:p>
        </w:tc>
        <w:tc>
          <w:tcPr>
            <w:tcW w:w="696" w:type="pct"/>
            <w:tcBorders>
              <w:bottom w:val="single" w:sz="4" w:space="0" w:color="auto"/>
            </w:tcBorders>
            <w:vAlign w:val="center"/>
          </w:tcPr>
          <w:p w14:paraId="33DE310F" w14:textId="22672353" w:rsidR="00900113" w:rsidRPr="00900113" w:rsidRDefault="00900113" w:rsidP="00900113">
            <w:pPr>
              <w:spacing w:after="0" w:line="252" w:lineRule="auto"/>
              <w:jc w:val="center"/>
              <w:rPr>
                <w:sz w:val="18"/>
                <w:szCs w:val="18"/>
              </w:rPr>
            </w:pPr>
            <w:r w:rsidRPr="00900113">
              <w:rPr>
                <w:rFonts w:cs="Arial"/>
                <w:color w:val="202020"/>
                <w:sz w:val="18"/>
                <w:szCs w:val="18"/>
              </w:rPr>
              <w:t>10.849 (0.001)</w:t>
            </w:r>
          </w:p>
        </w:tc>
      </w:tr>
    </w:tbl>
    <w:p w14:paraId="69F3ACDC" w14:textId="77777777" w:rsidR="0015405F" w:rsidRDefault="0015405F" w:rsidP="0015405F">
      <w:pPr>
        <w:jc w:val="both"/>
      </w:pPr>
    </w:p>
    <w:p w14:paraId="368CB0B0" w14:textId="42407CB6" w:rsidR="0015405F" w:rsidRPr="0015405F" w:rsidRDefault="0015405F" w:rsidP="0015405F">
      <w:pPr>
        <w:jc w:val="both"/>
        <w:rPr>
          <w:b/>
          <w:bCs/>
        </w:rPr>
      </w:pPr>
      <w:r>
        <w:rPr>
          <w:b/>
          <w:bCs/>
        </w:rPr>
        <w:t>B</w:t>
      </w:r>
      <w:r w:rsidRPr="0015405F">
        <w:rPr>
          <w:b/>
          <w:bCs/>
        </w:rPr>
        <w:t xml:space="preserve"> | Region</w:t>
      </w:r>
      <w:r>
        <w:rPr>
          <w:b/>
          <w:bCs/>
        </w:rPr>
        <w:t>-Crop</w:t>
      </w:r>
      <w:r w:rsidR="00295ED8">
        <w:rPr>
          <w:b/>
          <w:bCs/>
        </w:rPr>
        <w:t xml:space="preserve"> (2-way)</w:t>
      </w:r>
      <w:r w:rsidRPr="0015405F">
        <w:rPr>
          <w:b/>
          <w:bCs/>
        </w:rPr>
        <w:t xml:space="preserve"> fixed effects</w:t>
      </w:r>
    </w:p>
    <w:tbl>
      <w:tblPr>
        <w:tblW w:w="5000" w:type="pct"/>
        <w:jc w:val="center"/>
        <w:tblBorders>
          <w:top w:val="single" w:sz="6" w:space="0" w:color="6B7780"/>
          <w:left w:val="nil"/>
          <w:bottom w:val="single" w:sz="6" w:space="0" w:color="6B7780"/>
          <w:right w:val="nil"/>
          <w:insideH w:val="nil"/>
          <w:insideV w:val="nil"/>
        </w:tblBorders>
        <w:tblCellMar>
          <w:top w:w="65" w:type="dxa"/>
          <w:left w:w="60" w:type="dxa"/>
          <w:bottom w:w="65" w:type="dxa"/>
          <w:right w:w="60" w:type="dxa"/>
        </w:tblCellMar>
        <w:tblLook w:val="04A0" w:firstRow="1" w:lastRow="0" w:firstColumn="1" w:lastColumn="0" w:noHBand="0" w:noVBand="1"/>
      </w:tblPr>
      <w:tblGrid>
        <w:gridCol w:w="1562"/>
        <w:gridCol w:w="1456"/>
        <w:gridCol w:w="1456"/>
        <w:gridCol w:w="1458"/>
        <w:gridCol w:w="1624"/>
        <w:gridCol w:w="1743"/>
        <w:gridCol w:w="1501"/>
      </w:tblGrid>
      <w:tr w:rsidR="0015405F" w14:paraId="17E4DCC4" w14:textId="77777777" w:rsidTr="00900113">
        <w:trPr>
          <w:cantSplit/>
          <w:trHeight w:val="288"/>
          <w:tblHeader/>
          <w:jc w:val="center"/>
        </w:trPr>
        <w:tc>
          <w:tcPr>
            <w:tcW w:w="723" w:type="pct"/>
            <w:vMerge w:val="restart"/>
            <w:tcBorders>
              <w:top w:val="single" w:sz="4" w:space="0" w:color="auto"/>
            </w:tcBorders>
            <w:shd w:val="clear" w:color="auto" w:fill="E7E6E6" w:themeFill="background2"/>
            <w:vAlign w:val="center"/>
          </w:tcPr>
          <w:p w14:paraId="4E632102" w14:textId="77777777" w:rsidR="0015405F" w:rsidRDefault="0015405F" w:rsidP="004C1C36">
            <w:pPr>
              <w:spacing w:after="0" w:line="252" w:lineRule="auto"/>
              <w:jc w:val="center"/>
            </w:pPr>
            <w:r>
              <w:rPr>
                <w:b/>
                <w:sz w:val="18"/>
              </w:rPr>
              <w:t>Outcome</w:t>
            </w:r>
          </w:p>
        </w:tc>
        <w:tc>
          <w:tcPr>
            <w:tcW w:w="2023" w:type="pct"/>
            <w:gridSpan w:val="3"/>
            <w:tcBorders>
              <w:top w:val="single" w:sz="4" w:space="0" w:color="auto"/>
            </w:tcBorders>
            <w:shd w:val="clear" w:color="auto" w:fill="E7E6E6" w:themeFill="background2"/>
            <w:vAlign w:val="center"/>
          </w:tcPr>
          <w:p w14:paraId="4BF63818" w14:textId="77777777" w:rsidR="0015405F" w:rsidRDefault="0015405F" w:rsidP="004C1C36">
            <w:pPr>
              <w:spacing w:after="0" w:line="252" w:lineRule="auto"/>
              <w:jc w:val="center"/>
            </w:pPr>
            <w:r>
              <w:rPr>
                <w:b/>
                <w:sz w:val="18"/>
              </w:rPr>
              <w:t>Transmission elasticity, β (SE)</w:t>
            </w:r>
          </w:p>
        </w:tc>
        <w:tc>
          <w:tcPr>
            <w:tcW w:w="2255" w:type="pct"/>
            <w:gridSpan w:val="3"/>
            <w:tcBorders>
              <w:top w:val="single" w:sz="4" w:space="0" w:color="auto"/>
            </w:tcBorders>
            <w:shd w:val="clear" w:color="auto" w:fill="E7E6E6" w:themeFill="background2"/>
            <w:vAlign w:val="center"/>
          </w:tcPr>
          <w:p w14:paraId="3FD2DFEA" w14:textId="058AB894" w:rsidR="0015405F" w:rsidRDefault="0015405F" w:rsidP="004C1C36">
            <w:pPr>
              <w:spacing w:after="0" w:line="252" w:lineRule="auto"/>
              <w:jc w:val="center"/>
            </w:pPr>
            <w:r>
              <w:rPr>
                <w:b/>
                <w:sz w:val="18"/>
              </w:rPr>
              <w:t xml:space="preserve">Pairwise Wald </w:t>
            </w:r>
            <w:r w:rsidR="00900113">
              <w:rPr>
                <w:b/>
                <w:sz w:val="18"/>
              </w:rPr>
              <w:t>F (</w:t>
            </w:r>
            <w:r>
              <w:rPr>
                <w:b/>
                <w:sz w:val="18"/>
              </w:rPr>
              <w:t>P</w:t>
            </w:r>
            <w:r w:rsidR="00900113">
              <w:rPr>
                <w:b/>
                <w:sz w:val="18"/>
              </w:rPr>
              <w:t>)</w:t>
            </w:r>
          </w:p>
        </w:tc>
      </w:tr>
      <w:tr w:rsidR="0015405F" w14:paraId="65B41831" w14:textId="77777777" w:rsidTr="00900113">
        <w:trPr>
          <w:cantSplit/>
          <w:trHeight w:val="144"/>
          <w:tblHeader/>
          <w:jc w:val="center"/>
        </w:trPr>
        <w:tc>
          <w:tcPr>
            <w:tcW w:w="723" w:type="pct"/>
            <w:vMerge/>
            <w:tcBorders>
              <w:bottom w:val="single" w:sz="4" w:space="0" w:color="auto"/>
            </w:tcBorders>
            <w:shd w:val="clear" w:color="auto" w:fill="E7E6E6" w:themeFill="background2"/>
            <w:vAlign w:val="center"/>
          </w:tcPr>
          <w:p w14:paraId="41F60CFE" w14:textId="77777777" w:rsidR="0015405F" w:rsidRDefault="0015405F" w:rsidP="004C1C36">
            <w:pPr>
              <w:spacing w:after="0" w:line="252" w:lineRule="auto"/>
              <w:jc w:val="center"/>
            </w:pPr>
          </w:p>
        </w:tc>
        <w:tc>
          <w:tcPr>
            <w:tcW w:w="674" w:type="pct"/>
            <w:tcBorders>
              <w:bottom w:val="single" w:sz="4" w:space="0" w:color="auto"/>
            </w:tcBorders>
            <w:shd w:val="clear" w:color="auto" w:fill="E7E6E6" w:themeFill="background2"/>
            <w:vAlign w:val="center"/>
          </w:tcPr>
          <w:p w14:paraId="175D322F" w14:textId="77777777" w:rsidR="0015405F" w:rsidRDefault="0015405F" w:rsidP="004C1C36">
            <w:pPr>
              <w:spacing w:after="0" w:line="252" w:lineRule="auto"/>
              <w:jc w:val="center"/>
            </w:pPr>
            <w:r>
              <w:rPr>
                <w:b/>
                <w:sz w:val="18"/>
              </w:rPr>
              <w:t>Dynamic</w:t>
            </w:r>
          </w:p>
        </w:tc>
        <w:tc>
          <w:tcPr>
            <w:tcW w:w="674" w:type="pct"/>
            <w:tcBorders>
              <w:bottom w:val="single" w:sz="4" w:space="0" w:color="auto"/>
            </w:tcBorders>
            <w:shd w:val="clear" w:color="auto" w:fill="E7E6E6" w:themeFill="background2"/>
            <w:vAlign w:val="center"/>
          </w:tcPr>
          <w:p w14:paraId="6D5AFA9B" w14:textId="77777777" w:rsidR="0015405F" w:rsidRDefault="0015405F" w:rsidP="004C1C36">
            <w:pPr>
              <w:spacing w:after="0" w:line="252" w:lineRule="auto"/>
              <w:jc w:val="center"/>
            </w:pPr>
            <w:r>
              <w:rPr>
                <w:b/>
                <w:sz w:val="18"/>
              </w:rPr>
              <w:t>Hidden</w:t>
            </w:r>
          </w:p>
        </w:tc>
        <w:tc>
          <w:tcPr>
            <w:tcW w:w="674" w:type="pct"/>
            <w:tcBorders>
              <w:bottom w:val="single" w:sz="4" w:space="0" w:color="auto"/>
            </w:tcBorders>
            <w:shd w:val="clear" w:color="auto" w:fill="E7E6E6" w:themeFill="background2"/>
            <w:vAlign w:val="center"/>
          </w:tcPr>
          <w:p w14:paraId="564CFBBA" w14:textId="77777777" w:rsidR="0015405F" w:rsidRDefault="0015405F" w:rsidP="004C1C36">
            <w:pPr>
              <w:spacing w:after="0" w:line="252" w:lineRule="auto"/>
              <w:jc w:val="center"/>
            </w:pPr>
            <w:r>
              <w:rPr>
                <w:b/>
                <w:sz w:val="18"/>
              </w:rPr>
              <w:t>Fixed-Ratio</w:t>
            </w:r>
          </w:p>
        </w:tc>
        <w:tc>
          <w:tcPr>
            <w:tcW w:w="752" w:type="pct"/>
            <w:tcBorders>
              <w:bottom w:val="single" w:sz="4" w:space="0" w:color="auto"/>
            </w:tcBorders>
            <w:shd w:val="clear" w:color="auto" w:fill="E7E6E6" w:themeFill="background2"/>
            <w:vAlign w:val="center"/>
          </w:tcPr>
          <w:p w14:paraId="6261EC4E" w14:textId="77777777" w:rsidR="0015405F" w:rsidRDefault="0015405F" w:rsidP="004C1C36">
            <w:pPr>
              <w:spacing w:after="0" w:line="252" w:lineRule="auto"/>
              <w:jc w:val="center"/>
            </w:pPr>
            <w:r>
              <w:rPr>
                <w:b/>
                <w:sz w:val="18"/>
              </w:rPr>
              <w:t>Dynamic vs</w:t>
            </w:r>
            <w:r>
              <w:rPr>
                <w:b/>
                <w:sz w:val="18"/>
              </w:rPr>
              <w:br/>
              <w:t>Hidden</w:t>
            </w:r>
          </w:p>
        </w:tc>
        <w:tc>
          <w:tcPr>
            <w:tcW w:w="807" w:type="pct"/>
            <w:tcBorders>
              <w:bottom w:val="single" w:sz="4" w:space="0" w:color="auto"/>
            </w:tcBorders>
            <w:shd w:val="clear" w:color="auto" w:fill="E7E6E6" w:themeFill="background2"/>
            <w:vAlign w:val="center"/>
          </w:tcPr>
          <w:p w14:paraId="61B34F17" w14:textId="77777777" w:rsidR="0015405F" w:rsidRDefault="0015405F" w:rsidP="004C1C36">
            <w:pPr>
              <w:spacing w:after="0" w:line="252" w:lineRule="auto"/>
              <w:jc w:val="center"/>
            </w:pPr>
            <w:r>
              <w:rPr>
                <w:b/>
                <w:sz w:val="18"/>
              </w:rPr>
              <w:t>Dynamic vs</w:t>
            </w:r>
            <w:r>
              <w:rPr>
                <w:b/>
                <w:sz w:val="18"/>
              </w:rPr>
              <w:br/>
              <w:t>Fixed-Ratio</w:t>
            </w:r>
          </w:p>
        </w:tc>
        <w:tc>
          <w:tcPr>
            <w:tcW w:w="696" w:type="pct"/>
            <w:tcBorders>
              <w:bottom w:val="single" w:sz="4" w:space="0" w:color="auto"/>
            </w:tcBorders>
            <w:shd w:val="clear" w:color="auto" w:fill="E7E6E6" w:themeFill="background2"/>
            <w:vAlign w:val="center"/>
          </w:tcPr>
          <w:p w14:paraId="36EE0EA1" w14:textId="77777777" w:rsidR="0015405F" w:rsidRDefault="0015405F" w:rsidP="004C1C36">
            <w:pPr>
              <w:spacing w:after="0" w:line="252" w:lineRule="auto"/>
              <w:jc w:val="center"/>
            </w:pPr>
            <w:r>
              <w:rPr>
                <w:b/>
                <w:sz w:val="18"/>
              </w:rPr>
              <w:t>Hidden vs</w:t>
            </w:r>
            <w:r>
              <w:rPr>
                <w:b/>
                <w:sz w:val="18"/>
              </w:rPr>
              <w:br/>
              <w:t>Fixed-Ratio</w:t>
            </w:r>
          </w:p>
        </w:tc>
      </w:tr>
      <w:tr w:rsidR="00900113" w14:paraId="295E2A07" w14:textId="77777777" w:rsidTr="00900113">
        <w:trPr>
          <w:cantSplit/>
          <w:trHeight w:val="288"/>
          <w:jc w:val="center"/>
        </w:trPr>
        <w:tc>
          <w:tcPr>
            <w:tcW w:w="723" w:type="pct"/>
            <w:tcBorders>
              <w:top w:val="single" w:sz="4" w:space="0" w:color="auto"/>
            </w:tcBorders>
            <w:vAlign w:val="center"/>
          </w:tcPr>
          <w:p w14:paraId="49110A9C" w14:textId="77777777" w:rsidR="00900113" w:rsidRDefault="00900113" w:rsidP="00900113">
            <w:pPr>
              <w:spacing w:after="0" w:line="252" w:lineRule="auto"/>
            </w:pPr>
            <w:r>
              <w:rPr>
                <w:sz w:val="18"/>
              </w:rPr>
              <w:t>Realized yield</w:t>
            </w:r>
          </w:p>
        </w:tc>
        <w:tc>
          <w:tcPr>
            <w:tcW w:w="674" w:type="pct"/>
            <w:tcBorders>
              <w:top w:val="single" w:sz="4" w:space="0" w:color="auto"/>
            </w:tcBorders>
            <w:vAlign w:val="center"/>
          </w:tcPr>
          <w:p w14:paraId="2DD0D159" w14:textId="5E584D63" w:rsidR="00900113" w:rsidRPr="00900113" w:rsidRDefault="00900113" w:rsidP="00900113">
            <w:pPr>
              <w:spacing w:after="0" w:line="252" w:lineRule="auto"/>
              <w:jc w:val="center"/>
              <w:rPr>
                <w:sz w:val="18"/>
                <w:szCs w:val="18"/>
              </w:rPr>
            </w:pPr>
            <w:r w:rsidRPr="00900113">
              <w:rPr>
                <w:rFonts w:cs="Arial"/>
                <w:color w:val="202020"/>
                <w:sz w:val="18"/>
                <w:szCs w:val="18"/>
              </w:rPr>
              <w:t>0.993 (0.010)</w:t>
            </w:r>
          </w:p>
        </w:tc>
        <w:tc>
          <w:tcPr>
            <w:tcW w:w="674" w:type="pct"/>
            <w:tcBorders>
              <w:top w:val="single" w:sz="4" w:space="0" w:color="auto"/>
            </w:tcBorders>
            <w:vAlign w:val="center"/>
          </w:tcPr>
          <w:p w14:paraId="3EFC1288" w14:textId="49B1DDDE" w:rsidR="00900113" w:rsidRPr="00900113" w:rsidRDefault="00900113" w:rsidP="00900113">
            <w:pPr>
              <w:spacing w:after="0" w:line="252" w:lineRule="auto"/>
              <w:jc w:val="center"/>
              <w:rPr>
                <w:sz w:val="18"/>
                <w:szCs w:val="18"/>
              </w:rPr>
            </w:pPr>
            <w:r w:rsidRPr="00900113">
              <w:rPr>
                <w:rFonts w:cs="Arial"/>
                <w:color w:val="202020"/>
                <w:sz w:val="18"/>
                <w:szCs w:val="18"/>
              </w:rPr>
              <w:t>1.005 (0.010)</w:t>
            </w:r>
          </w:p>
        </w:tc>
        <w:tc>
          <w:tcPr>
            <w:tcW w:w="674" w:type="pct"/>
            <w:tcBorders>
              <w:top w:val="single" w:sz="4" w:space="0" w:color="auto"/>
            </w:tcBorders>
            <w:vAlign w:val="center"/>
          </w:tcPr>
          <w:p w14:paraId="675FC505" w14:textId="62550164" w:rsidR="00900113" w:rsidRPr="00900113" w:rsidRDefault="00900113" w:rsidP="00900113">
            <w:pPr>
              <w:spacing w:after="0" w:line="252" w:lineRule="auto"/>
              <w:jc w:val="center"/>
              <w:rPr>
                <w:sz w:val="18"/>
                <w:szCs w:val="18"/>
              </w:rPr>
            </w:pPr>
            <w:r w:rsidRPr="00900113">
              <w:rPr>
                <w:rFonts w:cs="Arial"/>
                <w:color w:val="202020"/>
                <w:sz w:val="18"/>
                <w:szCs w:val="18"/>
              </w:rPr>
              <w:t>0.994 (0.010)</w:t>
            </w:r>
          </w:p>
        </w:tc>
        <w:tc>
          <w:tcPr>
            <w:tcW w:w="752" w:type="pct"/>
            <w:tcBorders>
              <w:top w:val="single" w:sz="4" w:space="0" w:color="auto"/>
            </w:tcBorders>
            <w:vAlign w:val="center"/>
          </w:tcPr>
          <w:p w14:paraId="601633F2" w14:textId="2118F56D" w:rsidR="00900113" w:rsidRPr="00900113" w:rsidRDefault="00900113" w:rsidP="00900113">
            <w:pPr>
              <w:spacing w:after="0" w:line="252" w:lineRule="auto"/>
              <w:jc w:val="center"/>
              <w:rPr>
                <w:sz w:val="18"/>
                <w:szCs w:val="18"/>
              </w:rPr>
            </w:pPr>
            <w:r w:rsidRPr="00900113">
              <w:rPr>
                <w:rFonts w:cs="Arial"/>
                <w:color w:val="202020"/>
                <w:sz w:val="18"/>
                <w:szCs w:val="18"/>
              </w:rPr>
              <w:t>0.656 (0.418)</w:t>
            </w:r>
          </w:p>
        </w:tc>
        <w:tc>
          <w:tcPr>
            <w:tcW w:w="807" w:type="pct"/>
            <w:tcBorders>
              <w:top w:val="single" w:sz="4" w:space="0" w:color="auto"/>
            </w:tcBorders>
            <w:vAlign w:val="center"/>
          </w:tcPr>
          <w:p w14:paraId="4ED3B0AB" w14:textId="7BC6C5E7" w:rsidR="00900113" w:rsidRPr="00900113" w:rsidRDefault="00900113" w:rsidP="00900113">
            <w:pPr>
              <w:spacing w:after="0" w:line="252" w:lineRule="auto"/>
              <w:jc w:val="center"/>
              <w:rPr>
                <w:sz w:val="18"/>
                <w:szCs w:val="18"/>
              </w:rPr>
            </w:pPr>
            <w:r w:rsidRPr="00900113">
              <w:rPr>
                <w:rFonts w:cs="Arial"/>
                <w:color w:val="202020"/>
                <w:sz w:val="18"/>
                <w:szCs w:val="18"/>
              </w:rPr>
              <w:t>0.001 (0.975)</w:t>
            </w:r>
          </w:p>
        </w:tc>
        <w:tc>
          <w:tcPr>
            <w:tcW w:w="696" w:type="pct"/>
            <w:tcBorders>
              <w:top w:val="single" w:sz="4" w:space="0" w:color="auto"/>
            </w:tcBorders>
            <w:vAlign w:val="center"/>
          </w:tcPr>
          <w:p w14:paraId="2A2D5D39" w14:textId="7592F298" w:rsidR="00900113" w:rsidRPr="00900113" w:rsidRDefault="00900113" w:rsidP="00900113">
            <w:pPr>
              <w:spacing w:after="0" w:line="252" w:lineRule="auto"/>
              <w:jc w:val="center"/>
              <w:rPr>
                <w:sz w:val="18"/>
                <w:szCs w:val="18"/>
              </w:rPr>
            </w:pPr>
            <w:r w:rsidRPr="00900113">
              <w:rPr>
                <w:rFonts w:cs="Arial"/>
                <w:color w:val="202020"/>
                <w:sz w:val="18"/>
                <w:szCs w:val="18"/>
              </w:rPr>
              <w:t>0.605 (0.437)</w:t>
            </w:r>
          </w:p>
        </w:tc>
      </w:tr>
      <w:tr w:rsidR="00900113" w14:paraId="395158F9" w14:textId="77777777" w:rsidTr="00900113">
        <w:trPr>
          <w:cantSplit/>
          <w:trHeight w:val="288"/>
          <w:jc w:val="center"/>
        </w:trPr>
        <w:tc>
          <w:tcPr>
            <w:tcW w:w="723" w:type="pct"/>
            <w:vAlign w:val="center"/>
          </w:tcPr>
          <w:p w14:paraId="1C7F0B9D" w14:textId="77777777" w:rsidR="00900113" w:rsidRDefault="00900113" w:rsidP="00900113">
            <w:pPr>
              <w:spacing w:after="0" w:line="252" w:lineRule="auto"/>
            </w:pPr>
            <w:r>
              <w:rPr>
                <w:sz w:val="18"/>
              </w:rPr>
              <w:t>Area harvested</w:t>
            </w:r>
          </w:p>
        </w:tc>
        <w:tc>
          <w:tcPr>
            <w:tcW w:w="674" w:type="pct"/>
            <w:vAlign w:val="center"/>
          </w:tcPr>
          <w:p w14:paraId="50ED3AEF" w14:textId="4F965A71" w:rsidR="00900113" w:rsidRPr="00900113" w:rsidRDefault="00900113" w:rsidP="00900113">
            <w:pPr>
              <w:spacing w:after="0" w:line="252" w:lineRule="auto"/>
              <w:jc w:val="center"/>
              <w:rPr>
                <w:sz w:val="18"/>
                <w:szCs w:val="18"/>
              </w:rPr>
            </w:pPr>
            <w:r w:rsidRPr="00900113">
              <w:rPr>
                <w:rFonts w:cs="Arial"/>
                <w:color w:val="202020"/>
                <w:sz w:val="18"/>
                <w:szCs w:val="18"/>
              </w:rPr>
              <w:t>-0.364 (0.018)</w:t>
            </w:r>
          </w:p>
        </w:tc>
        <w:tc>
          <w:tcPr>
            <w:tcW w:w="674" w:type="pct"/>
            <w:vAlign w:val="center"/>
          </w:tcPr>
          <w:p w14:paraId="37FAC5CE" w14:textId="0593BE78" w:rsidR="00900113" w:rsidRPr="00900113" w:rsidRDefault="00900113" w:rsidP="00900113">
            <w:pPr>
              <w:spacing w:after="0" w:line="252" w:lineRule="auto"/>
              <w:jc w:val="center"/>
              <w:rPr>
                <w:sz w:val="18"/>
                <w:szCs w:val="18"/>
              </w:rPr>
            </w:pPr>
            <w:r w:rsidRPr="00900113">
              <w:rPr>
                <w:rFonts w:cs="Arial"/>
                <w:color w:val="202020"/>
                <w:sz w:val="18"/>
                <w:szCs w:val="18"/>
              </w:rPr>
              <w:t>-0.467 (0.016)</w:t>
            </w:r>
          </w:p>
        </w:tc>
        <w:tc>
          <w:tcPr>
            <w:tcW w:w="674" w:type="pct"/>
            <w:vAlign w:val="center"/>
          </w:tcPr>
          <w:p w14:paraId="2A8347A7" w14:textId="378C9B32" w:rsidR="00900113" w:rsidRPr="00900113" w:rsidRDefault="00900113" w:rsidP="00900113">
            <w:pPr>
              <w:spacing w:after="0" w:line="252" w:lineRule="auto"/>
              <w:jc w:val="center"/>
              <w:rPr>
                <w:sz w:val="18"/>
                <w:szCs w:val="18"/>
              </w:rPr>
            </w:pPr>
            <w:r w:rsidRPr="00900113">
              <w:rPr>
                <w:rFonts w:cs="Arial"/>
                <w:color w:val="202020"/>
                <w:sz w:val="18"/>
                <w:szCs w:val="18"/>
              </w:rPr>
              <w:t>-0.398 (0.016)</w:t>
            </w:r>
          </w:p>
        </w:tc>
        <w:tc>
          <w:tcPr>
            <w:tcW w:w="752" w:type="pct"/>
            <w:vAlign w:val="center"/>
          </w:tcPr>
          <w:p w14:paraId="0960A704" w14:textId="22C161C6" w:rsidR="00900113" w:rsidRPr="00900113" w:rsidRDefault="00900113" w:rsidP="00900113">
            <w:pPr>
              <w:spacing w:after="0" w:line="252" w:lineRule="auto"/>
              <w:jc w:val="center"/>
              <w:rPr>
                <w:sz w:val="18"/>
                <w:szCs w:val="18"/>
              </w:rPr>
            </w:pPr>
            <w:r w:rsidRPr="00900113">
              <w:rPr>
                <w:rFonts w:cs="Arial"/>
                <w:color w:val="202020"/>
                <w:sz w:val="18"/>
                <w:szCs w:val="18"/>
              </w:rPr>
              <w:t>20.050 (&lt;0.001)</w:t>
            </w:r>
          </w:p>
        </w:tc>
        <w:tc>
          <w:tcPr>
            <w:tcW w:w="807" w:type="pct"/>
            <w:vAlign w:val="center"/>
          </w:tcPr>
          <w:p w14:paraId="5BF3F3A8" w14:textId="31E4A9C1" w:rsidR="00900113" w:rsidRPr="00900113" w:rsidRDefault="00900113" w:rsidP="00900113">
            <w:pPr>
              <w:spacing w:after="0" w:line="252" w:lineRule="auto"/>
              <w:jc w:val="center"/>
              <w:rPr>
                <w:sz w:val="18"/>
                <w:szCs w:val="18"/>
              </w:rPr>
            </w:pPr>
            <w:r w:rsidRPr="00900113">
              <w:rPr>
                <w:rFonts w:cs="Arial"/>
                <w:color w:val="202020"/>
                <w:sz w:val="18"/>
                <w:szCs w:val="18"/>
              </w:rPr>
              <w:t>2.237 (0.135)</w:t>
            </w:r>
          </w:p>
        </w:tc>
        <w:tc>
          <w:tcPr>
            <w:tcW w:w="696" w:type="pct"/>
            <w:vAlign w:val="center"/>
          </w:tcPr>
          <w:p w14:paraId="38D75E81" w14:textId="4087E8B6" w:rsidR="00900113" w:rsidRPr="00900113" w:rsidRDefault="00900113" w:rsidP="00900113">
            <w:pPr>
              <w:spacing w:after="0" w:line="252" w:lineRule="auto"/>
              <w:jc w:val="center"/>
              <w:rPr>
                <w:sz w:val="18"/>
                <w:szCs w:val="18"/>
              </w:rPr>
            </w:pPr>
            <w:r w:rsidRPr="00900113">
              <w:rPr>
                <w:rFonts w:cs="Arial"/>
                <w:color w:val="202020"/>
                <w:sz w:val="18"/>
                <w:szCs w:val="18"/>
              </w:rPr>
              <w:t>8.952 (0.003)</w:t>
            </w:r>
          </w:p>
        </w:tc>
      </w:tr>
      <w:tr w:rsidR="00900113" w14:paraId="6E49C93C" w14:textId="77777777" w:rsidTr="00900113">
        <w:trPr>
          <w:cantSplit/>
          <w:trHeight w:val="288"/>
          <w:jc w:val="center"/>
        </w:trPr>
        <w:tc>
          <w:tcPr>
            <w:tcW w:w="723" w:type="pct"/>
            <w:vAlign w:val="center"/>
          </w:tcPr>
          <w:p w14:paraId="00CF27B2" w14:textId="77777777" w:rsidR="00900113" w:rsidRDefault="00900113" w:rsidP="00900113">
            <w:pPr>
              <w:spacing w:after="0" w:line="252" w:lineRule="auto"/>
            </w:pPr>
            <w:r>
              <w:rPr>
                <w:sz w:val="18"/>
              </w:rPr>
              <w:t>Production</w:t>
            </w:r>
          </w:p>
        </w:tc>
        <w:tc>
          <w:tcPr>
            <w:tcW w:w="674" w:type="pct"/>
            <w:vAlign w:val="center"/>
          </w:tcPr>
          <w:p w14:paraId="263285F9" w14:textId="08C5927C" w:rsidR="00900113" w:rsidRPr="00900113" w:rsidRDefault="00900113" w:rsidP="00900113">
            <w:pPr>
              <w:spacing w:after="0" w:line="252" w:lineRule="auto"/>
              <w:jc w:val="center"/>
              <w:rPr>
                <w:sz w:val="18"/>
                <w:szCs w:val="18"/>
              </w:rPr>
            </w:pPr>
            <w:r w:rsidRPr="00900113">
              <w:rPr>
                <w:rFonts w:cs="Arial"/>
                <w:color w:val="202020"/>
                <w:sz w:val="18"/>
                <w:szCs w:val="18"/>
              </w:rPr>
              <w:t>0.629 (0.018)</w:t>
            </w:r>
          </w:p>
        </w:tc>
        <w:tc>
          <w:tcPr>
            <w:tcW w:w="674" w:type="pct"/>
            <w:vAlign w:val="center"/>
          </w:tcPr>
          <w:p w14:paraId="7B4A5EAC" w14:textId="49766093" w:rsidR="00900113" w:rsidRPr="00900113" w:rsidRDefault="00900113" w:rsidP="00900113">
            <w:pPr>
              <w:spacing w:after="0" w:line="252" w:lineRule="auto"/>
              <w:jc w:val="center"/>
              <w:rPr>
                <w:sz w:val="18"/>
                <w:szCs w:val="18"/>
              </w:rPr>
            </w:pPr>
            <w:r w:rsidRPr="00900113">
              <w:rPr>
                <w:rFonts w:cs="Arial"/>
                <w:color w:val="202020"/>
                <w:sz w:val="18"/>
                <w:szCs w:val="18"/>
              </w:rPr>
              <w:t>0.538 (0.014)</w:t>
            </w:r>
          </w:p>
        </w:tc>
        <w:tc>
          <w:tcPr>
            <w:tcW w:w="674" w:type="pct"/>
            <w:vAlign w:val="center"/>
          </w:tcPr>
          <w:p w14:paraId="6F1EE12F" w14:textId="564CC0F4" w:rsidR="00900113" w:rsidRPr="00900113" w:rsidRDefault="00900113" w:rsidP="00900113">
            <w:pPr>
              <w:spacing w:after="0" w:line="252" w:lineRule="auto"/>
              <w:jc w:val="center"/>
              <w:rPr>
                <w:sz w:val="18"/>
                <w:szCs w:val="18"/>
              </w:rPr>
            </w:pPr>
            <w:r w:rsidRPr="00900113">
              <w:rPr>
                <w:rFonts w:cs="Arial"/>
                <w:color w:val="202020"/>
                <w:sz w:val="18"/>
                <w:szCs w:val="18"/>
              </w:rPr>
              <w:t>0.596 (0.016)</w:t>
            </w:r>
          </w:p>
        </w:tc>
        <w:tc>
          <w:tcPr>
            <w:tcW w:w="752" w:type="pct"/>
            <w:vAlign w:val="center"/>
          </w:tcPr>
          <w:p w14:paraId="0EB1B180" w14:textId="044B0B7A" w:rsidR="00900113" w:rsidRPr="00900113" w:rsidRDefault="00900113" w:rsidP="00900113">
            <w:pPr>
              <w:spacing w:after="0" w:line="252" w:lineRule="auto"/>
              <w:jc w:val="center"/>
              <w:rPr>
                <w:sz w:val="18"/>
                <w:szCs w:val="18"/>
              </w:rPr>
            </w:pPr>
            <w:r w:rsidRPr="00900113">
              <w:rPr>
                <w:rFonts w:cs="Arial"/>
                <w:color w:val="202020"/>
                <w:sz w:val="18"/>
                <w:szCs w:val="18"/>
              </w:rPr>
              <w:t>17.112 (&lt;0.001)</w:t>
            </w:r>
          </w:p>
        </w:tc>
        <w:tc>
          <w:tcPr>
            <w:tcW w:w="807" w:type="pct"/>
            <w:vAlign w:val="center"/>
          </w:tcPr>
          <w:p w14:paraId="51F344DB" w14:textId="084F0614" w:rsidR="00900113" w:rsidRPr="00900113" w:rsidRDefault="00900113" w:rsidP="00900113">
            <w:pPr>
              <w:spacing w:after="0" w:line="252" w:lineRule="auto"/>
              <w:jc w:val="center"/>
              <w:rPr>
                <w:sz w:val="18"/>
                <w:szCs w:val="18"/>
              </w:rPr>
            </w:pPr>
            <w:r w:rsidRPr="00900113">
              <w:rPr>
                <w:rFonts w:cs="Arial"/>
                <w:color w:val="202020"/>
                <w:sz w:val="18"/>
                <w:szCs w:val="18"/>
              </w:rPr>
              <w:t>2.366 (0.124)</w:t>
            </w:r>
          </w:p>
        </w:tc>
        <w:tc>
          <w:tcPr>
            <w:tcW w:w="696" w:type="pct"/>
            <w:vAlign w:val="center"/>
          </w:tcPr>
          <w:p w14:paraId="7CA558BA" w14:textId="1EC5080A" w:rsidR="00900113" w:rsidRPr="00900113" w:rsidRDefault="00900113" w:rsidP="00900113">
            <w:pPr>
              <w:spacing w:after="0" w:line="252" w:lineRule="auto"/>
              <w:jc w:val="center"/>
              <w:rPr>
                <w:sz w:val="18"/>
                <w:szCs w:val="18"/>
              </w:rPr>
            </w:pPr>
            <w:r w:rsidRPr="00900113">
              <w:rPr>
                <w:rFonts w:cs="Arial"/>
                <w:color w:val="202020"/>
                <w:sz w:val="18"/>
                <w:szCs w:val="18"/>
              </w:rPr>
              <w:t>6.808 (0.009)</w:t>
            </w:r>
          </w:p>
        </w:tc>
      </w:tr>
      <w:tr w:rsidR="00900113" w14:paraId="661ED03F" w14:textId="77777777" w:rsidTr="00900113">
        <w:trPr>
          <w:cantSplit/>
          <w:trHeight w:val="288"/>
          <w:jc w:val="center"/>
        </w:trPr>
        <w:tc>
          <w:tcPr>
            <w:tcW w:w="723" w:type="pct"/>
            <w:vAlign w:val="center"/>
          </w:tcPr>
          <w:p w14:paraId="1FB9F1C5" w14:textId="77777777" w:rsidR="00900113" w:rsidRDefault="00900113" w:rsidP="00900113">
            <w:pPr>
              <w:spacing w:after="0" w:line="252" w:lineRule="auto"/>
            </w:pPr>
            <w:r>
              <w:rPr>
                <w:sz w:val="18"/>
              </w:rPr>
              <w:t>Exports</w:t>
            </w:r>
          </w:p>
        </w:tc>
        <w:tc>
          <w:tcPr>
            <w:tcW w:w="674" w:type="pct"/>
            <w:vAlign w:val="center"/>
          </w:tcPr>
          <w:p w14:paraId="3B7CC67E" w14:textId="004FA5A6" w:rsidR="00900113" w:rsidRPr="00900113" w:rsidRDefault="00900113" w:rsidP="00900113">
            <w:pPr>
              <w:spacing w:after="0" w:line="252" w:lineRule="auto"/>
              <w:jc w:val="center"/>
              <w:rPr>
                <w:sz w:val="18"/>
                <w:szCs w:val="18"/>
              </w:rPr>
            </w:pPr>
            <w:r w:rsidRPr="00900113">
              <w:rPr>
                <w:rFonts w:cs="Arial"/>
                <w:color w:val="202020"/>
                <w:sz w:val="18"/>
                <w:szCs w:val="18"/>
              </w:rPr>
              <w:t>0.890 (0.033)</w:t>
            </w:r>
          </w:p>
        </w:tc>
        <w:tc>
          <w:tcPr>
            <w:tcW w:w="674" w:type="pct"/>
            <w:vAlign w:val="center"/>
          </w:tcPr>
          <w:p w14:paraId="3CD7A4E4" w14:textId="32CBB505" w:rsidR="00900113" w:rsidRPr="00900113" w:rsidRDefault="00900113" w:rsidP="00900113">
            <w:pPr>
              <w:spacing w:after="0" w:line="252" w:lineRule="auto"/>
              <w:jc w:val="center"/>
              <w:rPr>
                <w:sz w:val="18"/>
                <w:szCs w:val="18"/>
              </w:rPr>
            </w:pPr>
            <w:r w:rsidRPr="00900113">
              <w:rPr>
                <w:rFonts w:cs="Arial"/>
                <w:color w:val="202020"/>
                <w:sz w:val="18"/>
                <w:szCs w:val="18"/>
              </w:rPr>
              <w:t>1.064 (0.041)</w:t>
            </w:r>
          </w:p>
        </w:tc>
        <w:tc>
          <w:tcPr>
            <w:tcW w:w="674" w:type="pct"/>
            <w:vAlign w:val="center"/>
          </w:tcPr>
          <w:p w14:paraId="37DDA5DB" w14:textId="433C2D4D" w:rsidR="00900113" w:rsidRPr="00900113" w:rsidRDefault="00900113" w:rsidP="00900113">
            <w:pPr>
              <w:spacing w:after="0" w:line="252" w:lineRule="auto"/>
              <w:jc w:val="center"/>
              <w:rPr>
                <w:sz w:val="18"/>
                <w:szCs w:val="18"/>
              </w:rPr>
            </w:pPr>
            <w:r w:rsidRPr="00900113">
              <w:rPr>
                <w:rFonts w:cs="Arial"/>
                <w:color w:val="202020"/>
                <w:sz w:val="18"/>
                <w:szCs w:val="18"/>
              </w:rPr>
              <w:t>0.980 (0.038)</w:t>
            </w:r>
          </w:p>
        </w:tc>
        <w:tc>
          <w:tcPr>
            <w:tcW w:w="752" w:type="pct"/>
            <w:vAlign w:val="center"/>
          </w:tcPr>
          <w:p w14:paraId="4D309308" w14:textId="238C05A8" w:rsidR="00900113" w:rsidRPr="00900113" w:rsidRDefault="00900113" w:rsidP="00900113">
            <w:pPr>
              <w:spacing w:after="0" w:line="252" w:lineRule="auto"/>
              <w:jc w:val="center"/>
              <w:rPr>
                <w:sz w:val="18"/>
                <w:szCs w:val="18"/>
              </w:rPr>
            </w:pPr>
            <w:r w:rsidRPr="00900113">
              <w:rPr>
                <w:rFonts w:cs="Arial"/>
                <w:color w:val="202020"/>
                <w:sz w:val="18"/>
                <w:szCs w:val="18"/>
              </w:rPr>
              <w:t>11.345 (&lt;0.001)</w:t>
            </w:r>
          </w:p>
        </w:tc>
        <w:tc>
          <w:tcPr>
            <w:tcW w:w="807" w:type="pct"/>
            <w:vAlign w:val="center"/>
          </w:tcPr>
          <w:p w14:paraId="5B8576E4" w14:textId="1AF197D5" w:rsidR="00900113" w:rsidRPr="00900113" w:rsidRDefault="00900113" w:rsidP="00900113">
            <w:pPr>
              <w:spacing w:after="0" w:line="252" w:lineRule="auto"/>
              <w:jc w:val="center"/>
              <w:rPr>
                <w:sz w:val="18"/>
                <w:szCs w:val="18"/>
              </w:rPr>
            </w:pPr>
            <w:r w:rsidRPr="00900113">
              <w:rPr>
                <w:rFonts w:cs="Arial"/>
                <w:color w:val="202020"/>
                <w:sz w:val="18"/>
                <w:szCs w:val="18"/>
              </w:rPr>
              <w:t>3.077 (0.080)</w:t>
            </w:r>
          </w:p>
        </w:tc>
        <w:tc>
          <w:tcPr>
            <w:tcW w:w="696" w:type="pct"/>
            <w:vAlign w:val="center"/>
          </w:tcPr>
          <w:p w14:paraId="2A2EF2A1" w14:textId="488E4662" w:rsidR="00900113" w:rsidRPr="00900113" w:rsidRDefault="00900113" w:rsidP="00900113">
            <w:pPr>
              <w:spacing w:after="0" w:line="252" w:lineRule="auto"/>
              <w:jc w:val="center"/>
              <w:rPr>
                <w:sz w:val="18"/>
                <w:szCs w:val="18"/>
              </w:rPr>
            </w:pPr>
            <w:r w:rsidRPr="00900113">
              <w:rPr>
                <w:rFonts w:cs="Arial"/>
                <w:color w:val="202020"/>
                <w:sz w:val="18"/>
                <w:szCs w:val="18"/>
              </w:rPr>
              <w:t>2.653 (0.104)</w:t>
            </w:r>
          </w:p>
        </w:tc>
      </w:tr>
      <w:tr w:rsidR="00900113" w14:paraId="4412AB6F" w14:textId="77777777" w:rsidTr="00900113">
        <w:trPr>
          <w:cantSplit/>
          <w:trHeight w:val="288"/>
          <w:jc w:val="center"/>
        </w:trPr>
        <w:tc>
          <w:tcPr>
            <w:tcW w:w="723" w:type="pct"/>
            <w:vAlign w:val="center"/>
          </w:tcPr>
          <w:p w14:paraId="4727DED9" w14:textId="77777777" w:rsidR="00900113" w:rsidRPr="00295ED8" w:rsidRDefault="00900113" w:rsidP="00900113">
            <w:pPr>
              <w:spacing w:after="0" w:line="252" w:lineRule="auto"/>
              <w:rPr>
                <w:bCs/>
              </w:rPr>
            </w:pPr>
            <w:r w:rsidRPr="00295ED8">
              <w:rPr>
                <w:bCs/>
                <w:sz w:val="18"/>
              </w:rPr>
              <w:t>Closing stocks</w:t>
            </w:r>
          </w:p>
        </w:tc>
        <w:tc>
          <w:tcPr>
            <w:tcW w:w="674" w:type="pct"/>
            <w:vAlign w:val="center"/>
          </w:tcPr>
          <w:p w14:paraId="5F9CFC21" w14:textId="5BD36D80" w:rsidR="00900113" w:rsidRPr="00900113" w:rsidRDefault="00900113" w:rsidP="00900113">
            <w:pPr>
              <w:spacing w:after="0" w:line="252" w:lineRule="auto"/>
              <w:jc w:val="center"/>
              <w:rPr>
                <w:sz w:val="18"/>
                <w:szCs w:val="18"/>
              </w:rPr>
            </w:pPr>
            <w:r w:rsidRPr="00900113">
              <w:rPr>
                <w:rFonts w:cs="Arial"/>
                <w:color w:val="202020"/>
                <w:sz w:val="18"/>
                <w:szCs w:val="18"/>
              </w:rPr>
              <w:t>0.184 (0.011)</w:t>
            </w:r>
          </w:p>
        </w:tc>
        <w:tc>
          <w:tcPr>
            <w:tcW w:w="674" w:type="pct"/>
            <w:vAlign w:val="center"/>
          </w:tcPr>
          <w:p w14:paraId="24815AE7" w14:textId="3D79F4D8" w:rsidR="00900113" w:rsidRPr="00900113" w:rsidRDefault="00900113" w:rsidP="00900113">
            <w:pPr>
              <w:spacing w:after="0" w:line="252" w:lineRule="auto"/>
              <w:jc w:val="center"/>
              <w:rPr>
                <w:sz w:val="18"/>
                <w:szCs w:val="18"/>
              </w:rPr>
            </w:pPr>
            <w:r w:rsidRPr="00900113">
              <w:rPr>
                <w:rFonts w:cs="Arial"/>
                <w:color w:val="202020"/>
                <w:sz w:val="18"/>
                <w:szCs w:val="18"/>
              </w:rPr>
              <w:t>—</w:t>
            </w:r>
          </w:p>
        </w:tc>
        <w:tc>
          <w:tcPr>
            <w:tcW w:w="674" w:type="pct"/>
            <w:vAlign w:val="center"/>
          </w:tcPr>
          <w:p w14:paraId="11890C63" w14:textId="082B31DC" w:rsidR="00900113" w:rsidRPr="00900113" w:rsidRDefault="00900113" w:rsidP="00900113">
            <w:pPr>
              <w:spacing w:after="0" w:line="252" w:lineRule="auto"/>
              <w:jc w:val="center"/>
              <w:rPr>
                <w:sz w:val="18"/>
                <w:szCs w:val="18"/>
              </w:rPr>
            </w:pPr>
            <w:r w:rsidRPr="00900113">
              <w:rPr>
                <w:rFonts w:cs="Arial"/>
                <w:color w:val="202020"/>
                <w:sz w:val="18"/>
                <w:szCs w:val="18"/>
              </w:rPr>
              <w:t>0.038 (0.004)</w:t>
            </w:r>
          </w:p>
        </w:tc>
        <w:tc>
          <w:tcPr>
            <w:tcW w:w="752" w:type="pct"/>
            <w:vAlign w:val="center"/>
          </w:tcPr>
          <w:p w14:paraId="51ACFBD8" w14:textId="46C8F0DC" w:rsidR="00900113" w:rsidRPr="00900113" w:rsidRDefault="00900113" w:rsidP="00900113">
            <w:pPr>
              <w:spacing w:after="0" w:line="252" w:lineRule="auto"/>
              <w:jc w:val="center"/>
              <w:rPr>
                <w:sz w:val="18"/>
                <w:szCs w:val="18"/>
              </w:rPr>
            </w:pPr>
            <w:r w:rsidRPr="00900113">
              <w:rPr>
                <w:rFonts w:cs="Arial"/>
                <w:color w:val="202020"/>
                <w:sz w:val="18"/>
                <w:szCs w:val="18"/>
              </w:rPr>
              <w:t>—</w:t>
            </w:r>
          </w:p>
        </w:tc>
        <w:tc>
          <w:tcPr>
            <w:tcW w:w="807" w:type="pct"/>
            <w:vAlign w:val="center"/>
          </w:tcPr>
          <w:p w14:paraId="74466B0D" w14:textId="4495A9D7" w:rsidR="00900113" w:rsidRPr="00900113" w:rsidRDefault="00900113" w:rsidP="00900113">
            <w:pPr>
              <w:spacing w:after="0" w:line="252" w:lineRule="auto"/>
              <w:jc w:val="center"/>
              <w:rPr>
                <w:sz w:val="18"/>
                <w:szCs w:val="18"/>
              </w:rPr>
            </w:pPr>
            <w:r w:rsidRPr="00900113">
              <w:rPr>
                <w:rFonts w:cs="Arial"/>
                <w:color w:val="202020"/>
                <w:sz w:val="18"/>
                <w:szCs w:val="18"/>
              </w:rPr>
              <w:t>165.060 (&lt;0.001)</w:t>
            </w:r>
          </w:p>
        </w:tc>
        <w:tc>
          <w:tcPr>
            <w:tcW w:w="696" w:type="pct"/>
            <w:vAlign w:val="center"/>
          </w:tcPr>
          <w:p w14:paraId="4C85CCE8" w14:textId="18E9F8C3" w:rsidR="00900113" w:rsidRPr="00900113" w:rsidRDefault="00900113" w:rsidP="00900113">
            <w:pPr>
              <w:spacing w:after="0" w:line="252" w:lineRule="auto"/>
              <w:jc w:val="center"/>
              <w:rPr>
                <w:sz w:val="18"/>
                <w:szCs w:val="18"/>
              </w:rPr>
            </w:pPr>
            <w:r w:rsidRPr="00900113">
              <w:rPr>
                <w:rFonts w:cs="Arial"/>
                <w:color w:val="202020"/>
                <w:sz w:val="18"/>
                <w:szCs w:val="18"/>
              </w:rPr>
              <w:t>—</w:t>
            </w:r>
          </w:p>
        </w:tc>
      </w:tr>
      <w:tr w:rsidR="00900113" w14:paraId="5983098B" w14:textId="77777777" w:rsidTr="00900113">
        <w:trPr>
          <w:cantSplit/>
          <w:trHeight w:val="288"/>
          <w:jc w:val="center"/>
        </w:trPr>
        <w:tc>
          <w:tcPr>
            <w:tcW w:w="723" w:type="pct"/>
            <w:vAlign w:val="center"/>
          </w:tcPr>
          <w:p w14:paraId="1B47A249" w14:textId="77777777" w:rsidR="00900113" w:rsidRDefault="00900113" w:rsidP="00900113">
            <w:pPr>
              <w:spacing w:after="0" w:line="252" w:lineRule="auto"/>
            </w:pPr>
            <w:r>
              <w:rPr>
                <w:sz w:val="18"/>
              </w:rPr>
              <w:t>Imports</w:t>
            </w:r>
          </w:p>
        </w:tc>
        <w:tc>
          <w:tcPr>
            <w:tcW w:w="674" w:type="pct"/>
            <w:vAlign w:val="center"/>
          </w:tcPr>
          <w:p w14:paraId="26297FA5" w14:textId="20EED2EA" w:rsidR="00900113" w:rsidRPr="00900113" w:rsidRDefault="00900113" w:rsidP="00900113">
            <w:pPr>
              <w:spacing w:after="0" w:line="252" w:lineRule="auto"/>
              <w:jc w:val="center"/>
              <w:rPr>
                <w:sz w:val="18"/>
                <w:szCs w:val="18"/>
              </w:rPr>
            </w:pPr>
            <w:r w:rsidRPr="00900113">
              <w:rPr>
                <w:rFonts w:cs="Arial"/>
                <w:color w:val="202020"/>
                <w:sz w:val="18"/>
                <w:szCs w:val="18"/>
              </w:rPr>
              <w:t>-0.096 (0.012)</w:t>
            </w:r>
          </w:p>
        </w:tc>
        <w:tc>
          <w:tcPr>
            <w:tcW w:w="674" w:type="pct"/>
            <w:vAlign w:val="center"/>
          </w:tcPr>
          <w:p w14:paraId="2112AE77" w14:textId="705A5778" w:rsidR="00900113" w:rsidRPr="00900113" w:rsidRDefault="00900113" w:rsidP="00900113">
            <w:pPr>
              <w:spacing w:after="0" w:line="252" w:lineRule="auto"/>
              <w:jc w:val="center"/>
              <w:rPr>
                <w:sz w:val="18"/>
                <w:szCs w:val="18"/>
              </w:rPr>
            </w:pPr>
            <w:r w:rsidRPr="00900113">
              <w:rPr>
                <w:rFonts w:cs="Arial"/>
                <w:color w:val="202020"/>
                <w:sz w:val="18"/>
                <w:szCs w:val="18"/>
              </w:rPr>
              <w:t>-0.118 (0.012)</w:t>
            </w:r>
          </w:p>
        </w:tc>
        <w:tc>
          <w:tcPr>
            <w:tcW w:w="674" w:type="pct"/>
            <w:vAlign w:val="center"/>
          </w:tcPr>
          <w:p w14:paraId="64BBD6AE" w14:textId="61229E7E" w:rsidR="00900113" w:rsidRPr="00900113" w:rsidRDefault="00900113" w:rsidP="00900113">
            <w:pPr>
              <w:spacing w:after="0" w:line="252" w:lineRule="auto"/>
              <w:jc w:val="center"/>
              <w:rPr>
                <w:sz w:val="18"/>
                <w:szCs w:val="18"/>
              </w:rPr>
            </w:pPr>
            <w:r w:rsidRPr="00900113">
              <w:rPr>
                <w:rFonts w:cs="Arial"/>
                <w:color w:val="202020"/>
                <w:sz w:val="18"/>
                <w:szCs w:val="18"/>
              </w:rPr>
              <w:t>-0.129 (0.012)</w:t>
            </w:r>
          </w:p>
        </w:tc>
        <w:tc>
          <w:tcPr>
            <w:tcW w:w="752" w:type="pct"/>
            <w:vAlign w:val="center"/>
          </w:tcPr>
          <w:p w14:paraId="1527CE0B" w14:textId="07CB1638" w:rsidR="00900113" w:rsidRPr="00900113" w:rsidRDefault="00900113" w:rsidP="00900113">
            <w:pPr>
              <w:spacing w:after="0" w:line="252" w:lineRule="auto"/>
              <w:jc w:val="center"/>
              <w:rPr>
                <w:sz w:val="18"/>
                <w:szCs w:val="18"/>
              </w:rPr>
            </w:pPr>
            <w:r w:rsidRPr="00900113">
              <w:rPr>
                <w:rFonts w:cs="Arial"/>
                <w:color w:val="202020"/>
                <w:sz w:val="18"/>
                <w:szCs w:val="18"/>
              </w:rPr>
              <w:t>1.670 (0.196)</w:t>
            </w:r>
          </w:p>
        </w:tc>
        <w:tc>
          <w:tcPr>
            <w:tcW w:w="807" w:type="pct"/>
            <w:vAlign w:val="center"/>
          </w:tcPr>
          <w:p w14:paraId="33184700" w14:textId="0CB256CA" w:rsidR="00900113" w:rsidRPr="00900113" w:rsidRDefault="00900113" w:rsidP="00900113">
            <w:pPr>
              <w:spacing w:after="0" w:line="252" w:lineRule="auto"/>
              <w:jc w:val="center"/>
              <w:rPr>
                <w:sz w:val="18"/>
                <w:szCs w:val="18"/>
              </w:rPr>
            </w:pPr>
            <w:r w:rsidRPr="00900113">
              <w:rPr>
                <w:rFonts w:cs="Arial"/>
                <w:color w:val="202020"/>
                <w:sz w:val="18"/>
                <w:szCs w:val="18"/>
              </w:rPr>
              <w:t>3.885 (0.049)</w:t>
            </w:r>
          </w:p>
        </w:tc>
        <w:tc>
          <w:tcPr>
            <w:tcW w:w="696" w:type="pct"/>
            <w:vAlign w:val="center"/>
          </w:tcPr>
          <w:p w14:paraId="45689E05" w14:textId="27709856" w:rsidR="00900113" w:rsidRPr="00900113" w:rsidRDefault="00900113" w:rsidP="00900113">
            <w:pPr>
              <w:spacing w:after="0" w:line="252" w:lineRule="auto"/>
              <w:jc w:val="center"/>
              <w:rPr>
                <w:sz w:val="18"/>
                <w:szCs w:val="18"/>
              </w:rPr>
            </w:pPr>
            <w:r w:rsidRPr="00900113">
              <w:rPr>
                <w:rFonts w:cs="Arial"/>
                <w:color w:val="202020"/>
                <w:sz w:val="18"/>
                <w:szCs w:val="18"/>
              </w:rPr>
              <w:t>0.433 (0.511)</w:t>
            </w:r>
          </w:p>
        </w:tc>
      </w:tr>
      <w:tr w:rsidR="00900113" w14:paraId="0A71CA66" w14:textId="77777777" w:rsidTr="00900113">
        <w:trPr>
          <w:cantSplit/>
          <w:trHeight w:val="288"/>
          <w:jc w:val="center"/>
        </w:trPr>
        <w:tc>
          <w:tcPr>
            <w:tcW w:w="723" w:type="pct"/>
            <w:vAlign w:val="center"/>
          </w:tcPr>
          <w:p w14:paraId="131210A3" w14:textId="77777777" w:rsidR="00900113" w:rsidRDefault="00900113" w:rsidP="00900113">
            <w:pPr>
              <w:spacing w:after="0" w:line="252" w:lineRule="auto"/>
            </w:pPr>
            <w:r>
              <w:rPr>
                <w:sz w:val="18"/>
              </w:rPr>
              <w:t>Consumption</w:t>
            </w:r>
          </w:p>
        </w:tc>
        <w:tc>
          <w:tcPr>
            <w:tcW w:w="674" w:type="pct"/>
            <w:vAlign w:val="center"/>
          </w:tcPr>
          <w:p w14:paraId="3714E959" w14:textId="626C1CBF" w:rsidR="00900113" w:rsidRPr="00900113" w:rsidRDefault="00900113" w:rsidP="00900113">
            <w:pPr>
              <w:spacing w:after="0" w:line="252" w:lineRule="auto"/>
              <w:jc w:val="center"/>
              <w:rPr>
                <w:sz w:val="18"/>
                <w:szCs w:val="18"/>
              </w:rPr>
            </w:pPr>
            <w:r w:rsidRPr="00900113">
              <w:rPr>
                <w:rFonts w:cs="Arial"/>
                <w:color w:val="202020"/>
                <w:sz w:val="18"/>
                <w:szCs w:val="18"/>
              </w:rPr>
              <w:t>0.031 (0.004)</w:t>
            </w:r>
          </w:p>
        </w:tc>
        <w:tc>
          <w:tcPr>
            <w:tcW w:w="674" w:type="pct"/>
            <w:vAlign w:val="center"/>
          </w:tcPr>
          <w:p w14:paraId="3848D4A6" w14:textId="1E2302CE" w:rsidR="00900113" w:rsidRPr="00900113" w:rsidRDefault="00900113" w:rsidP="00900113">
            <w:pPr>
              <w:spacing w:after="0" w:line="252" w:lineRule="auto"/>
              <w:jc w:val="center"/>
              <w:rPr>
                <w:sz w:val="18"/>
                <w:szCs w:val="18"/>
              </w:rPr>
            </w:pPr>
            <w:r w:rsidRPr="00900113">
              <w:rPr>
                <w:rFonts w:cs="Arial"/>
                <w:color w:val="202020"/>
                <w:sz w:val="18"/>
                <w:szCs w:val="18"/>
              </w:rPr>
              <w:t>0.034 (0.005)</w:t>
            </w:r>
          </w:p>
        </w:tc>
        <w:tc>
          <w:tcPr>
            <w:tcW w:w="674" w:type="pct"/>
            <w:vAlign w:val="center"/>
          </w:tcPr>
          <w:p w14:paraId="5D12AB8F" w14:textId="7113D04B" w:rsidR="00900113" w:rsidRPr="00900113" w:rsidRDefault="00900113" w:rsidP="00900113">
            <w:pPr>
              <w:spacing w:after="0" w:line="252" w:lineRule="auto"/>
              <w:jc w:val="center"/>
              <w:rPr>
                <w:sz w:val="18"/>
                <w:szCs w:val="18"/>
              </w:rPr>
            </w:pPr>
            <w:r w:rsidRPr="00900113">
              <w:rPr>
                <w:rFonts w:cs="Arial"/>
                <w:color w:val="202020"/>
                <w:sz w:val="18"/>
                <w:szCs w:val="18"/>
              </w:rPr>
              <w:t>0.037 (0.004)</w:t>
            </w:r>
          </w:p>
        </w:tc>
        <w:tc>
          <w:tcPr>
            <w:tcW w:w="752" w:type="pct"/>
            <w:vAlign w:val="center"/>
          </w:tcPr>
          <w:p w14:paraId="304C8330" w14:textId="412325D3" w:rsidR="00900113" w:rsidRPr="00900113" w:rsidRDefault="00900113" w:rsidP="00900113">
            <w:pPr>
              <w:spacing w:after="0" w:line="252" w:lineRule="auto"/>
              <w:jc w:val="center"/>
              <w:rPr>
                <w:sz w:val="18"/>
                <w:szCs w:val="18"/>
              </w:rPr>
            </w:pPr>
            <w:r w:rsidRPr="00900113">
              <w:rPr>
                <w:rFonts w:cs="Arial"/>
                <w:color w:val="202020"/>
                <w:sz w:val="18"/>
                <w:szCs w:val="18"/>
              </w:rPr>
              <w:t>0.362 (0.548)</w:t>
            </w:r>
          </w:p>
        </w:tc>
        <w:tc>
          <w:tcPr>
            <w:tcW w:w="807" w:type="pct"/>
            <w:vAlign w:val="center"/>
          </w:tcPr>
          <w:p w14:paraId="0251940B" w14:textId="44DB25A3" w:rsidR="00900113" w:rsidRPr="00900113" w:rsidRDefault="00900113" w:rsidP="00900113">
            <w:pPr>
              <w:spacing w:after="0" w:line="252" w:lineRule="auto"/>
              <w:jc w:val="center"/>
              <w:rPr>
                <w:sz w:val="18"/>
                <w:szCs w:val="18"/>
              </w:rPr>
            </w:pPr>
            <w:r w:rsidRPr="00900113">
              <w:rPr>
                <w:rFonts w:cs="Arial"/>
                <w:color w:val="202020"/>
                <w:sz w:val="18"/>
                <w:szCs w:val="18"/>
              </w:rPr>
              <w:t>1.333 (0.248)</w:t>
            </w:r>
          </w:p>
        </w:tc>
        <w:tc>
          <w:tcPr>
            <w:tcW w:w="696" w:type="pct"/>
            <w:vAlign w:val="center"/>
          </w:tcPr>
          <w:p w14:paraId="0EA9280A" w14:textId="75344660" w:rsidR="00900113" w:rsidRPr="00900113" w:rsidRDefault="00900113" w:rsidP="00900113">
            <w:pPr>
              <w:spacing w:after="0" w:line="252" w:lineRule="auto"/>
              <w:jc w:val="center"/>
              <w:rPr>
                <w:sz w:val="18"/>
                <w:szCs w:val="18"/>
              </w:rPr>
            </w:pPr>
            <w:r w:rsidRPr="00900113">
              <w:rPr>
                <w:rFonts w:cs="Arial"/>
                <w:color w:val="202020"/>
                <w:sz w:val="18"/>
                <w:szCs w:val="18"/>
              </w:rPr>
              <w:t>0.292 (0.589)</w:t>
            </w:r>
          </w:p>
        </w:tc>
      </w:tr>
      <w:tr w:rsidR="00900113" w14:paraId="54008F2F" w14:textId="77777777" w:rsidTr="00900113">
        <w:trPr>
          <w:cantSplit/>
          <w:trHeight w:val="288"/>
          <w:jc w:val="center"/>
        </w:trPr>
        <w:tc>
          <w:tcPr>
            <w:tcW w:w="723" w:type="pct"/>
            <w:tcBorders>
              <w:bottom w:val="single" w:sz="4" w:space="0" w:color="auto"/>
            </w:tcBorders>
            <w:vAlign w:val="center"/>
          </w:tcPr>
          <w:p w14:paraId="4A6E6F77" w14:textId="77777777" w:rsidR="00900113" w:rsidRDefault="00900113" w:rsidP="00900113">
            <w:pPr>
              <w:spacing w:after="0" w:line="252" w:lineRule="auto"/>
            </w:pPr>
            <w:r>
              <w:rPr>
                <w:sz w:val="18"/>
              </w:rPr>
              <w:t>Producer price</w:t>
            </w:r>
          </w:p>
        </w:tc>
        <w:tc>
          <w:tcPr>
            <w:tcW w:w="674" w:type="pct"/>
            <w:tcBorders>
              <w:bottom w:val="single" w:sz="4" w:space="0" w:color="auto"/>
            </w:tcBorders>
            <w:vAlign w:val="center"/>
          </w:tcPr>
          <w:p w14:paraId="09B6FBDB" w14:textId="22D6C098" w:rsidR="00900113" w:rsidRPr="00900113" w:rsidRDefault="00900113" w:rsidP="00900113">
            <w:pPr>
              <w:spacing w:after="0" w:line="252" w:lineRule="auto"/>
              <w:jc w:val="center"/>
              <w:rPr>
                <w:sz w:val="18"/>
                <w:szCs w:val="18"/>
              </w:rPr>
            </w:pPr>
            <w:r w:rsidRPr="00900113">
              <w:rPr>
                <w:rFonts w:cs="Arial"/>
                <w:color w:val="202020"/>
                <w:sz w:val="18"/>
                <w:szCs w:val="18"/>
              </w:rPr>
              <w:t>-0.211 (0.006)</w:t>
            </w:r>
          </w:p>
        </w:tc>
        <w:tc>
          <w:tcPr>
            <w:tcW w:w="674" w:type="pct"/>
            <w:tcBorders>
              <w:bottom w:val="single" w:sz="4" w:space="0" w:color="auto"/>
            </w:tcBorders>
            <w:vAlign w:val="center"/>
          </w:tcPr>
          <w:p w14:paraId="4BE8A8F2" w14:textId="66EFF1DF" w:rsidR="00900113" w:rsidRPr="00900113" w:rsidRDefault="00900113" w:rsidP="00900113">
            <w:pPr>
              <w:spacing w:after="0" w:line="252" w:lineRule="auto"/>
              <w:jc w:val="center"/>
              <w:rPr>
                <w:sz w:val="18"/>
                <w:szCs w:val="18"/>
              </w:rPr>
            </w:pPr>
            <w:r w:rsidRPr="00900113">
              <w:rPr>
                <w:rFonts w:cs="Arial"/>
                <w:color w:val="202020"/>
                <w:sz w:val="18"/>
                <w:szCs w:val="18"/>
              </w:rPr>
              <w:t>-0.267 (0.008)</w:t>
            </w:r>
          </w:p>
        </w:tc>
        <w:tc>
          <w:tcPr>
            <w:tcW w:w="674" w:type="pct"/>
            <w:tcBorders>
              <w:bottom w:val="single" w:sz="4" w:space="0" w:color="auto"/>
            </w:tcBorders>
            <w:vAlign w:val="center"/>
          </w:tcPr>
          <w:p w14:paraId="37A62215" w14:textId="1FFDC304" w:rsidR="00900113" w:rsidRPr="00900113" w:rsidRDefault="00900113" w:rsidP="00900113">
            <w:pPr>
              <w:spacing w:after="0" w:line="252" w:lineRule="auto"/>
              <w:jc w:val="center"/>
              <w:rPr>
                <w:sz w:val="18"/>
                <w:szCs w:val="18"/>
              </w:rPr>
            </w:pPr>
            <w:r w:rsidRPr="00900113">
              <w:rPr>
                <w:rFonts w:cs="Arial"/>
                <w:color w:val="202020"/>
                <w:sz w:val="18"/>
                <w:szCs w:val="18"/>
              </w:rPr>
              <w:t>-0.235 (0.007)</w:t>
            </w:r>
          </w:p>
        </w:tc>
        <w:tc>
          <w:tcPr>
            <w:tcW w:w="752" w:type="pct"/>
            <w:tcBorders>
              <w:bottom w:val="single" w:sz="4" w:space="0" w:color="auto"/>
            </w:tcBorders>
            <w:vAlign w:val="center"/>
          </w:tcPr>
          <w:p w14:paraId="7B76551E" w14:textId="5C67FE45" w:rsidR="00900113" w:rsidRPr="00900113" w:rsidRDefault="00900113" w:rsidP="00900113">
            <w:pPr>
              <w:spacing w:after="0" w:line="252" w:lineRule="auto"/>
              <w:jc w:val="center"/>
              <w:rPr>
                <w:sz w:val="18"/>
                <w:szCs w:val="18"/>
              </w:rPr>
            </w:pPr>
            <w:r w:rsidRPr="00900113">
              <w:rPr>
                <w:rFonts w:cs="Arial"/>
                <w:color w:val="202020"/>
                <w:sz w:val="18"/>
                <w:szCs w:val="18"/>
              </w:rPr>
              <w:t>32.100 (&lt;0.001)</w:t>
            </w:r>
          </w:p>
        </w:tc>
        <w:tc>
          <w:tcPr>
            <w:tcW w:w="807" w:type="pct"/>
            <w:tcBorders>
              <w:bottom w:val="single" w:sz="4" w:space="0" w:color="auto"/>
            </w:tcBorders>
            <w:vAlign w:val="center"/>
          </w:tcPr>
          <w:p w14:paraId="05AC69C5" w14:textId="3C219A59" w:rsidR="00900113" w:rsidRPr="00900113" w:rsidRDefault="00900113" w:rsidP="00900113">
            <w:pPr>
              <w:spacing w:after="0" w:line="252" w:lineRule="auto"/>
              <w:jc w:val="center"/>
              <w:rPr>
                <w:sz w:val="18"/>
                <w:szCs w:val="18"/>
              </w:rPr>
            </w:pPr>
            <w:r w:rsidRPr="00900113">
              <w:rPr>
                <w:rFonts w:cs="Arial"/>
                <w:color w:val="202020"/>
                <w:sz w:val="18"/>
                <w:szCs w:val="18"/>
              </w:rPr>
              <w:t>5.810 (0.016)</w:t>
            </w:r>
          </w:p>
        </w:tc>
        <w:tc>
          <w:tcPr>
            <w:tcW w:w="696" w:type="pct"/>
            <w:tcBorders>
              <w:bottom w:val="single" w:sz="4" w:space="0" w:color="auto"/>
            </w:tcBorders>
            <w:vAlign w:val="center"/>
          </w:tcPr>
          <w:p w14:paraId="4262666F" w14:textId="402CD648" w:rsidR="00900113" w:rsidRPr="00900113" w:rsidRDefault="00900113" w:rsidP="00900113">
            <w:pPr>
              <w:spacing w:after="0" w:line="252" w:lineRule="auto"/>
              <w:jc w:val="center"/>
              <w:rPr>
                <w:sz w:val="18"/>
                <w:szCs w:val="18"/>
              </w:rPr>
            </w:pPr>
            <w:r w:rsidRPr="00900113">
              <w:rPr>
                <w:rFonts w:cs="Arial"/>
                <w:color w:val="202020"/>
                <w:sz w:val="18"/>
                <w:szCs w:val="18"/>
              </w:rPr>
              <w:t>10.718 (0.001)</w:t>
            </w:r>
          </w:p>
        </w:tc>
      </w:tr>
    </w:tbl>
    <w:p w14:paraId="0125026F" w14:textId="0E5570BB" w:rsidR="00D35743" w:rsidRDefault="00D35743" w:rsidP="0015405F">
      <w:pPr>
        <w:jc w:val="both"/>
        <w:rPr>
          <w:rFonts w:eastAsia="Cambria" w:cs="Arial"/>
          <w:b/>
          <w:color w:val="000000"/>
          <w:sz w:val="24"/>
        </w:rPr>
      </w:pPr>
      <w:r>
        <w:br w:type="page"/>
      </w:r>
    </w:p>
    <w:p w14:paraId="652166F4" w14:textId="1904AAFC" w:rsidR="001B057F" w:rsidRPr="008066ED" w:rsidRDefault="001B057F" w:rsidP="00C84D02">
      <w:pPr>
        <w:pStyle w:val="Heading1"/>
        <w:spacing w:after="240" w:line="276" w:lineRule="auto"/>
      </w:pPr>
      <w:bookmarkStart w:id="71" w:name="_Toc241138210"/>
      <w:r w:rsidRPr="008066ED">
        <w:lastRenderedPageBreak/>
        <w:t>Supplementary references</w:t>
      </w:r>
      <w:bookmarkEnd w:id="64"/>
      <w:bookmarkEnd w:id="71"/>
    </w:p>
    <w:p w14:paraId="4D48F364" w14:textId="77777777" w:rsidR="00905E79" w:rsidRPr="00905E79" w:rsidRDefault="00572106" w:rsidP="00905E79">
      <w:pPr>
        <w:pStyle w:val="Bibliography"/>
        <w:spacing w:line="276" w:lineRule="auto"/>
      </w:pPr>
      <w:r w:rsidRPr="008C3C17">
        <w:fldChar w:fldCharType="begin"/>
      </w:r>
      <w:r w:rsidR="00905E79">
        <w:instrText xml:space="preserve"> ADDIN ZOTERO_BIBL {"uncited":[],"omitted":[],"custom":[]} CSL_BIBLIOGRAPHY </w:instrText>
      </w:r>
      <w:r w:rsidRPr="008C3C17">
        <w:fldChar w:fldCharType="separate"/>
      </w:r>
      <w:r w:rsidR="00905E79" w:rsidRPr="00905E79">
        <w:t xml:space="preserve">1. </w:t>
      </w:r>
      <w:r w:rsidR="00905E79" w:rsidRPr="00905E79">
        <w:tab/>
        <w:t xml:space="preserve">Assefa, T. T., Meuwissen, M. P. M. &amp; Oude Lansink, A. G. J. M. Price Volatility Transmission in Food Supply Chains: A Literature Review. </w:t>
      </w:r>
      <w:r w:rsidR="00905E79" w:rsidRPr="00905E79">
        <w:rPr>
          <w:i/>
          <w:iCs/>
        </w:rPr>
        <w:t>Agribusiness</w:t>
      </w:r>
      <w:r w:rsidR="00905E79" w:rsidRPr="00905E79">
        <w:t xml:space="preserve"> </w:t>
      </w:r>
      <w:r w:rsidR="00905E79" w:rsidRPr="00905E79">
        <w:rPr>
          <w:b/>
          <w:bCs/>
        </w:rPr>
        <w:t>31</w:t>
      </w:r>
      <w:r w:rsidR="00905E79" w:rsidRPr="00905E79">
        <w:t>, 3–13 (2015).</w:t>
      </w:r>
    </w:p>
    <w:p w14:paraId="02AE1621" w14:textId="77777777" w:rsidR="00905E79" w:rsidRPr="00905E79" w:rsidRDefault="00905E79" w:rsidP="00905E79">
      <w:pPr>
        <w:pStyle w:val="Bibliography"/>
        <w:spacing w:line="276" w:lineRule="auto"/>
      </w:pPr>
      <w:r w:rsidRPr="00905E79">
        <w:t xml:space="preserve">2. </w:t>
      </w:r>
      <w:r w:rsidRPr="00905E79">
        <w:tab/>
        <w:t xml:space="preserve">Zou, T., Dawodu, A., Mangi, E. &amp; Cheshmehzangi, A. General limitations of the current approach in developing sustainable food system frameworks. </w:t>
      </w:r>
      <w:r w:rsidRPr="00905E79">
        <w:rPr>
          <w:i/>
          <w:iCs/>
        </w:rPr>
        <w:t>Glob. Food Secur.</w:t>
      </w:r>
      <w:r w:rsidRPr="00905E79">
        <w:t xml:space="preserve"> </w:t>
      </w:r>
      <w:r w:rsidRPr="00905E79">
        <w:rPr>
          <w:b/>
          <w:bCs/>
        </w:rPr>
        <w:t>33</w:t>
      </w:r>
      <w:r w:rsidRPr="00905E79">
        <w:t>, 100624 (2022).</w:t>
      </w:r>
    </w:p>
    <w:p w14:paraId="6B939872" w14:textId="77777777" w:rsidR="00905E79" w:rsidRPr="00905E79" w:rsidRDefault="00905E79" w:rsidP="00905E79">
      <w:pPr>
        <w:pStyle w:val="Bibliography"/>
        <w:spacing w:line="276" w:lineRule="auto"/>
      </w:pPr>
      <w:r w:rsidRPr="00905E79">
        <w:t xml:space="preserve">3. </w:t>
      </w:r>
      <w:r w:rsidRPr="00905E79">
        <w:tab/>
        <w:t xml:space="preserve">Huss, M., Brander, M., Kassie, M., Ehlert, U. &amp; Bernauer, T. Improved storage mitigates vulnerability to food-supply shocks in smallholder agriculture during the COVID-19 pandemic. </w:t>
      </w:r>
      <w:r w:rsidRPr="00905E79">
        <w:rPr>
          <w:i/>
          <w:iCs/>
        </w:rPr>
        <w:t>Glob. Food Secur.</w:t>
      </w:r>
      <w:r w:rsidRPr="00905E79">
        <w:t xml:space="preserve"> </w:t>
      </w:r>
      <w:r w:rsidRPr="00905E79">
        <w:rPr>
          <w:b/>
          <w:bCs/>
        </w:rPr>
        <w:t>28</w:t>
      </w:r>
      <w:r w:rsidRPr="00905E79">
        <w:t>, 100468 (2021).</w:t>
      </w:r>
    </w:p>
    <w:p w14:paraId="184C50EB" w14:textId="77777777" w:rsidR="00905E79" w:rsidRPr="00905E79" w:rsidRDefault="00905E79" w:rsidP="00905E79">
      <w:pPr>
        <w:pStyle w:val="Bibliography"/>
        <w:spacing w:line="276" w:lineRule="auto"/>
      </w:pPr>
      <w:r w:rsidRPr="00905E79">
        <w:t xml:space="preserve">4. </w:t>
      </w:r>
      <w:r w:rsidRPr="00905E79">
        <w:tab/>
        <w:t xml:space="preserve">Hertel, T. W., Reimer, J. J. &amp; Valenzuela, E. Incorporating commodity stockholding into a general equilibrium model of the global economy. </w:t>
      </w:r>
      <w:r w:rsidRPr="00905E79">
        <w:rPr>
          <w:i/>
          <w:iCs/>
        </w:rPr>
        <w:t>Econ. Model.</w:t>
      </w:r>
      <w:r w:rsidRPr="00905E79">
        <w:t xml:space="preserve"> </w:t>
      </w:r>
      <w:r w:rsidRPr="00905E79">
        <w:rPr>
          <w:b/>
          <w:bCs/>
        </w:rPr>
        <w:t>22</w:t>
      </w:r>
      <w:r w:rsidRPr="00905E79">
        <w:t>, 646–664 (2005).</w:t>
      </w:r>
    </w:p>
    <w:p w14:paraId="42C90962" w14:textId="77777777" w:rsidR="00905E79" w:rsidRPr="00905E79" w:rsidRDefault="00905E79" w:rsidP="00905E79">
      <w:pPr>
        <w:pStyle w:val="Bibliography"/>
        <w:spacing w:line="276" w:lineRule="auto"/>
      </w:pPr>
      <w:r w:rsidRPr="00905E79">
        <w:t xml:space="preserve">5. </w:t>
      </w:r>
      <w:r w:rsidRPr="00905E79">
        <w:tab/>
        <w:t xml:space="preserve">Gouel, C. Food Price Volatility and Domestic Stabilization Policies in Developing Countries. in </w:t>
      </w:r>
      <w:r w:rsidRPr="00905E79">
        <w:rPr>
          <w:i/>
          <w:iCs/>
        </w:rPr>
        <w:t>The Economics of Food Price Volatility</w:t>
      </w:r>
      <w:r w:rsidRPr="00905E79">
        <w:t xml:space="preserve"> 261–306 (University of Chicago Press, 2014).</w:t>
      </w:r>
    </w:p>
    <w:p w14:paraId="3579CF6A" w14:textId="77777777" w:rsidR="00905E79" w:rsidRPr="00905E79" w:rsidRDefault="00905E79" w:rsidP="00905E79">
      <w:pPr>
        <w:pStyle w:val="Bibliography"/>
        <w:spacing w:line="276" w:lineRule="auto"/>
      </w:pPr>
      <w:r w:rsidRPr="00905E79">
        <w:t xml:space="preserve">6. </w:t>
      </w:r>
      <w:r w:rsidRPr="00905E79">
        <w:tab/>
        <w:t xml:space="preserve">Sundiang, M. </w:t>
      </w:r>
      <w:r w:rsidRPr="00905E79">
        <w:rPr>
          <w:i/>
          <w:iCs/>
        </w:rPr>
        <w:t>et al.</w:t>
      </w:r>
      <w:r w:rsidRPr="00905E79">
        <w:t xml:space="preserve"> Bundling measures for food systems transformation: a global, multimodel assessment. </w:t>
      </w:r>
      <w:r w:rsidRPr="00905E79">
        <w:rPr>
          <w:i/>
          <w:iCs/>
        </w:rPr>
        <w:t>Lancet Planet. Health</w:t>
      </w:r>
      <w:r w:rsidRPr="00905E79">
        <w:t xml:space="preserve"> </w:t>
      </w:r>
      <w:r w:rsidRPr="00905E79">
        <w:rPr>
          <w:b/>
          <w:bCs/>
        </w:rPr>
        <w:t>9</w:t>
      </w:r>
      <w:r w:rsidRPr="00905E79">
        <w:t>, (2025).</w:t>
      </w:r>
    </w:p>
    <w:p w14:paraId="1D16F50B" w14:textId="77777777" w:rsidR="00905E79" w:rsidRPr="00905E79" w:rsidRDefault="00905E79" w:rsidP="00905E79">
      <w:pPr>
        <w:pStyle w:val="Bibliography"/>
        <w:spacing w:line="276" w:lineRule="auto"/>
      </w:pPr>
      <w:r w:rsidRPr="00905E79">
        <w:t xml:space="preserve">7. </w:t>
      </w:r>
      <w:r w:rsidRPr="00905E79">
        <w:tab/>
        <w:t xml:space="preserve">Gibson, M. </w:t>
      </w:r>
      <w:r w:rsidRPr="00905E79">
        <w:rPr>
          <w:i/>
          <w:iCs/>
        </w:rPr>
        <w:t>et al.</w:t>
      </w:r>
      <w:r w:rsidRPr="00905E79">
        <w:t xml:space="preserve"> Food systems transformation would reshape global agriculture. </w:t>
      </w:r>
      <w:r w:rsidRPr="00905E79">
        <w:rPr>
          <w:i/>
          <w:iCs/>
        </w:rPr>
        <w:t>Nature</w:t>
      </w:r>
      <w:r w:rsidRPr="00905E79">
        <w:t xml:space="preserve"> 1–8 (2026) doi:10.1038/s41586-026-10775-2.</w:t>
      </w:r>
    </w:p>
    <w:p w14:paraId="14C3712E" w14:textId="77777777" w:rsidR="00905E79" w:rsidRPr="00905E79" w:rsidRDefault="00905E79" w:rsidP="00905E79">
      <w:pPr>
        <w:pStyle w:val="Bibliography"/>
        <w:spacing w:line="276" w:lineRule="auto"/>
      </w:pPr>
      <w:r w:rsidRPr="00905E79">
        <w:t xml:space="preserve">8. </w:t>
      </w:r>
      <w:r w:rsidRPr="00905E79">
        <w:tab/>
        <w:t xml:space="preserve">Riahi, K. </w:t>
      </w:r>
      <w:r w:rsidRPr="00905E79">
        <w:rPr>
          <w:i/>
          <w:iCs/>
        </w:rPr>
        <w:t>et al.</w:t>
      </w:r>
      <w:r w:rsidRPr="00905E79">
        <w:t xml:space="preserve"> The Shared Socioeconomic Pathways and their energy, land use, and greenhouse gas emissions implications: An overview. </w:t>
      </w:r>
      <w:r w:rsidRPr="00905E79">
        <w:rPr>
          <w:i/>
          <w:iCs/>
        </w:rPr>
        <w:t>Glob. Environ. Change</w:t>
      </w:r>
      <w:r w:rsidRPr="00905E79">
        <w:t xml:space="preserve"> </w:t>
      </w:r>
      <w:r w:rsidRPr="00905E79">
        <w:rPr>
          <w:b/>
          <w:bCs/>
        </w:rPr>
        <w:t>42</w:t>
      </w:r>
      <w:r w:rsidRPr="00905E79">
        <w:t>, 153–168 (2017).</w:t>
      </w:r>
    </w:p>
    <w:p w14:paraId="28D99E72" w14:textId="77777777" w:rsidR="00905E79" w:rsidRPr="00905E79" w:rsidRDefault="00905E79" w:rsidP="00905E79">
      <w:pPr>
        <w:pStyle w:val="Bibliography"/>
        <w:spacing w:line="276" w:lineRule="auto"/>
      </w:pPr>
      <w:r w:rsidRPr="00905E79">
        <w:t xml:space="preserve">9. </w:t>
      </w:r>
      <w:r w:rsidRPr="00905E79">
        <w:tab/>
        <w:t xml:space="preserve">Nelson, G. C. </w:t>
      </w:r>
      <w:r w:rsidRPr="00905E79">
        <w:rPr>
          <w:i/>
          <w:iCs/>
        </w:rPr>
        <w:t>et al.</w:t>
      </w:r>
      <w:r w:rsidRPr="00905E79">
        <w:t xml:space="preserve"> Agriculture and climate change in global scenarios: why don’t the models agree. </w:t>
      </w:r>
      <w:r w:rsidRPr="00905E79">
        <w:rPr>
          <w:i/>
          <w:iCs/>
        </w:rPr>
        <w:t>Agric. Econ.</w:t>
      </w:r>
      <w:r w:rsidRPr="00905E79">
        <w:t xml:space="preserve"> </w:t>
      </w:r>
      <w:r w:rsidRPr="00905E79">
        <w:rPr>
          <w:b/>
          <w:bCs/>
        </w:rPr>
        <w:t>45</w:t>
      </w:r>
      <w:r w:rsidRPr="00905E79">
        <w:t>, 85–101 (2014).</w:t>
      </w:r>
    </w:p>
    <w:p w14:paraId="3FA03FC0" w14:textId="77777777" w:rsidR="00905E79" w:rsidRPr="00905E79" w:rsidRDefault="00905E79" w:rsidP="00905E79">
      <w:pPr>
        <w:pStyle w:val="Bibliography"/>
        <w:spacing w:line="276" w:lineRule="auto"/>
      </w:pPr>
      <w:r w:rsidRPr="00905E79">
        <w:t xml:space="preserve">10. </w:t>
      </w:r>
      <w:r w:rsidRPr="00905E79">
        <w:tab/>
        <w:t xml:space="preserve">Hasegawa, T. </w:t>
      </w:r>
      <w:r w:rsidRPr="00905E79">
        <w:rPr>
          <w:i/>
          <w:iCs/>
        </w:rPr>
        <w:t>et al.</w:t>
      </w:r>
      <w:r w:rsidRPr="00905E79">
        <w:t xml:space="preserve"> Risk of increased food insecurity under stringent global climate change mitigation policy. </w:t>
      </w:r>
      <w:r w:rsidRPr="00905E79">
        <w:rPr>
          <w:i/>
          <w:iCs/>
        </w:rPr>
        <w:t>Nat. Clim. Change</w:t>
      </w:r>
      <w:r w:rsidRPr="00905E79">
        <w:t xml:space="preserve"> </w:t>
      </w:r>
      <w:r w:rsidRPr="00905E79">
        <w:rPr>
          <w:b/>
          <w:bCs/>
        </w:rPr>
        <w:t>8</w:t>
      </w:r>
      <w:r w:rsidRPr="00905E79">
        <w:t>, 699–703 (2018).</w:t>
      </w:r>
    </w:p>
    <w:p w14:paraId="01BA7568" w14:textId="77777777" w:rsidR="00905E79" w:rsidRPr="00905E79" w:rsidRDefault="00905E79" w:rsidP="00905E79">
      <w:pPr>
        <w:pStyle w:val="Bibliography"/>
        <w:spacing w:line="276" w:lineRule="auto"/>
      </w:pPr>
      <w:r w:rsidRPr="00905E79">
        <w:t xml:space="preserve">11. </w:t>
      </w:r>
      <w:r w:rsidRPr="00905E79">
        <w:tab/>
        <w:t xml:space="preserve">Diffenbaugh, N. S., Hertel, T. W., Scherer, M. &amp; Verma, M. Response of corn markets to climate volatility under alternative energy futures. </w:t>
      </w:r>
      <w:r w:rsidRPr="00905E79">
        <w:rPr>
          <w:i/>
          <w:iCs/>
        </w:rPr>
        <w:t>Nat. Clim. Change</w:t>
      </w:r>
      <w:r w:rsidRPr="00905E79">
        <w:t xml:space="preserve"> </w:t>
      </w:r>
      <w:r w:rsidRPr="00905E79">
        <w:rPr>
          <w:b/>
          <w:bCs/>
        </w:rPr>
        <w:t>2</w:t>
      </w:r>
      <w:r w:rsidRPr="00905E79">
        <w:t>, 514–518 (2012).</w:t>
      </w:r>
    </w:p>
    <w:p w14:paraId="6936C349" w14:textId="77777777" w:rsidR="00905E79" w:rsidRPr="00905E79" w:rsidRDefault="00905E79" w:rsidP="00905E79">
      <w:pPr>
        <w:pStyle w:val="Bibliography"/>
        <w:spacing w:line="276" w:lineRule="auto"/>
      </w:pPr>
      <w:r w:rsidRPr="00905E79">
        <w:t xml:space="preserve">12. </w:t>
      </w:r>
      <w:r w:rsidRPr="00905E79">
        <w:tab/>
        <w:t xml:space="preserve">Davis, K. F., Downs, S. &amp; Gephart, J. A. Towards food supply chain resilience to environmental shocks. </w:t>
      </w:r>
      <w:r w:rsidRPr="00905E79">
        <w:rPr>
          <w:i/>
          <w:iCs/>
        </w:rPr>
        <w:t>Nat. Food</w:t>
      </w:r>
      <w:r w:rsidRPr="00905E79">
        <w:t xml:space="preserve"> </w:t>
      </w:r>
      <w:r w:rsidRPr="00905E79">
        <w:rPr>
          <w:b/>
          <w:bCs/>
        </w:rPr>
        <w:t>2</w:t>
      </w:r>
      <w:r w:rsidRPr="00905E79">
        <w:t>, 54–65 (2021).</w:t>
      </w:r>
    </w:p>
    <w:p w14:paraId="74EEC3AD" w14:textId="77777777" w:rsidR="00905E79" w:rsidRPr="00905E79" w:rsidRDefault="00905E79" w:rsidP="00905E79">
      <w:pPr>
        <w:pStyle w:val="Bibliography"/>
        <w:spacing w:line="276" w:lineRule="auto"/>
      </w:pPr>
      <w:r w:rsidRPr="00905E79">
        <w:t xml:space="preserve">13. </w:t>
      </w:r>
      <w:r w:rsidRPr="00905E79">
        <w:tab/>
        <w:t xml:space="preserve">Haqiqi, I. Trade can buffer climate-induced risks and volatilities in crop supply. </w:t>
      </w:r>
      <w:r w:rsidRPr="00905E79">
        <w:rPr>
          <w:i/>
          <w:iCs/>
        </w:rPr>
        <w:t>Environ. Res. Food Syst.</w:t>
      </w:r>
      <w:r w:rsidRPr="00905E79">
        <w:t xml:space="preserve"> </w:t>
      </w:r>
      <w:r w:rsidRPr="00905E79">
        <w:rPr>
          <w:b/>
          <w:bCs/>
        </w:rPr>
        <w:t>1</w:t>
      </w:r>
      <w:r w:rsidRPr="00905E79">
        <w:t>, 021004 (2024).</w:t>
      </w:r>
    </w:p>
    <w:p w14:paraId="06D5B3DF" w14:textId="77777777" w:rsidR="00905E79" w:rsidRPr="00905E79" w:rsidRDefault="00905E79" w:rsidP="00905E79">
      <w:pPr>
        <w:pStyle w:val="Bibliography"/>
        <w:spacing w:line="276" w:lineRule="auto"/>
      </w:pPr>
      <w:r w:rsidRPr="00905E79">
        <w:t xml:space="preserve">14. </w:t>
      </w:r>
      <w:r w:rsidRPr="00905E79">
        <w:tab/>
        <w:t xml:space="preserve">Zhao, X. </w:t>
      </w:r>
      <w:r w:rsidRPr="00905E79">
        <w:rPr>
          <w:i/>
          <w:iCs/>
        </w:rPr>
        <w:t>et al.</w:t>
      </w:r>
      <w:r w:rsidRPr="00905E79">
        <w:t xml:space="preserve"> Global agricultural responses to interannual climate and biophysical variability. </w:t>
      </w:r>
      <w:r w:rsidRPr="00905E79">
        <w:rPr>
          <w:i/>
          <w:iCs/>
        </w:rPr>
        <w:t>Environ. Res. Lett.</w:t>
      </w:r>
      <w:r w:rsidRPr="00905E79">
        <w:t xml:space="preserve"> </w:t>
      </w:r>
      <w:r w:rsidRPr="00905E79">
        <w:rPr>
          <w:b/>
          <w:bCs/>
        </w:rPr>
        <w:t>16</w:t>
      </w:r>
      <w:r w:rsidRPr="00905E79">
        <w:t>, 104037 (2021).</w:t>
      </w:r>
    </w:p>
    <w:p w14:paraId="4F621467" w14:textId="77777777" w:rsidR="00905E79" w:rsidRPr="00905E79" w:rsidRDefault="00905E79" w:rsidP="00905E79">
      <w:pPr>
        <w:pStyle w:val="Bibliography"/>
        <w:spacing w:line="276" w:lineRule="auto"/>
      </w:pPr>
      <w:r w:rsidRPr="00905E79">
        <w:t xml:space="preserve">15. </w:t>
      </w:r>
      <w:r w:rsidRPr="00905E79">
        <w:tab/>
        <w:t xml:space="preserve">Nelson, G. C. </w:t>
      </w:r>
      <w:r w:rsidRPr="00905E79">
        <w:rPr>
          <w:i/>
          <w:iCs/>
        </w:rPr>
        <w:t>et al.</w:t>
      </w:r>
      <w:r w:rsidRPr="00905E79">
        <w:t xml:space="preserve"> Climate change effects on agriculture: Economic responses to biophysical shocks. </w:t>
      </w:r>
      <w:r w:rsidRPr="00905E79">
        <w:rPr>
          <w:i/>
          <w:iCs/>
        </w:rPr>
        <w:t>Proc. Natl. Acad. Sci.</w:t>
      </w:r>
      <w:r w:rsidRPr="00905E79">
        <w:t xml:space="preserve"> </w:t>
      </w:r>
      <w:r w:rsidRPr="00905E79">
        <w:rPr>
          <w:b/>
          <w:bCs/>
        </w:rPr>
        <w:t>111</w:t>
      </w:r>
      <w:r w:rsidRPr="00905E79">
        <w:t>, 3274–3279 (2014).</w:t>
      </w:r>
    </w:p>
    <w:p w14:paraId="00B59B93" w14:textId="77777777" w:rsidR="00905E79" w:rsidRPr="00905E79" w:rsidRDefault="00905E79" w:rsidP="00905E79">
      <w:pPr>
        <w:pStyle w:val="Bibliography"/>
        <w:spacing w:line="276" w:lineRule="auto"/>
      </w:pPr>
      <w:r w:rsidRPr="00905E79">
        <w:t xml:space="preserve">16. </w:t>
      </w:r>
      <w:r w:rsidRPr="00905E79">
        <w:tab/>
        <w:t xml:space="preserve">Sheng, D. </w:t>
      </w:r>
      <w:r w:rsidRPr="00905E79">
        <w:rPr>
          <w:i/>
          <w:iCs/>
        </w:rPr>
        <w:t>et al.</w:t>
      </w:r>
      <w:r w:rsidRPr="00905E79">
        <w:t xml:space="preserve"> Labour market evolution is a key determinant of global agroeconomic and environmental futures. </w:t>
      </w:r>
      <w:r w:rsidRPr="00905E79">
        <w:rPr>
          <w:i/>
          <w:iCs/>
        </w:rPr>
        <w:t>Nat. Food</w:t>
      </w:r>
      <w:r w:rsidRPr="00905E79">
        <w:t xml:space="preserve"> 1–12 (2025) doi:10.1038/s43016-024-01088-6.</w:t>
      </w:r>
    </w:p>
    <w:p w14:paraId="521DF5F2" w14:textId="77777777" w:rsidR="00905E79" w:rsidRPr="00905E79" w:rsidRDefault="00905E79" w:rsidP="00905E79">
      <w:pPr>
        <w:pStyle w:val="Bibliography"/>
        <w:spacing w:line="276" w:lineRule="auto"/>
      </w:pPr>
      <w:r w:rsidRPr="00905E79">
        <w:t xml:space="preserve">17. </w:t>
      </w:r>
      <w:r w:rsidRPr="00905E79">
        <w:tab/>
        <w:t xml:space="preserve">Vittis, Y., Obersteiner, M., Godfray, H. C. J. &amp; Springmann, M. Labour requirements for healthy and sustainable diets at global, regional, and national levels: a modelling study. </w:t>
      </w:r>
      <w:r w:rsidRPr="00905E79">
        <w:rPr>
          <w:i/>
          <w:iCs/>
        </w:rPr>
        <w:t>Lancet Planet. Health</w:t>
      </w:r>
      <w:r w:rsidRPr="00905E79">
        <w:t xml:space="preserve"> </w:t>
      </w:r>
      <w:r w:rsidRPr="00905E79">
        <w:rPr>
          <w:b/>
          <w:bCs/>
        </w:rPr>
        <w:t>9</w:t>
      </w:r>
      <w:r w:rsidRPr="00905E79">
        <w:t>, (2025).</w:t>
      </w:r>
    </w:p>
    <w:p w14:paraId="627130CF" w14:textId="77777777" w:rsidR="00905E79" w:rsidRPr="00905E79" w:rsidRDefault="00905E79" w:rsidP="00905E79">
      <w:pPr>
        <w:pStyle w:val="Bibliography"/>
        <w:spacing w:line="276" w:lineRule="auto"/>
      </w:pPr>
      <w:r w:rsidRPr="00905E79">
        <w:t xml:space="preserve">18. </w:t>
      </w:r>
      <w:r w:rsidRPr="00905E79">
        <w:tab/>
        <w:t xml:space="preserve">Hasegawa, T. </w:t>
      </w:r>
      <w:r w:rsidRPr="00905E79">
        <w:rPr>
          <w:i/>
          <w:iCs/>
        </w:rPr>
        <w:t>et al.</w:t>
      </w:r>
      <w:r w:rsidRPr="00905E79">
        <w:t xml:space="preserve"> Extreme climate events increase risk of global food insecurity and adaptation needs. </w:t>
      </w:r>
      <w:r w:rsidRPr="00905E79">
        <w:rPr>
          <w:i/>
          <w:iCs/>
        </w:rPr>
        <w:t>Nat. Food</w:t>
      </w:r>
      <w:r w:rsidRPr="00905E79">
        <w:t xml:space="preserve"> </w:t>
      </w:r>
      <w:r w:rsidRPr="00905E79">
        <w:rPr>
          <w:b/>
          <w:bCs/>
        </w:rPr>
        <w:t>2</w:t>
      </w:r>
      <w:r w:rsidRPr="00905E79">
        <w:t>, 587–595 (2021).</w:t>
      </w:r>
    </w:p>
    <w:p w14:paraId="2B6A7015" w14:textId="77777777" w:rsidR="00905E79" w:rsidRPr="00905E79" w:rsidRDefault="00905E79" w:rsidP="00905E79">
      <w:pPr>
        <w:pStyle w:val="Bibliography"/>
        <w:spacing w:line="276" w:lineRule="auto"/>
      </w:pPr>
      <w:r w:rsidRPr="00905E79">
        <w:t xml:space="preserve">19. </w:t>
      </w:r>
      <w:r w:rsidRPr="00905E79">
        <w:tab/>
        <w:t xml:space="preserve">Bobenrieth, E., Wright, B. &amp; Zeng, D. Stocks-to-use ratios and prices as indicators of vulnerability to spikes in global cereal markets. </w:t>
      </w:r>
      <w:r w:rsidRPr="00905E79">
        <w:rPr>
          <w:i/>
          <w:iCs/>
        </w:rPr>
        <w:t>Agric. Econ.</w:t>
      </w:r>
      <w:r w:rsidRPr="00905E79">
        <w:t xml:space="preserve"> </w:t>
      </w:r>
      <w:r w:rsidRPr="00905E79">
        <w:rPr>
          <w:b/>
          <w:bCs/>
        </w:rPr>
        <w:t>44</w:t>
      </w:r>
      <w:r w:rsidRPr="00905E79">
        <w:t>, 43–52 (2013).</w:t>
      </w:r>
    </w:p>
    <w:p w14:paraId="2D5AAB46" w14:textId="77777777" w:rsidR="00905E79" w:rsidRPr="00905E79" w:rsidRDefault="00905E79" w:rsidP="00905E79">
      <w:pPr>
        <w:pStyle w:val="Bibliography"/>
        <w:spacing w:line="276" w:lineRule="auto"/>
      </w:pPr>
      <w:r w:rsidRPr="00905E79">
        <w:t xml:space="preserve">20. </w:t>
      </w:r>
      <w:r w:rsidRPr="00905E79">
        <w:tab/>
        <w:t xml:space="preserve">Cafiero, C., Bobenrieth H., E. S. A., Bobenrieth H., J. R. A. &amp; Wright, B. D. The empirical relevance of the competitive storage model. </w:t>
      </w:r>
      <w:r w:rsidRPr="00905E79">
        <w:rPr>
          <w:i/>
          <w:iCs/>
        </w:rPr>
        <w:t>J. Econom.</w:t>
      </w:r>
      <w:r w:rsidRPr="00905E79">
        <w:t xml:space="preserve"> </w:t>
      </w:r>
      <w:r w:rsidRPr="00905E79">
        <w:rPr>
          <w:b/>
          <w:bCs/>
        </w:rPr>
        <w:t>162</w:t>
      </w:r>
      <w:r w:rsidRPr="00905E79">
        <w:t>, 44–54 (2011).</w:t>
      </w:r>
    </w:p>
    <w:p w14:paraId="0A696783" w14:textId="77777777" w:rsidR="00905E79" w:rsidRPr="00905E79" w:rsidRDefault="00905E79" w:rsidP="00905E79">
      <w:pPr>
        <w:pStyle w:val="Bibliography"/>
        <w:spacing w:line="276" w:lineRule="auto"/>
      </w:pPr>
      <w:r w:rsidRPr="00905E79">
        <w:t xml:space="preserve">21. </w:t>
      </w:r>
      <w:r w:rsidRPr="00905E79">
        <w:tab/>
        <w:t xml:space="preserve">Zhao, X. </w:t>
      </w:r>
      <w:r w:rsidRPr="00905E79">
        <w:rPr>
          <w:i/>
          <w:iCs/>
        </w:rPr>
        <w:t>et al.</w:t>
      </w:r>
      <w:r w:rsidRPr="00905E79">
        <w:t xml:space="preserve"> Traceable and Scalable Food Balance Sheets from Agricultural Commodity Supply and Utilization Accounts (2010–2022). </w:t>
      </w:r>
      <w:r w:rsidRPr="00905E79">
        <w:rPr>
          <w:i/>
          <w:iCs/>
        </w:rPr>
        <w:t>Sci. Data</w:t>
      </w:r>
      <w:r w:rsidRPr="00905E79">
        <w:t xml:space="preserve"> </w:t>
      </w:r>
      <w:r w:rsidRPr="00905E79">
        <w:rPr>
          <w:b/>
          <w:bCs/>
        </w:rPr>
        <w:t>12</w:t>
      </w:r>
      <w:r w:rsidRPr="00905E79">
        <w:t>, 834 (2025).</w:t>
      </w:r>
    </w:p>
    <w:p w14:paraId="08B4C038" w14:textId="77777777" w:rsidR="00905E79" w:rsidRPr="00905E79" w:rsidRDefault="00905E79" w:rsidP="00905E79">
      <w:pPr>
        <w:pStyle w:val="Bibliography"/>
        <w:spacing w:line="276" w:lineRule="auto"/>
      </w:pPr>
      <w:r w:rsidRPr="00905E79">
        <w:lastRenderedPageBreak/>
        <w:t xml:space="preserve">22. </w:t>
      </w:r>
      <w:r w:rsidRPr="00905E79">
        <w:tab/>
        <w:t xml:space="preserve">Puma, M. J., Bose, S., Chon, S. Y. &amp; Cook, B. I. Assessing the evolving fragility of the global food system. </w:t>
      </w:r>
      <w:r w:rsidRPr="00905E79">
        <w:rPr>
          <w:i/>
          <w:iCs/>
        </w:rPr>
        <w:t>Environ. Res. Lett.</w:t>
      </w:r>
      <w:r w:rsidRPr="00905E79">
        <w:t xml:space="preserve"> </w:t>
      </w:r>
      <w:r w:rsidRPr="00905E79">
        <w:rPr>
          <w:b/>
          <w:bCs/>
        </w:rPr>
        <w:t>10</w:t>
      </w:r>
      <w:r w:rsidRPr="00905E79">
        <w:t>, 024007 (2015).</w:t>
      </w:r>
    </w:p>
    <w:p w14:paraId="193EDD97" w14:textId="77777777" w:rsidR="00905E79" w:rsidRPr="00905E79" w:rsidRDefault="00905E79" w:rsidP="00905E79">
      <w:pPr>
        <w:pStyle w:val="Bibliography"/>
        <w:spacing w:line="276" w:lineRule="auto"/>
      </w:pPr>
      <w:r w:rsidRPr="00905E79">
        <w:t xml:space="preserve">23. </w:t>
      </w:r>
      <w:r w:rsidRPr="00905E79">
        <w:tab/>
        <w:t xml:space="preserve">Janssens, C. </w:t>
      </w:r>
      <w:r w:rsidRPr="00905E79">
        <w:rPr>
          <w:i/>
          <w:iCs/>
        </w:rPr>
        <w:t>et al.</w:t>
      </w:r>
      <w:r w:rsidRPr="00905E79">
        <w:t xml:space="preserve"> Global hunger and climate change adaptation through international trade. </w:t>
      </w:r>
      <w:r w:rsidRPr="00905E79">
        <w:rPr>
          <w:i/>
          <w:iCs/>
        </w:rPr>
        <w:t>Nat. Clim. Change</w:t>
      </w:r>
      <w:r w:rsidRPr="00905E79">
        <w:t xml:space="preserve"> </w:t>
      </w:r>
      <w:r w:rsidRPr="00905E79">
        <w:rPr>
          <w:b/>
          <w:bCs/>
        </w:rPr>
        <w:t>10</w:t>
      </w:r>
      <w:r w:rsidRPr="00905E79">
        <w:t>, 829–835 (2020).</w:t>
      </w:r>
    </w:p>
    <w:p w14:paraId="1BC7BB01" w14:textId="77777777" w:rsidR="00905E79" w:rsidRPr="00905E79" w:rsidRDefault="00905E79" w:rsidP="00905E79">
      <w:pPr>
        <w:pStyle w:val="Bibliography"/>
        <w:spacing w:line="276" w:lineRule="auto"/>
      </w:pPr>
      <w:r w:rsidRPr="00905E79">
        <w:t xml:space="preserve">24. </w:t>
      </w:r>
      <w:r w:rsidRPr="00905E79">
        <w:tab/>
        <w:t xml:space="preserve">OECD-FAO. </w:t>
      </w:r>
      <w:r w:rsidRPr="00905E79">
        <w:rPr>
          <w:i/>
          <w:iCs/>
        </w:rPr>
        <w:t>THE AGLINK-COSIMO MODEL A PARTIAL EQUILIBRIUM MODEL OF WORLD AGRICULTURAL MARKETS</w:t>
      </w:r>
      <w:r w:rsidRPr="00905E79">
        <w:t>. https://www.agri-outlook.org/about/ (2026).</w:t>
      </w:r>
    </w:p>
    <w:p w14:paraId="585DE456" w14:textId="77777777" w:rsidR="00905E79" w:rsidRPr="00905E79" w:rsidRDefault="00905E79" w:rsidP="00905E79">
      <w:pPr>
        <w:pStyle w:val="Bibliography"/>
        <w:spacing w:line="276" w:lineRule="auto"/>
      </w:pPr>
      <w:r w:rsidRPr="00905E79">
        <w:t xml:space="preserve">25. </w:t>
      </w:r>
      <w:r w:rsidRPr="00905E79">
        <w:tab/>
        <w:t xml:space="preserve">Mitra, S. &amp; Boussard, J.-M. A simple model of endogenous agricultural commodity price fluctuations with storage. </w:t>
      </w:r>
      <w:r w:rsidRPr="00905E79">
        <w:rPr>
          <w:i/>
          <w:iCs/>
        </w:rPr>
        <w:t>Agric. Econ.</w:t>
      </w:r>
      <w:r w:rsidRPr="00905E79">
        <w:t xml:space="preserve"> </w:t>
      </w:r>
      <w:r w:rsidRPr="00905E79">
        <w:rPr>
          <w:b/>
          <w:bCs/>
        </w:rPr>
        <w:t>43</w:t>
      </w:r>
      <w:r w:rsidRPr="00905E79">
        <w:t>, 1–15 (2012).</w:t>
      </w:r>
    </w:p>
    <w:p w14:paraId="250DA251" w14:textId="77777777" w:rsidR="00905E79" w:rsidRPr="00905E79" w:rsidRDefault="00905E79" w:rsidP="00905E79">
      <w:pPr>
        <w:pStyle w:val="Bibliography"/>
        <w:spacing w:line="276" w:lineRule="auto"/>
      </w:pPr>
      <w:r w:rsidRPr="00905E79">
        <w:t xml:space="preserve">26. </w:t>
      </w:r>
      <w:r w:rsidRPr="00905E79">
        <w:tab/>
        <w:t xml:space="preserve">Gouel, C. Rules versus Discretion in Food Storage Policies. </w:t>
      </w:r>
      <w:r w:rsidRPr="00905E79">
        <w:rPr>
          <w:i/>
          <w:iCs/>
        </w:rPr>
        <w:t>Am. J. Agric. Econ.</w:t>
      </w:r>
      <w:r w:rsidRPr="00905E79">
        <w:t xml:space="preserve"> </w:t>
      </w:r>
      <w:r w:rsidRPr="00905E79">
        <w:rPr>
          <w:b/>
          <w:bCs/>
        </w:rPr>
        <w:t>95</w:t>
      </w:r>
      <w:r w:rsidRPr="00905E79">
        <w:t>, 1029–1044 (2013).</w:t>
      </w:r>
    </w:p>
    <w:p w14:paraId="1718C68F" w14:textId="77777777" w:rsidR="00905E79" w:rsidRPr="00905E79" w:rsidRDefault="00905E79" w:rsidP="00905E79">
      <w:pPr>
        <w:pStyle w:val="Bibliography"/>
        <w:spacing w:line="276" w:lineRule="auto"/>
      </w:pPr>
      <w:r w:rsidRPr="00905E79">
        <w:t xml:space="preserve">27. </w:t>
      </w:r>
      <w:r w:rsidRPr="00905E79">
        <w:tab/>
        <w:t xml:space="preserve">Schewe, J., Otto, C. &amp; Frieler, K. The role of storage dynamics in annual wheat prices. </w:t>
      </w:r>
      <w:r w:rsidRPr="00905E79">
        <w:rPr>
          <w:i/>
          <w:iCs/>
        </w:rPr>
        <w:t>Environ. Res. Lett.</w:t>
      </w:r>
      <w:r w:rsidRPr="00905E79">
        <w:t xml:space="preserve"> </w:t>
      </w:r>
      <w:r w:rsidRPr="00905E79">
        <w:rPr>
          <w:b/>
          <w:bCs/>
        </w:rPr>
        <w:t>12</w:t>
      </w:r>
      <w:r w:rsidRPr="00905E79">
        <w:t>, 054005 (2017).</w:t>
      </w:r>
    </w:p>
    <w:p w14:paraId="2C861A37" w14:textId="77777777" w:rsidR="00905E79" w:rsidRPr="00905E79" w:rsidRDefault="00905E79" w:rsidP="00905E79">
      <w:pPr>
        <w:pStyle w:val="Bibliography"/>
        <w:spacing w:line="276" w:lineRule="auto"/>
      </w:pPr>
      <w:r w:rsidRPr="00905E79">
        <w:t xml:space="preserve">28. </w:t>
      </w:r>
      <w:r w:rsidRPr="00905E79">
        <w:tab/>
        <w:t xml:space="preserve">Zhao, X., Patel, P., Ellie, L. &amp; Binsted, M. </w:t>
      </w:r>
      <w:r w:rsidRPr="00905E79">
        <w:rPr>
          <w:i/>
          <w:iCs/>
        </w:rPr>
        <w:t>Core Model Proposal #382: Representing Agricultural and Food Storage</w:t>
      </w:r>
      <w:r w:rsidRPr="00905E79">
        <w:t>. https://github.com/JGCRI/gcam-doc/blob/gh-pages/cmp/382-AgFoodStorage.pdf (2024) doi:10.2172/3024073.</w:t>
      </w:r>
    </w:p>
    <w:p w14:paraId="2FA887A6" w14:textId="77777777" w:rsidR="00905E79" w:rsidRPr="00905E79" w:rsidRDefault="00905E79" w:rsidP="00905E79">
      <w:pPr>
        <w:pStyle w:val="Bibliography"/>
        <w:spacing w:line="276" w:lineRule="auto"/>
      </w:pPr>
      <w:r w:rsidRPr="00905E79">
        <w:t xml:space="preserve">29. </w:t>
      </w:r>
      <w:r w:rsidRPr="00905E79">
        <w:tab/>
        <w:t xml:space="preserve">Xia, S. </w:t>
      </w:r>
      <w:r w:rsidRPr="00905E79">
        <w:rPr>
          <w:i/>
          <w:iCs/>
        </w:rPr>
        <w:t>et al.</w:t>
      </w:r>
      <w:r w:rsidRPr="00905E79">
        <w:t xml:space="preserve"> Ozone pollution reduction partially offsets the negative impact of climate change mitigation efforts on global hunger. </w:t>
      </w:r>
      <w:r w:rsidRPr="00905E79">
        <w:rPr>
          <w:i/>
          <w:iCs/>
        </w:rPr>
        <w:t>Nat. Food</w:t>
      </w:r>
      <w:r w:rsidRPr="00905E79">
        <w:t xml:space="preserve"> 1–13 (2026) doi:10.1038/s43016-026-01322-3.</w:t>
      </w:r>
    </w:p>
    <w:p w14:paraId="6F68B2B5" w14:textId="77777777" w:rsidR="00905E79" w:rsidRPr="00905E79" w:rsidRDefault="00905E79" w:rsidP="00905E79">
      <w:pPr>
        <w:pStyle w:val="Bibliography"/>
        <w:spacing w:line="276" w:lineRule="auto"/>
      </w:pPr>
      <w:r w:rsidRPr="00905E79">
        <w:t xml:space="preserve">30. </w:t>
      </w:r>
      <w:r w:rsidRPr="00905E79">
        <w:tab/>
        <w:t xml:space="preserve">Rockström, J. </w:t>
      </w:r>
      <w:r w:rsidRPr="00905E79">
        <w:rPr>
          <w:i/>
          <w:iCs/>
        </w:rPr>
        <w:t>et al.</w:t>
      </w:r>
      <w:r w:rsidRPr="00905E79">
        <w:t xml:space="preserve"> The EAT–Lancet Commission on healthy, sustainable, and just food systems. </w:t>
      </w:r>
      <w:r w:rsidRPr="00905E79">
        <w:rPr>
          <w:i/>
          <w:iCs/>
        </w:rPr>
        <w:t>The Lancet</w:t>
      </w:r>
      <w:r w:rsidRPr="00905E79">
        <w:t xml:space="preserve"> </w:t>
      </w:r>
      <w:r w:rsidRPr="00905E79">
        <w:rPr>
          <w:b/>
          <w:bCs/>
        </w:rPr>
        <w:t>406</w:t>
      </w:r>
      <w:r w:rsidRPr="00905E79">
        <w:t>, 1625–1700 (2025).</w:t>
      </w:r>
    </w:p>
    <w:p w14:paraId="1E9CCDEE" w14:textId="77777777" w:rsidR="00905E79" w:rsidRPr="00905E79" w:rsidRDefault="00905E79" w:rsidP="00905E79">
      <w:pPr>
        <w:pStyle w:val="Bibliography"/>
        <w:spacing w:line="276" w:lineRule="auto"/>
      </w:pPr>
      <w:r w:rsidRPr="00905E79">
        <w:t xml:space="preserve">31. </w:t>
      </w:r>
      <w:r w:rsidRPr="00905E79">
        <w:tab/>
        <w:t xml:space="preserve">Van Vuuren, D. P. </w:t>
      </w:r>
      <w:r w:rsidRPr="00905E79">
        <w:rPr>
          <w:i/>
          <w:iCs/>
        </w:rPr>
        <w:t>et al.</w:t>
      </w:r>
      <w:r w:rsidRPr="00905E79">
        <w:t xml:space="preserve"> The Scenario Model Intercomparison Project for CMIP7 (ScenarioMIP-CMIP7). </w:t>
      </w:r>
      <w:r w:rsidRPr="00905E79">
        <w:rPr>
          <w:i/>
          <w:iCs/>
        </w:rPr>
        <w:t>Geosci. Model Dev.</w:t>
      </w:r>
      <w:r w:rsidRPr="00905E79">
        <w:t xml:space="preserve"> </w:t>
      </w:r>
      <w:r w:rsidRPr="00905E79">
        <w:rPr>
          <w:b/>
          <w:bCs/>
        </w:rPr>
        <w:t>19</w:t>
      </w:r>
      <w:r w:rsidRPr="00905E79">
        <w:t>, 2627–2656 (2026).</w:t>
      </w:r>
    </w:p>
    <w:p w14:paraId="0094E6D3" w14:textId="77777777" w:rsidR="00905E79" w:rsidRPr="00905E79" w:rsidRDefault="00905E79" w:rsidP="00905E79">
      <w:pPr>
        <w:pStyle w:val="Bibliography"/>
        <w:spacing w:line="276" w:lineRule="auto"/>
      </w:pPr>
      <w:r w:rsidRPr="00905E79">
        <w:t xml:space="preserve">32. </w:t>
      </w:r>
      <w:r w:rsidRPr="00905E79">
        <w:tab/>
        <w:t xml:space="preserve">Zhao, X. &amp; Wise, M. </w:t>
      </w:r>
      <w:r w:rsidRPr="00905E79">
        <w:rPr>
          <w:i/>
          <w:iCs/>
        </w:rPr>
        <w:t>Core Model Proposal #360: GCAM Agriculture and Land Use (AgLU) Data and Method Updates: Connecting Land Hectares to Food Calories</w:t>
      </w:r>
      <w:r w:rsidRPr="00905E79">
        <w:t>. https://github.com/JGCRI/gcam-doc/blob/gh-pages/cmp/360_AgLU_data_and_methods.pdf (2023) doi:10.13140/RG.2.2.34673.29282.</w:t>
      </w:r>
    </w:p>
    <w:p w14:paraId="6B67EB71" w14:textId="77777777" w:rsidR="00905E79" w:rsidRPr="00905E79" w:rsidRDefault="00905E79" w:rsidP="00905E79">
      <w:pPr>
        <w:pStyle w:val="Bibliography"/>
        <w:spacing w:line="276" w:lineRule="auto"/>
      </w:pPr>
      <w:r w:rsidRPr="00905E79">
        <w:t xml:space="preserve">33. </w:t>
      </w:r>
      <w:r w:rsidRPr="00905E79">
        <w:tab/>
        <w:t xml:space="preserve">Zhao, X. </w:t>
      </w:r>
      <w:r w:rsidRPr="00905E79">
        <w:rPr>
          <w:i/>
          <w:iCs/>
        </w:rPr>
        <w:t>et al.</w:t>
      </w:r>
      <w:r w:rsidRPr="00905E79">
        <w:t xml:space="preserve"> gcamfaostat: An R package to prepare, process, and synthesize FAOSTAT data for global agroeconomic and multisector dynamic modeling. </w:t>
      </w:r>
      <w:r w:rsidRPr="00905E79">
        <w:rPr>
          <w:i/>
          <w:iCs/>
        </w:rPr>
        <w:t>J. Open Source Softw.</w:t>
      </w:r>
      <w:r w:rsidRPr="00905E79">
        <w:t xml:space="preserve"> </w:t>
      </w:r>
      <w:r w:rsidRPr="00905E79">
        <w:rPr>
          <w:b/>
          <w:bCs/>
        </w:rPr>
        <w:t>9</w:t>
      </w:r>
      <w:r w:rsidRPr="00905E79">
        <w:t>, 6388 (2024).</w:t>
      </w:r>
    </w:p>
    <w:p w14:paraId="0CC03023" w14:textId="77777777" w:rsidR="00905E79" w:rsidRPr="00905E79" w:rsidRDefault="00905E79" w:rsidP="00905E79">
      <w:pPr>
        <w:pStyle w:val="Bibliography"/>
        <w:spacing w:line="276" w:lineRule="auto"/>
      </w:pPr>
      <w:r w:rsidRPr="00905E79">
        <w:t xml:space="preserve">34. </w:t>
      </w:r>
      <w:r w:rsidRPr="00905E79">
        <w:tab/>
        <w:t xml:space="preserve">Zhao, X. </w:t>
      </w:r>
      <w:r w:rsidRPr="00905E79">
        <w:rPr>
          <w:i/>
          <w:iCs/>
        </w:rPr>
        <w:t>et al.</w:t>
      </w:r>
      <w:r w:rsidRPr="00905E79">
        <w:t xml:space="preserve"> </w:t>
      </w:r>
      <w:r w:rsidRPr="00905E79">
        <w:rPr>
          <w:i/>
          <w:iCs/>
        </w:rPr>
        <w:t>Core Model Proposal #411: GCAM Macro-Economic Module KLEAM and Related Agriculture Sector Updates</w:t>
      </w:r>
      <w:r w:rsidRPr="00905E79">
        <w:t>. https://jgcri.github.io/gcam-doc/cmp/411-GCAM_Macro_KLEAM.pdf (2026).</w:t>
      </w:r>
    </w:p>
    <w:p w14:paraId="440364E3" w14:textId="77777777" w:rsidR="00905E79" w:rsidRPr="00905E79" w:rsidRDefault="00905E79" w:rsidP="00905E79">
      <w:pPr>
        <w:pStyle w:val="Bibliography"/>
        <w:spacing w:line="276" w:lineRule="auto"/>
      </w:pPr>
      <w:r w:rsidRPr="00905E79">
        <w:t xml:space="preserve">35. </w:t>
      </w:r>
      <w:r w:rsidRPr="00905E79">
        <w:tab/>
        <w:t>Duncan, W. H., Smith, S. A., Narayanan, C. R. &amp; Martinez, C. C. Estimating Costs for Grain Storage: Bags and Bins. https://extension.tennessee.edu/publications/Documents/W1060.pdf (2022).</w:t>
      </w:r>
    </w:p>
    <w:p w14:paraId="51423ED1" w14:textId="77777777" w:rsidR="00905E79" w:rsidRPr="00905E79" w:rsidRDefault="00905E79" w:rsidP="00905E79">
      <w:pPr>
        <w:pStyle w:val="Bibliography"/>
        <w:spacing w:line="276" w:lineRule="auto"/>
      </w:pPr>
      <w:r w:rsidRPr="00905E79">
        <w:t xml:space="preserve">36. </w:t>
      </w:r>
      <w:r w:rsidRPr="00905E79">
        <w:tab/>
        <w:t xml:space="preserve">Edwards, W. Cost of Storing Grain. </w:t>
      </w:r>
      <w:r w:rsidRPr="00905E79">
        <w:rPr>
          <w:i/>
          <w:iCs/>
        </w:rPr>
        <w:t>Ag Decis. Mak.</w:t>
      </w:r>
      <w:r w:rsidRPr="00905E79">
        <w:t xml:space="preserve"> https://www.extension.iastate.edu/agdm/wholefarm/html/c2-24.html (2014).</w:t>
      </w:r>
    </w:p>
    <w:p w14:paraId="7570B668" w14:textId="77777777" w:rsidR="00905E79" w:rsidRPr="00905E79" w:rsidRDefault="00905E79" w:rsidP="00905E79">
      <w:pPr>
        <w:pStyle w:val="Bibliography"/>
        <w:spacing w:line="276" w:lineRule="auto"/>
      </w:pPr>
      <w:r w:rsidRPr="00905E79">
        <w:t xml:space="preserve">37. </w:t>
      </w:r>
      <w:r w:rsidRPr="00905E79">
        <w:tab/>
        <w:t xml:space="preserve">David, B., Michelle L. ,Erekat,Dana Mohamed,Lampietti,Julian A. ,De Hartog,Arnold H. ,Michaels,Sean. </w:t>
      </w:r>
      <w:r w:rsidRPr="00905E79">
        <w:rPr>
          <w:i/>
          <w:iCs/>
        </w:rPr>
        <w:t>The Grain Chain : Food Security and Managing Wheat Imports in Arab Countries</w:t>
      </w:r>
      <w:r w:rsidRPr="00905E79">
        <w:t>. https://documents.worldbank.org/en/publication/documents-reports/documentdetail/172941468299064537/The-grain-chain-food-security-and-managing-wheat-imports-in-Arab-countries (2012).</w:t>
      </w:r>
    </w:p>
    <w:p w14:paraId="0012B5DC" w14:textId="77777777" w:rsidR="00905E79" w:rsidRPr="00905E79" w:rsidRDefault="00905E79" w:rsidP="00905E79">
      <w:pPr>
        <w:pStyle w:val="Bibliography"/>
        <w:spacing w:line="276" w:lineRule="auto"/>
      </w:pPr>
      <w:r w:rsidRPr="00905E79">
        <w:t xml:space="preserve">38. </w:t>
      </w:r>
      <w:r w:rsidRPr="00905E79">
        <w:tab/>
        <w:t xml:space="preserve">Larson, D. F., Lampietti, J., Gouel, C., Cafiero, C. &amp; Roberts, J. Food Security and Storage in the Middle East and North Africa. </w:t>
      </w:r>
      <w:r w:rsidRPr="00905E79">
        <w:rPr>
          <w:i/>
          <w:iCs/>
        </w:rPr>
        <w:t>World Bank Econ. Rev.</w:t>
      </w:r>
      <w:r w:rsidRPr="00905E79">
        <w:t xml:space="preserve"> </w:t>
      </w:r>
      <w:r w:rsidRPr="00905E79">
        <w:rPr>
          <w:b/>
          <w:bCs/>
        </w:rPr>
        <w:t>28</w:t>
      </w:r>
      <w:r w:rsidRPr="00905E79">
        <w:t>, 48–73 (2014).</w:t>
      </w:r>
    </w:p>
    <w:p w14:paraId="68D778FC" w14:textId="77777777" w:rsidR="00905E79" w:rsidRPr="00905E79" w:rsidRDefault="00905E79" w:rsidP="00905E79">
      <w:pPr>
        <w:pStyle w:val="Bibliography"/>
        <w:spacing w:line="276" w:lineRule="auto"/>
      </w:pPr>
      <w:r w:rsidRPr="00905E79">
        <w:t xml:space="preserve">39. </w:t>
      </w:r>
      <w:r w:rsidRPr="00905E79">
        <w:tab/>
        <w:t>Baributsa, D., Baoua, I., Djibo, K. &amp; Murdock, L. Using and Recycling Purdue Improved Crop Storage (PICS) Bags. (2015).</w:t>
      </w:r>
    </w:p>
    <w:p w14:paraId="2D494101" w14:textId="77777777" w:rsidR="00905E79" w:rsidRPr="00905E79" w:rsidRDefault="00905E79" w:rsidP="00905E79">
      <w:pPr>
        <w:pStyle w:val="Bibliography"/>
        <w:spacing w:line="276" w:lineRule="auto"/>
      </w:pPr>
      <w:r w:rsidRPr="00905E79">
        <w:t xml:space="preserve">40. </w:t>
      </w:r>
      <w:r w:rsidRPr="00905E79">
        <w:tab/>
        <w:t xml:space="preserve">Dijkink, B., Broeze, J. &amp; Vollebregt, M. Hermetic Bags for the Storage of Maize: Perspectives on Economics, Food Security and Greenhouse Gas Emissions in Different Sub-Saharan African Countries. </w:t>
      </w:r>
      <w:r w:rsidRPr="00905E79">
        <w:rPr>
          <w:i/>
          <w:iCs/>
        </w:rPr>
        <w:t>Front. Sustain. Food Syst.</w:t>
      </w:r>
      <w:r w:rsidRPr="00905E79">
        <w:t xml:space="preserve"> </w:t>
      </w:r>
      <w:r w:rsidRPr="00905E79">
        <w:rPr>
          <w:b/>
          <w:bCs/>
        </w:rPr>
        <w:t>6</w:t>
      </w:r>
      <w:r w:rsidRPr="00905E79">
        <w:t>, (2022).</w:t>
      </w:r>
    </w:p>
    <w:p w14:paraId="6E4F823A" w14:textId="77777777" w:rsidR="00905E79" w:rsidRPr="00905E79" w:rsidRDefault="00905E79" w:rsidP="00905E79">
      <w:pPr>
        <w:pStyle w:val="Bibliography"/>
        <w:spacing w:line="276" w:lineRule="auto"/>
      </w:pPr>
      <w:r w:rsidRPr="00905E79">
        <w:t xml:space="preserve">41. </w:t>
      </w:r>
      <w:r w:rsidRPr="00905E79">
        <w:tab/>
        <w:t xml:space="preserve">Kotu, B. H., Abass, A. B., Hoeschle-Zeledon, I., Mbwambo, H. &amp; Bekunda, M. Exploring the profitability of improved storage technologies and their potential impacts on food security and income of smallholder farm households in Tanzania. </w:t>
      </w:r>
      <w:r w:rsidRPr="00905E79">
        <w:rPr>
          <w:i/>
          <w:iCs/>
        </w:rPr>
        <w:t>J. Stored Prod. Res.</w:t>
      </w:r>
      <w:r w:rsidRPr="00905E79">
        <w:t xml:space="preserve"> </w:t>
      </w:r>
      <w:r w:rsidRPr="00905E79">
        <w:rPr>
          <w:b/>
          <w:bCs/>
        </w:rPr>
        <w:t>82</w:t>
      </w:r>
      <w:r w:rsidRPr="00905E79">
        <w:t>, 98–109 (2019).</w:t>
      </w:r>
    </w:p>
    <w:p w14:paraId="7B43D41E" w14:textId="77777777" w:rsidR="00905E79" w:rsidRPr="00905E79" w:rsidRDefault="00905E79" w:rsidP="00905E79">
      <w:pPr>
        <w:pStyle w:val="Bibliography"/>
        <w:spacing w:line="276" w:lineRule="auto"/>
      </w:pPr>
      <w:r w:rsidRPr="00905E79">
        <w:lastRenderedPageBreak/>
        <w:t xml:space="preserve">42. </w:t>
      </w:r>
      <w:r w:rsidRPr="00905E79">
        <w:tab/>
        <w:t xml:space="preserve">Manandhar, A., Milindi, P. &amp; Shah, A. An Overview of the Post-Harvest Grain Storage Practices of Smallholder Farmers in Developing Countries. </w:t>
      </w:r>
      <w:r w:rsidRPr="00905E79">
        <w:rPr>
          <w:i/>
          <w:iCs/>
        </w:rPr>
        <w:t>Agriculture</w:t>
      </w:r>
      <w:r w:rsidRPr="00905E79">
        <w:t xml:space="preserve"> </w:t>
      </w:r>
      <w:r w:rsidRPr="00905E79">
        <w:rPr>
          <w:b/>
          <w:bCs/>
        </w:rPr>
        <w:t>8</w:t>
      </w:r>
      <w:r w:rsidRPr="00905E79">
        <w:t>, 57 (2018).</w:t>
      </w:r>
    </w:p>
    <w:p w14:paraId="742D7636" w14:textId="77777777" w:rsidR="00905E79" w:rsidRPr="00905E79" w:rsidRDefault="00905E79" w:rsidP="00905E79">
      <w:pPr>
        <w:pStyle w:val="Bibliography"/>
        <w:spacing w:line="276" w:lineRule="auto"/>
      </w:pPr>
      <w:r w:rsidRPr="00905E79">
        <w:t xml:space="preserve">43. </w:t>
      </w:r>
      <w:r w:rsidRPr="00905E79">
        <w:tab/>
        <w:t xml:space="preserve">Ndegwa, M. K., De Groote, H., Gitonga, Z. M. &amp; Bruce, A. Y. Effectiveness and economics of hermetic bags for maize storage: Results of a randomized controlled trial in Kenya. </w:t>
      </w:r>
      <w:r w:rsidRPr="00905E79">
        <w:rPr>
          <w:i/>
          <w:iCs/>
        </w:rPr>
        <w:t>Crop Prot.</w:t>
      </w:r>
      <w:r w:rsidRPr="00905E79">
        <w:t xml:space="preserve"> </w:t>
      </w:r>
      <w:r w:rsidRPr="00905E79">
        <w:rPr>
          <w:b/>
          <w:bCs/>
        </w:rPr>
        <w:t>90</w:t>
      </w:r>
      <w:r w:rsidRPr="00905E79">
        <w:t>, 17–26 (2016).</w:t>
      </w:r>
    </w:p>
    <w:p w14:paraId="0F1CE470" w14:textId="77777777" w:rsidR="00905E79" w:rsidRPr="00905E79" w:rsidRDefault="00905E79" w:rsidP="00905E79">
      <w:pPr>
        <w:pStyle w:val="Bibliography"/>
        <w:spacing w:line="276" w:lineRule="auto"/>
      </w:pPr>
      <w:r w:rsidRPr="00905E79">
        <w:t xml:space="preserve">44. </w:t>
      </w:r>
      <w:r w:rsidRPr="00905E79">
        <w:tab/>
        <w:t xml:space="preserve">Sudini, H. </w:t>
      </w:r>
      <w:r w:rsidRPr="00905E79">
        <w:rPr>
          <w:i/>
          <w:iCs/>
        </w:rPr>
        <w:t>et al.</w:t>
      </w:r>
      <w:r w:rsidRPr="00905E79">
        <w:t xml:space="preserve"> Purdue Improved Crop Storage (PICS) bags for safe storage of groundnuts. </w:t>
      </w:r>
      <w:r w:rsidRPr="00905E79">
        <w:rPr>
          <w:i/>
          <w:iCs/>
        </w:rPr>
        <w:t>J. Stored Prod. Res.</w:t>
      </w:r>
      <w:r w:rsidRPr="00905E79">
        <w:t xml:space="preserve"> </w:t>
      </w:r>
      <w:r w:rsidRPr="00905E79">
        <w:rPr>
          <w:b/>
          <w:bCs/>
        </w:rPr>
        <w:t>64</w:t>
      </w:r>
      <w:r w:rsidRPr="00905E79">
        <w:t>, 133–138 (2015).</w:t>
      </w:r>
    </w:p>
    <w:p w14:paraId="6274690A" w14:textId="77777777" w:rsidR="00905E79" w:rsidRPr="00905E79" w:rsidRDefault="00905E79" w:rsidP="00905E79">
      <w:pPr>
        <w:pStyle w:val="Bibliography"/>
        <w:spacing w:line="276" w:lineRule="auto"/>
      </w:pPr>
      <w:r w:rsidRPr="00905E79">
        <w:t xml:space="preserve">45. </w:t>
      </w:r>
      <w:r w:rsidRPr="00905E79">
        <w:tab/>
        <w:t xml:space="preserve">Frieler, K. </w:t>
      </w:r>
      <w:r w:rsidRPr="00905E79">
        <w:rPr>
          <w:i/>
          <w:iCs/>
        </w:rPr>
        <w:t>et al.</w:t>
      </w:r>
      <w:r w:rsidRPr="00905E79">
        <w:t xml:space="preserve"> Assessing the impacts of 1.5 °C global warming – simulation protocol of the Inter-Sectoral Impact Model Intercomparison Project (ISIMIP2b). </w:t>
      </w:r>
      <w:r w:rsidRPr="00905E79">
        <w:rPr>
          <w:i/>
          <w:iCs/>
        </w:rPr>
        <w:t>Geosci. Model Dev.</w:t>
      </w:r>
      <w:r w:rsidRPr="00905E79">
        <w:t xml:space="preserve"> </w:t>
      </w:r>
      <w:r w:rsidRPr="00905E79">
        <w:rPr>
          <w:b/>
          <w:bCs/>
        </w:rPr>
        <w:t>10</w:t>
      </w:r>
      <w:r w:rsidRPr="00905E79">
        <w:t>, 4321–4345 (2017).</w:t>
      </w:r>
    </w:p>
    <w:p w14:paraId="26EE81FF" w14:textId="77777777" w:rsidR="00905E79" w:rsidRPr="00905E79" w:rsidRDefault="00905E79" w:rsidP="00905E79">
      <w:pPr>
        <w:pStyle w:val="Bibliography"/>
        <w:spacing w:line="276" w:lineRule="auto"/>
      </w:pPr>
      <w:r w:rsidRPr="00905E79">
        <w:t xml:space="preserve">46. </w:t>
      </w:r>
      <w:r w:rsidRPr="00905E79">
        <w:tab/>
        <w:t xml:space="preserve">Ahsan, H., Khan, Z., Snyder, A., Kyle, P. &amp; Vernon, C. osiris: An R package to process climate impacts on agricultural yields for the Global Change Analysis Model. </w:t>
      </w:r>
      <w:r w:rsidRPr="00905E79">
        <w:rPr>
          <w:i/>
          <w:iCs/>
        </w:rPr>
        <w:t>J. Open Source Softw.</w:t>
      </w:r>
      <w:r w:rsidRPr="00905E79">
        <w:t xml:space="preserve"> </w:t>
      </w:r>
      <w:r w:rsidRPr="00905E79">
        <w:rPr>
          <w:b/>
          <w:bCs/>
        </w:rPr>
        <w:t>8</w:t>
      </w:r>
      <w:r w:rsidRPr="00905E79">
        <w:t>, 5226 (2023).</w:t>
      </w:r>
    </w:p>
    <w:p w14:paraId="7CE7B59C" w14:textId="72A99FBC" w:rsidR="00572106" w:rsidRPr="008066ED" w:rsidRDefault="00572106" w:rsidP="00905E79">
      <w:pPr>
        <w:spacing w:line="276" w:lineRule="auto"/>
        <w:rPr>
          <w:rFonts w:cs="Arial"/>
        </w:rPr>
      </w:pPr>
      <w:r w:rsidRPr="008C3C17">
        <w:rPr>
          <w:rFonts w:cs="Arial"/>
        </w:rPr>
        <w:fldChar w:fldCharType="end"/>
      </w:r>
    </w:p>
    <w:p w14:paraId="0BDFD85E" w14:textId="77777777" w:rsidR="00572106" w:rsidRPr="008066ED" w:rsidRDefault="00572106" w:rsidP="00572106">
      <w:pPr>
        <w:rPr>
          <w:rFonts w:cs="Arial"/>
        </w:rPr>
      </w:pPr>
    </w:p>
    <w:sectPr w:rsidR="00572106" w:rsidRPr="008066ED" w:rsidSect="00572106">
      <w:headerReference w:type="default" r:id="rId30"/>
      <w:footerReference w:type="default" r:id="rId31"/>
      <w:footnotePr>
        <w:numFmt w:val="lowerRoman"/>
      </w:footnotePr>
      <w:pgSz w:w="12240" w:h="15840"/>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FC994" w14:textId="77777777" w:rsidR="00D95449" w:rsidRDefault="00D95449" w:rsidP="000704F5">
      <w:pPr>
        <w:spacing w:after="0" w:line="240" w:lineRule="auto"/>
      </w:pPr>
      <w:r>
        <w:separator/>
      </w:r>
    </w:p>
  </w:endnote>
  <w:endnote w:type="continuationSeparator" w:id="0">
    <w:p w14:paraId="0A415BC2" w14:textId="77777777" w:rsidR="00D95449" w:rsidRDefault="00D95449" w:rsidP="000704F5">
      <w:pPr>
        <w:spacing w:after="0" w:line="240" w:lineRule="auto"/>
      </w:pPr>
      <w:r>
        <w:continuationSeparator/>
      </w:r>
    </w:p>
  </w:endnote>
  <w:endnote w:type="continuationNotice" w:id="1">
    <w:p w14:paraId="5DE7D426" w14:textId="77777777" w:rsidR="00D95449" w:rsidRDefault="00D954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416356"/>
      <w:docPartObj>
        <w:docPartGallery w:val="Page Numbers (Bottom of Page)"/>
        <w:docPartUnique/>
      </w:docPartObj>
    </w:sdtPr>
    <w:sdtEndPr>
      <w:rPr>
        <w:rFonts w:cs="Arial"/>
        <w:noProof/>
      </w:rPr>
    </w:sdtEndPr>
    <w:sdtContent>
      <w:p w14:paraId="62F48E0E" w14:textId="493AC10A" w:rsidR="009C4A32" w:rsidRPr="009C4A32" w:rsidRDefault="009C4A32">
        <w:pPr>
          <w:pStyle w:val="Footer"/>
          <w:jc w:val="center"/>
          <w:rPr>
            <w:rFonts w:cs="Arial"/>
          </w:rPr>
        </w:pPr>
        <w:r w:rsidRPr="009C4A32">
          <w:rPr>
            <w:rFonts w:cs="Arial"/>
          </w:rPr>
          <w:fldChar w:fldCharType="begin"/>
        </w:r>
        <w:r w:rsidRPr="009C4A32">
          <w:rPr>
            <w:rFonts w:cs="Arial"/>
          </w:rPr>
          <w:instrText xml:space="preserve"> PAGE   \* MERGEFORMAT </w:instrText>
        </w:r>
        <w:r w:rsidRPr="009C4A32">
          <w:rPr>
            <w:rFonts w:cs="Arial"/>
          </w:rPr>
          <w:fldChar w:fldCharType="separate"/>
        </w:r>
        <w:r w:rsidRPr="009C4A32">
          <w:rPr>
            <w:rFonts w:cs="Arial"/>
            <w:noProof/>
          </w:rPr>
          <w:t>2</w:t>
        </w:r>
        <w:r w:rsidRPr="009C4A32">
          <w:rPr>
            <w:rFonts w:cs="Arial"/>
            <w:noProof/>
          </w:rPr>
          <w:fldChar w:fldCharType="end"/>
        </w:r>
      </w:p>
    </w:sdtContent>
  </w:sdt>
  <w:p w14:paraId="00EE5918" w14:textId="77777777" w:rsidR="00184EB9" w:rsidRDefault="00184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440715"/>
      <w:docPartObj>
        <w:docPartGallery w:val="Page Numbers (Bottom of Page)"/>
        <w:docPartUnique/>
      </w:docPartObj>
    </w:sdtPr>
    <w:sdtEndPr>
      <w:rPr>
        <w:rFonts w:cs="Arial"/>
        <w:noProof/>
      </w:rPr>
    </w:sdtEndPr>
    <w:sdtContent>
      <w:p w14:paraId="5337E03F" w14:textId="77777777" w:rsidR="00572106" w:rsidRPr="009C4A32" w:rsidRDefault="00572106">
        <w:pPr>
          <w:pStyle w:val="Footer"/>
          <w:jc w:val="center"/>
          <w:rPr>
            <w:rFonts w:cs="Arial"/>
          </w:rPr>
        </w:pPr>
        <w:r w:rsidRPr="009C4A32">
          <w:rPr>
            <w:rFonts w:cs="Arial"/>
          </w:rPr>
          <w:fldChar w:fldCharType="begin"/>
        </w:r>
        <w:r w:rsidRPr="009C4A32">
          <w:rPr>
            <w:rFonts w:cs="Arial"/>
          </w:rPr>
          <w:instrText xml:space="preserve"> PAGE   \* MERGEFORMAT </w:instrText>
        </w:r>
        <w:r w:rsidRPr="009C4A32">
          <w:rPr>
            <w:rFonts w:cs="Arial"/>
          </w:rPr>
          <w:fldChar w:fldCharType="separate"/>
        </w:r>
        <w:r w:rsidRPr="009C4A32">
          <w:rPr>
            <w:rFonts w:cs="Arial"/>
            <w:noProof/>
          </w:rPr>
          <w:t>2</w:t>
        </w:r>
        <w:r w:rsidRPr="009C4A32">
          <w:rPr>
            <w:rFonts w:cs="Arial"/>
            <w:noProof/>
          </w:rPr>
          <w:fldChar w:fldCharType="end"/>
        </w:r>
      </w:p>
    </w:sdtContent>
  </w:sdt>
  <w:p w14:paraId="21A2A3D6" w14:textId="77777777" w:rsidR="00572106" w:rsidRDefault="00572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3FE7" w14:textId="77777777" w:rsidR="00D95449" w:rsidRDefault="00D95449" w:rsidP="000704F5">
      <w:pPr>
        <w:spacing w:after="0" w:line="240" w:lineRule="auto"/>
      </w:pPr>
      <w:r>
        <w:separator/>
      </w:r>
    </w:p>
  </w:footnote>
  <w:footnote w:type="continuationSeparator" w:id="0">
    <w:p w14:paraId="1B7BAE01" w14:textId="77777777" w:rsidR="00D95449" w:rsidRDefault="00D95449" w:rsidP="000704F5">
      <w:pPr>
        <w:spacing w:after="0" w:line="240" w:lineRule="auto"/>
      </w:pPr>
      <w:r>
        <w:continuationSeparator/>
      </w:r>
    </w:p>
  </w:footnote>
  <w:footnote w:type="continuationNotice" w:id="1">
    <w:p w14:paraId="0DE44E2B" w14:textId="77777777" w:rsidR="00D95449" w:rsidRDefault="00D95449">
      <w:pPr>
        <w:spacing w:after="0" w:line="240" w:lineRule="auto"/>
      </w:pPr>
    </w:p>
  </w:footnote>
  <w:footnote w:id="2">
    <w:p w14:paraId="3F833074" w14:textId="77777777" w:rsidR="00BC1514" w:rsidRDefault="00BC1514" w:rsidP="00BC1514">
      <w:pPr>
        <w:pStyle w:val="FootnoteText"/>
      </w:pPr>
      <w:r>
        <w:rPr>
          <w:rStyle w:val="FootnoteReference"/>
        </w:rPr>
        <w:footnoteRef/>
      </w:r>
      <w:r>
        <w:t xml:space="preserve"> See </w:t>
      </w:r>
      <w:hyperlink r:id="rId1" w:history="1">
        <w:r w:rsidRPr="00F67080">
          <w:rPr>
            <w:rStyle w:val="Hyperlink"/>
          </w:rPr>
          <w:t>https://github.com/JGCRI/gcam-doc/tree/gh-pages/cmp</w:t>
        </w:r>
      </w:hyperlink>
      <w:r>
        <w:t xml:space="preserve"> for released technical documentations.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C7697" w14:textId="77777777" w:rsidR="00572106" w:rsidRDefault="005721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283DF4"/>
    <w:multiLevelType w:val="multilevel"/>
    <w:tmpl w:val="32486E3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727B1E2B"/>
    <w:multiLevelType w:val="multilevel"/>
    <w:tmpl w:val="A64C464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7B966B40"/>
    <w:multiLevelType w:val="hybridMultilevel"/>
    <w:tmpl w:val="AB544D6E"/>
    <w:lvl w:ilvl="0" w:tplc="0C64D83A">
      <w:start w:val="1"/>
      <w:numFmt w:val="bullet"/>
      <w:lvlText w:val=""/>
      <w:lvlJc w:val="left"/>
      <w:pPr>
        <w:tabs>
          <w:tab w:val="num" w:pos="720"/>
        </w:tabs>
        <w:ind w:left="720" w:hanging="360"/>
      </w:pPr>
      <w:rPr>
        <w:rFonts w:ascii="Wingdings" w:hAnsi="Wingdings" w:hint="default"/>
      </w:rPr>
    </w:lvl>
    <w:lvl w:ilvl="1" w:tplc="B5B4702E">
      <w:start w:val="1"/>
      <w:numFmt w:val="bullet"/>
      <w:lvlText w:val=""/>
      <w:lvlJc w:val="left"/>
      <w:pPr>
        <w:tabs>
          <w:tab w:val="num" w:pos="1440"/>
        </w:tabs>
        <w:ind w:left="1440" w:hanging="360"/>
      </w:pPr>
      <w:rPr>
        <w:rFonts w:ascii="Wingdings" w:hAnsi="Wingdings" w:hint="default"/>
      </w:rPr>
    </w:lvl>
    <w:lvl w:ilvl="2" w:tplc="16DC6462" w:tentative="1">
      <w:start w:val="1"/>
      <w:numFmt w:val="bullet"/>
      <w:lvlText w:val=""/>
      <w:lvlJc w:val="left"/>
      <w:pPr>
        <w:tabs>
          <w:tab w:val="num" w:pos="2160"/>
        </w:tabs>
        <w:ind w:left="2160" w:hanging="360"/>
      </w:pPr>
      <w:rPr>
        <w:rFonts w:ascii="Wingdings" w:hAnsi="Wingdings" w:hint="default"/>
      </w:rPr>
    </w:lvl>
    <w:lvl w:ilvl="3" w:tplc="6A28D896" w:tentative="1">
      <w:start w:val="1"/>
      <w:numFmt w:val="bullet"/>
      <w:lvlText w:val=""/>
      <w:lvlJc w:val="left"/>
      <w:pPr>
        <w:tabs>
          <w:tab w:val="num" w:pos="2880"/>
        </w:tabs>
        <w:ind w:left="2880" w:hanging="360"/>
      </w:pPr>
      <w:rPr>
        <w:rFonts w:ascii="Wingdings" w:hAnsi="Wingdings" w:hint="default"/>
      </w:rPr>
    </w:lvl>
    <w:lvl w:ilvl="4" w:tplc="7D102E1C" w:tentative="1">
      <w:start w:val="1"/>
      <w:numFmt w:val="bullet"/>
      <w:lvlText w:val=""/>
      <w:lvlJc w:val="left"/>
      <w:pPr>
        <w:tabs>
          <w:tab w:val="num" w:pos="3600"/>
        </w:tabs>
        <w:ind w:left="3600" w:hanging="360"/>
      </w:pPr>
      <w:rPr>
        <w:rFonts w:ascii="Wingdings" w:hAnsi="Wingdings" w:hint="default"/>
      </w:rPr>
    </w:lvl>
    <w:lvl w:ilvl="5" w:tplc="5F82588A" w:tentative="1">
      <w:start w:val="1"/>
      <w:numFmt w:val="bullet"/>
      <w:lvlText w:val=""/>
      <w:lvlJc w:val="left"/>
      <w:pPr>
        <w:tabs>
          <w:tab w:val="num" w:pos="4320"/>
        </w:tabs>
        <w:ind w:left="4320" w:hanging="360"/>
      </w:pPr>
      <w:rPr>
        <w:rFonts w:ascii="Wingdings" w:hAnsi="Wingdings" w:hint="default"/>
      </w:rPr>
    </w:lvl>
    <w:lvl w:ilvl="6" w:tplc="1E643610" w:tentative="1">
      <w:start w:val="1"/>
      <w:numFmt w:val="bullet"/>
      <w:lvlText w:val=""/>
      <w:lvlJc w:val="left"/>
      <w:pPr>
        <w:tabs>
          <w:tab w:val="num" w:pos="5040"/>
        </w:tabs>
        <w:ind w:left="5040" w:hanging="360"/>
      </w:pPr>
      <w:rPr>
        <w:rFonts w:ascii="Wingdings" w:hAnsi="Wingdings" w:hint="default"/>
      </w:rPr>
    </w:lvl>
    <w:lvl w:ilvl="7" w:tplc="8DC0839C" w:tentative="1">
      <w:start w:val="1"/>
      <w:numFmt w:val="bullet"/>
      <w:lvlText w:val=""/>
      <w:lvlJc w:val="left"/>
      <w:pPr>
        <w:tabs>
          <w:tab w:val="num" w:pos="5760"/>
        </w:tabs>
        <w:ind w:left="5760" w:hanging="360"/>
      </w:pPr>
      <w:rPr>
        <w:rFonts w:ascii="Wingdings" w:hAnsi="Wingdings" w:hint="default"/>
      </w:rPr>
    </w:lvl>
    <w:lvl w:ilvl="8" w:tplc="6BF068C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D1D04C0"/>
    <w:multiLevelType w:val="multilevel"/>
    <w:tmpl w:val="E600163C"/>
    <w:lvl w:ilvl="0">
      <w:start w:val="1"/>
      <w:numFmt w:val="decimal"/>
      <w:lvlText w:val="%1"/>
      <w:lvlJc w:val="left"/>
      <w:pPr>
        <w:ind w:left="0" w:firstLine="0"/>
      </w:pPr>
      <w:rPr>
        <w:rFonts w:ascii="Cambria" w:eastAsia="Cambria" w:hAnsi="Cambria" w:cs="Cambria"/>
        <w:b/>
        <w:bCs/>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0" w:firstLine="0"/>
      </w:pPr>
      <w:rPr>
        <w:rFonts w:ascii="Cambria" w:eastAsia="Cambria" w:hAnsi="Cambria" w:cs="Cambria"/>
        <w:b/>
        <w:bCs/>
        <w:i w:val="0"/>
        <w:strike w:val="0"/>
        <w:dstrike w:val="0"/>
        <w:color w:val="000000"/>
        <w:sz w:val="20"/>
        <w:szCs w:val="20"/>
        <w:u w:val="none" w:color="000000"/>
        <w:effect w:val="none"/>
        <w:bdr w:val="none" w:sz="0" w:space="0" w:color="auto" w:frame="1"/>
        <w:vertAlign w:val="baseline"/>
      </w:rPr>
    </w:lvl>
    <w:lvl w:ilvl="2">
      <w:start w:val="1"/>
      <w:numFmt w:val="lowerRoman"/>
      <w:lvlText w:val="%3"/>
      <w:lvlJc w:val="left"/>
      <w:pPr>
        <w:ind w:left="1080" w:firstLine="0"/>
      </w:pPr>
      <w:rPr>
        <w:rFonts w:ascii="Cambria" w:eastAsia="Cambria" w:hAnsi="Cambria" w:cs="Cambria"/>
        <w:b/>
        <w:bCs/>
        <w:i w:val="0"/>
        <w:strike w:val="0"/>
        <w:dstrike w:val="0"/>
        <w:color w:val="000000"/>
        <w:sz w:val="20"/>
        <w:szCs w:val="20"/>
        <w:u w:val="none" w:color="000000"/>
        <w:effect w:val="none"/>
        <w:bdr w:val="none" w:sz="0" w:space="0" w:color="auto" w:frame="1"/>
        <w:vertAlign w:val="baseline"/>
      </w:rPr>
    </w:lvl>
    <w:lvl w:ilvl="3">
      <w:start w:val="1"/>
      <w:numFmt w:val="decimal"/>
      <w:lvlText w:val="%4"/>
      <w:lvlJc w:val="left"/>
      <w:pPr>
        <w:ind w:left="1800" w:firstLine="0"/>
      </w:pPr>
      <w:rPr>
        <w:rFonts w:ascii="Cambria" w:eastAsia="Cambria" w:hAnsi="Cambria" w:cs="Cambria"/>
        <w:b/>
        <w:bCs/>
        <w:i w:val="0"/>
        <w:strike w:val="0"/>
        <w:dstrike w:val="0"/>
        <w:color w:val="000000"/>
        <w:sz w:val="20"/>
        <w:szCs w:val="20"/>
        <w:u w:val="none" w:color="000000"/>
        <w:effect w:val="none"/>
        <w:bdr w:val="none" w:sz="0" w:space="0" w:color="auto" w:frame="1"/>
        <w:vertAlign w:val="baseline"/>
      </w:rPr>
    </w:lvl>
    <w:lvl w:ilvl="4">
      <w:start w:val="1"/>
      <w:numFmt w:val="lowerLetter"/>
      <w:lvlText w:val="%5"/>
      <w:lvlJc w:val="left"/>
      <w:pPr>
        <w:ind w:left="2520" w:firstLine="0"/>
      </w:pPr>
      <w:rPr>
        <w:rFonts w:ascii="Cambria" w:eastAsia="Cambria" w:hAnsi="Cambria" w:cs="Cambria"/>
        <w:b/>
        <w:bCs/>
        <w:i w:val="0"/>
        <w:strike w:val="0"/>
        <w:dstrike w:val="0"/>
        <w:color w:val="000000"/>
        <w:sz w:val="20"/>
        <w:szCs w:val="20"/>
        <w:u w:val="none" w:color="000000"/>
        <w:effect w:val="none"/>
        <w:bdr w:val="none" w:sz="0" w:space="0" w:color="auto" w:frame="1"/>
        <w:vertAlign w:val="baseline"/>
      </w:rPr>
    </w:lvl>
    <w:lvl w:ilvl="5">
      <w:start w:val="1"/>
      <w:numFmt w:val="lowerRoman"/>
      <w:lvlText w:val="%6"/>
      <w:lvlJc w:val="left"/>
      <w:pPr>
        <w:ind w:left="3240" w:firstLine="0"/>
      </w:pPr>
      <w:rPr>
        <w:rFonts w:ascii="Cambria" w:eastAsia="Cambria" w:hAnsi="Cambria" w:cs="Cambria"/>
        <w:b/>
        <w:bCs/>
        <w:i w:val="0"/>
        <w:strike w:val="0"/>
        <w:dstrike w:val="0"/>
        <w:color w:val="000000"/>
        <w:sz w:val="20"/>
        <w:szCs w:val="20"/>
        <w:u w:val="none" w:color="000000"/>
        <w:effect w:val="none"/>
        <w:bdr w:val="none" w:sz="0" w:space="0" w:color="auto" w:frame="1"/>
        <w:vertAlign w:val="baseline"/>
      </w:rPr>
    </w:lvl>
    <w:lvl w:ilvl="6">
      <w:start w:val="1"/>
      <w:numFmt w:val="decimal"/>
      <w:lvlText w:val="%7"/>
      <w:lvlJc w:val="left"/>
      <w:pPr>
        <w:ind w:left="3960" w:firstLine="0"/>
      </w:pPr>
      <w:rPr>
        <w:rFonts w:ascii="Cambria" w:eastAsia="Cambria" w:hAnsi="Cambria" w:cs="Cambria"/>
        <w:b/>
        <w:bCs/>
        <w:i w:val="0"/>
        <w:strike w:val="0"/>
        <w:dstrike w:val="0"/>
        <w:color w:val="000000"/>
        <w:sz w:val="20"/>
        <w:szCs w:val="20"/>
        <w:u w:val="none" w:color="000000"/>
        <w:effect w:val="none"/>
        <w:bdr w:val="none" w:sz="0" w:space="0" w:color="auto" w:frame="1"/>
        <w:vertAlign w:val="baseline"/>
      </w:rPr>
    </w:lvl>
    <w:lvl w:ilvl="7">
      <w:start w:val="1"/>
      <w:numFmt w:val="lowerLetter"/>
      <w:lvlText w:val="%8"/>
      <w:lvlJc w:val="left"/>
      <w:pPr>
        <w:ind w:left="4680" w:firstLine="0"/>
      </w:pPr>
      <w:rPr>
        <w:rFonts w:ascii="Cambria" w:eastAsia="Cambria" w:hAnsi="Cambria" w:cs="Cambria"/>
        <w:b/>
        <w:bCs/>
        <w:i w:val="0"/>
        <w:strike w:val="0"/>
        <w:dstrike w:val="0"/>
        <w:color w:val="000000"/>
        <w:sz w:val="20"/>
        <w:szCs w:val="20"/>
        <w:u w:val="none" w:color="000000"/>
        <w:effect w:val="none"/>
        <w:bdr w:val="none" w:sz="0" w:space="0" w:color="auto" w:frame="1"/>
        <w:vertAlign w:val="baseline"/>
      </w:rPr>
    </w:lvl>
    <w:lvl w:ilvl="8">
      <w:start w:val="1"/>
      <w:numFmt w:val="lowerRoman"/>
      <w:lvlText w:val="%9"/>
      <w:lvlJc w:val="left"/>
      <w:pPr>
        <w:ind w:left="5400" w:firstLine="0"/>
      </w:pPr>
      <w:rPr>
        <w:rFonts w:ascii="Cambria" w:eastAsia="Cambria" w:hAnsi="Cambria" w:cs="Cambria"/>
        <w:b/>
        <w:bCs/>
        <w:i w:val="0"/>
        <w:strike w:val="0"/>
        <w:dstrike w:val="0"/>
        <w:color w:val="000000"/>
        <w:sz w:val="20"/>
        <w:szCs w:val="20"/>
        <w:u w:val="none" w:color="000000"/>
        <w:effect w:val="none"/>
        <w:bdr w:val="none" w:sz="0" w:space="0" w:color="auto" w:frame="1"/>
        <w:vertAlign w:val="baseline"/>
      </w:rPr>
    </w:lvl>
  </w:abstractNum>
  <w:num w:numId="1" w16cid:durableId="632712556">
    <w:abstractNumId w:val="1"/>
  </w:num>
  <w:num w:numId="2" w16cid:durableId="7653451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527046">
    <w:abstractNumId w:val="0"/>
  </w:num>
  <w:num w:numId="4" w16cid:durableId="1386755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c2MDQzMbI0NzKyMDRV0lEKTi0uzszPAykwtqgFAEiJ/KgtAAAA"/>
  </w:docVars>
  <w:rsids>
    <w:rsidRoot w:val="00580211"/>
    <w:rsid w:val="00000CC6"/>
    <w:rsid w:val="00001435"/>
    <w:rsid w:val="00002A18"/>
    <w:rsid w:val="00004BBA"/>
    <w:rsid w:val="00005C06"/>
    <w:rsid w:val="000101E9"/>
    <w:rsid w:val="000146BF"/>
    <w:rsid w:val="00014962"/>
    <w:rsid w:val="00014D43"/>
    <w:rsid w:val="0001539E"/>
    <w:rsid w:val="0001702C"/>
    <w:rsid w:val="000228E2"/>
    <w:rsid w:val="00022FEF"/>
    <w:rsid w:val="000241EB"/>
    <w:rsid w:val="00024728"/>
    <w:rsid w:val="00027B45"/>
    <w:rsid w:val="000303E4"/>
    <w:rsid w:val="000311AD"/>
    <w:rsid w:val="000334DF"/>
    <w:rsid w:val="00034255"/>
    <w:rsid w:val="00034DF9"/>
    <w:rsid w:val="000357D3"/>
    <w:rsid w:val="00035F0C"/>
    <w:rsid w:val="00037104"/>
    <w:rsid w:val="00042686"/>
    <w:rsid w:val="0004372E"/>
    <w:rsid w:val="00045C1E"/>
    <w:rsid w:val="000466B5"/>
    <w:rsid w:val="00046AC8"/>
    <w:rsid w:val="0004714C"/>
    <w:rsid w:val="0005154A"/>
    <w:rsid w:val="00051FD8"/>
    <w:rsid w:val="00052BD2"/>
    <w:rsid w:val="0005712B"/>
    <w:rsid w:val="00061845"/>
    <w:rsid w:val="00064802"/>
    <w:rsid w:val="000666C5"/>
    <w:rsid w:val="00066EBF"/>
    <w:rsid w:val="000704F5"/>
    <w:rsid w:val="0007252C"/>
    <w:rsid w:val="00072806"/>
    <w:rsid w:val="000733C6"/>
    <w:rsid w:val="0007461E"/>
    <w:rsid w:val="0007750E"/>
    <w:rsid w:val="000811C3"/>
    <w:rsid w:val="000850D5"/>
    <w:rsid w:val="00085583"/>
    <w:rsid w:val="000859A1"/>
    <w:rsid w:val="000868CD"/>
    <w:rsid w:val="00086D36"/>
    <w:rsid w:val="00087090"/>
    <w:rsid w:val="00087CFC"/>
    <w:rsid w:val="00087DBE"/>
    <w:rsid w:val="0009020C"/>
    <w:rsid w:val="00091B5C"/>
    <w:rsid w:val="00091E38"/>
    <w:rsid w:val="00092B02"/>
    <w:rsid w:val="00092BA7"/>
    <w:rsid w:val="00094F4C"/>
    <w:rsid w:val="00096A58"/>
    <w:rsid w:val="000A27D3"/>
    <w:rsid w:val="000A37AD"/>
    <w:rsid w:val="000A4741"/>
    <w:rsid w:val="000A514D"/>
    <w:rsid w:val="000A51A9"/>
    <w:rsid w:val="000A62F8"/>
    <w:rsid w:val="000B244B"/>
    <w:rsid w:val="000B4A8C"/>
    <w:rsid w:val="000B5E71"/>
    <w:rsid w:val="000B7477"/>
    <w:rsid w:val="000B7C2E"/>
    <w:rsid w:val="000C05E0"/>
    <w:rsid w:val="000C0BCB"/>
    <w:rsid w:val="000C3934"/>
    <w:rsid w:val="000C416B"/>
    <w:rsid w:val="000C5040"/>
    <w:rsid w:val="000C5C5B"/>
    <w:rsid w:val="000C5F3A"/>
    <w:rsid w:val="000C68A2"/>
    <w:rsid w:val="000C6CE8"/>
    <w:rsid w:val="000C7FFE"/>
    <w:rsid w:val="000D210E"/>
    <w:rsid w:val="000D402E"/>
    <w:rsid w:val="000D40E1"/>
    <w:rsid w:val="000D5F0C"/>
    <w:rsid w:val="000D688D"/>
    <w:rsid w:val="000D7F2B"/>
    <w:rsid w:val="000E19FA"/>
    <w:rsid w:val="000E2072"/>
    <w:rsid w:val="000E2ED1"/>
    <w:rsid w:val="000E385E"/>
    <w:rsid w:val="000E3CCF"/>
    <w:rsid w:val="000E421C"/>
    <w:rsid w:val="000E4271"/>
    <w:rsid w:val="000E481F"/>
    <w:rsid w:val="000E537C"/>
    <w:rsid w:val="000E6933"/>
    <w:rsid w:val="000E6A4D"/>
    <w:rsid w:val="000E7682"/>
    <w:rsid w:val="000F1177"/>
    <w:rsid w:val="000F2236"/>
    <w:rsid w:val="000F2679"/>
    <w:rsid w:val="000F307D"/>
    <w:rsid w:val="000F34A9"/>
    <w:rsid w:val="000F4B34"/>
    <w:rsid w:val="000F6FE8"/>
    <w:rsid w:val="000F77D1"/>
    <w:rsid w:val="00101545"/>
    <w:rsid w:val="00103A5F"/>
    <w:rsid w:val="00104079"/>
    <w:rsid w:val="0010724C"/>
    <w:rsid w:val="00111856"/>
    <w:rsid w:val="00114679"/>
    <w:rsid w:val="00114FD2"/>
    <w:rsid w:val="00115D6D"/>
    <w:rsid w:val="001168CF"/>
    <w:rsid w:val="001207AF"/>
    <w:rsid w:val="0012081B"/>
    <w:rsid w:val="00120D03"/>
    <w:rsid w:val="00121D8B"/>
    <w:rsid w:val="00123B0A"/>
    <w:rsid w:val="00124703"/>
    <w:rsid w:val="00125C79"/>
    <w:rsid w:val="00125D12"/>
    <w:rsid w:val="00126681"/>
    <w:rsid w:val="00130E56"/>
    <w:rsid w:val="0013389C"/>
    <w:rsid w:val="00136D4A"/>
    <w:rsid w:val="001419E0"/>
    <w:rsid w:val="00142604"/>
    <w:rsid w:val="00142FFC"/>
    <w:rsid w:val="0014470B"/>
    <w:rsid w:val="0014525E"/>
    <w:rsid w:val="001463BE"/>
    <w:rsid w:val="001512CA"/>
    <w:rsid w:val="00153680"/>
    <w:rsid w:val="00153822"/>
    <w:rsid w:val="0015405F"/>
    <w:rsid w:val="00154BA0"/>
    <w:rsid w:val="00154C9A"/>
    <w:rsid w:val="0015584F"/>
    <w:rsid w:val="001563BD"/>
    <w:rsid w:val="001565A8"/>
    <w:rsid w:val="00156795"/>
    <w:rsid w:val="00160808"/>
    <w:rsid w:val="00162D83"/>
    <w:rsid w:val="00166BB7"/>
    <w:rsid w:val="001679F3"/>
    <w:rsid w:val="00170764"/>
    <w:rsid w:val="0017129A"/>
    <w:rsid w:val="0017134F"/>
    <w:rsid w:val="00171629"/>
    <w:rsid w:val="00172B65"/>
    <w:rsid w:val="00174E25"/>
    <w:rsid w:val="00177204"/>
    <w:rsid w:val="00177670"/>
    <w:rsid w:val="001808C7"/>
    <w:rsid w:val="001821D6"/>
    <w:rsid w:val="001825FB"/>
    <w:rsid w:val="00182CA1"/>
    <w:rsid w:val="00183196"/>
    <w:rsid w:val="001845B7"/>
    <w:rsid w:val="00184EB9"/>
    <w:rsid w:val="00185D69"/>
    <w:rsid w:val="00190FD3"/>
    <w:rsid w:val="001912C0"/>
    <w:rsid w:val="00192E8A"/>
    <w:rsid w:val="00193A08"/>
    <w:rsid w:val="001A2AEE"/>
    <w:rsid w:val="001A33E8"/>
    <w:rsid w:val="001A4112"/>
    <w:rsid w:val="001A7F2C"/>
    <w:rsid w:val="001B057F"/>
    <w:rsid w:val="001B1216"/>
    <w:rsid w:val="001B2087"/>
    <w:rsid w:val="001B29F2"/>
    <w:rsid w:val="001B308C"/>
    <w:rsid w:val="001B4F0B"/>
    <w:rsid w:val="001B6063"/>
    <w:rsid w:val="001B6224"/>
    <w:rsid w:val="001B6280"/>
    <w:rsid w:val="001B636B"/>
    <w:rsid w:val="001B6544"/>
    <w:rsid w:val="001B67A0"/>
    <w:rsid w:val="001B6E37"/>
    <w:rsid w:val="001B720D"/>
    <w:rsid w:val="001C7973"/>
    <w:rsid w:val="001C7D0C"/>
    <w:rsid w:val="001D0D0F"/>
    <w:rsid w:val="001D1340"/>
    <w:rsid w:val="001D20C3"/>
    <w:rsid w:val="001D2CFB"/>
    <w:rsid w:val="001D38E8"/>
    <w:rsid w:val="001D5242"/>
    <w:rsid w:val="001D5460"/>
    <w:rsid w:val="001D5F41"/>
    <w:rsid w:val="001D5F87"/>
    <w:rsid w:val="001D6296"/>
    <w:rsid w:val="001E3563"/>
    <w:rsid w:val="001E36B9"/>
    <w:rsid w:val="001E4CA2"/>
    <w:rsid w:val="001E6E4E"/>
    <w:rsid w:val="001F3622"/>
    <w:rsid w:val="001F3766"/>
    <w:rsid w:val="001F610E"/>
    <w:rsid w:val="002002BE"/>
    <w:rsid w:val="0020080E"/>
    <w:rsid w:val="00200E2B"/>
    <w:rsid w:val="00201B98"/>
    <w:rsid w:val="002024DC"/>
    <w:rsid w:val="00202AA9"/>
    <w:rsid w:val="00202B2B"/>
    <w:rsid w:val="00203492"/>
    <w:rsid w:val="00204A21"/>
    <w:rsid w:val="0020537F"/>
    <w:rsid w:val="002073FB"/>
    <w:rsid w:val="00210151"/>
    <w:rsid w:val="0021081C"/>
    <w:rsid w:val="00210AEA"/>
    <w:rsid w:val="00210E28"/>
    <w:rsid w:val="002122E5"/>
    <w:rsid w:val="002128CF"/>
    <w:rsid w:val="00212A06"/>
    <w:rsid w:val="00216EA2"/>
    <w:rsid w:val="00217E24"/>
    <w:rsid w:val="00221632"/>
    <w:rsid w:val="00223982"/>
    <w:rsid w:val="00223A13"/>
    <w:rsid w:val="00223FA9"/>
    <w:rsid w:val="002244F4"/>
    <w:rsid w:val="00224642"/>
    <w:rsid w:val="00224E08"/>
    <w:rsid w:val="00226B13"/>
    <w:rsid w:val="00230640"/>
    <w:rsid w:val="00231A67"/>
    <w:rsid w:val="00231ED6"/>
    <w:rsid w:val="002332D5"/>
    <w:rsid w:val="00233777"/>
    <w:rsid w:val="00235961"/>
    <w:rsid w:val="00236502"/>
    <w:rsid w:val="00241ACA"/>
    <w:rsid w:val="002441E5"/>
    <w:rsid w:val="002442A9"/>
    <w:rsid w:val="00244E5D"/>
    <w:rsid w:val="0024552C"/>
    <w:rsid w:val="00247101"/>
    <w:rsid w:val="00251234"/>
    <w:rsid w:val="002535B8"/>
    <w:rsid w:val="0025380C"/>
    <w:rsid w:val="00253C99"/>
    <w:rsid w:val="00255AA5"/>
    <w:rsid w:val="00255D60"/>
    <w:rsid w:val="002565B5"/>
    <w:rsid w:val="00256E60"/>
    <w:rsid w:val="002573E2"/>
    <w:rsid w:val="00263361"/>
    <w:rsid w:val="002637E0"/>
    <w:rsid w:val="00264D33"/>
    <w:rsid w:val="00264F10"/>
    <w:rsid w:val="002650C7"/>
    <w:rsid w:val="0026619B"/>
    <w:rsid w:val="00266C38"/>
    <w:rsid w:val="00266E35"/>
    <w:rsid w:val="002734E7"/>
    <w:rsid w:val="00273BFB"/>
    <w:rsid w:val="0027607D"/>
    <w:rsid w:val="002802A1"/>
    <w:rsid w:val="00281835"/>
    <w:rsid w:val="0028476C"/>
    <w:rsid w:val="00285ED4"/>
    <w:rsid w:val="00286D1F"/>
    <w:rsid w:val="002929F4"/>
    <w:rsid w:val="00292B38"/>
    <w:rsid w:val="00293EF5"/>
    <w:rsid w:val="00294355"/>
    <w:rsid w:val="0029573B"/>
    <w:rsid w:val="00295ED8"/>
    <w:rsid w:val="002A1832"/>
    <w:rsid w:val="002A3CB3"/>
    <w:rsid w:val="002A3E04"/>
    <w:rsid w:val="002A40F0"/>
    <w:rsid w:val="002A4B1C"/>
    <w:rsid w:val="002B0E8A"/>
    <w:rsid w:val="002B1A29"/>
    <w:rsid w:val="002B1FB3"/>
    <w:rsid w:val="002B5865"/>
    <w:rsid w:val="002C067B"/>
    <w:rsid w:val="002C11CC"/>
    <w:rsid w:val="002C6488"/>
    <w:rsid w:val="002C70C7"/>
    <w:rsid w:val="002D1B70"/>
    <w:rsid w:val="002D2185"/>
    <w:rsid w:val="002D22A0"/>
    <w:rsid w:val="002D27C0"/>
    <w:rsid w:val="002D5B42"/>
    <w:rsid w:val="002D72D7"/>
    <w:rsid w:val="002D7780"/>
    <w:rsid w:val="002E2A29"/>
    <w:rsid w:val="002E3041"/>
    <w:rsid w:val="002E3195"/>
    <w:rsid w:val="002E34DA"/>
    <w:rsid w:val="002E3F1C"/>
    <w:rsid w:val="002E5293"/>
    <w:rsid w:val="002E5D41"/>
    <w:rsid w:val="002F0690"/>
    <w:rsid w:val="002F0D41"/>
    <w:rsid w:val="002F179F"/>
    <w:rsid w:val="002F2461"/>
    <w:rsid w:val="002F3E35"/>
    <w:rsid w:val="002F4A17"/>
    <w:rsid w:val="002F646A"/>
    <w:rsid w:val="002F70EA"/>
    <w:rsid w:val="002F7339"/>
    <w:rsid w:val="00301212"/>
    <w:rsid w:val="0030179D"/>
    <w:rsid w:val="00301AF4"/>
    <w:rsid w:val="003022AD"/>
    <w:rsid w:val="003039AE"/>
    <w:rsid w:val="003045A0"/>
    <w:rsid w:val="00304E10"/>
    <w:rsid w:val="00305197"/>
    <w:rsid w:val="0030529D"/>
    <w:rsid w:val="00306414"/>
    <w:rsid w:val="00306513"/>
    <w:rsid w:val="00307BD5"/>
    <w:rsid w:val="00307E13"/>
    <w:rsid w:val="003108B9"/>
    <w:rsid w:val="003114F4"/>
    <w:rsid w:val="00313A1F"/>
    <w:rsid w:val="00314C9B"/>
    <w:rsid w:val="00315512"/>
    <w:rsid w:val="00316FEE"/>
    <w:rsid w:val="00317FF5"/>
    <w:rsid w:val="003208CA"/>
    <w:rsid w:val="00322519"/>
    <w:rsid w:val="00322DE7"/>
    <w:rsid w:val="00323277"/>
    <w:rsid w:val="00323E15"/>
    <w:rsid w:val="00324160"/>
    <w:rsid w:val="00324337"/>
    <w:rsid w:val="00325544"/>
    <w:rsid w:val="00325D48"/>
    <w:rsid w:val="003275B2"/>
    <w:rsid w:val="00334B40"/>
    <w:rsid w:val="00334D11"/>
    <w:rsid w:val="00335149"/>
    <w:rsid w:val="00335389"/>
    <w:rsid w:val="00335460"/>
    <w:rsid w:val="00340611"/>
    <w:rsid w:val="00340E54"/>
    <w:rsid w:val="0034160C"/>
    <w:rsid w:val="0034183C"/>
    <w:rsid w:val="00345171"/>
    <w:rsid w:val="00345473"/>
    <w:rsid w:val="00346FA5"/>
    <w:rsid w:val="00347F08"/>
    <w:rsid w:val="00350FC1"/>
    <w:rsid w:val="003518C9"/>
    <w:rsid w:val="00352DE3"/>
    <w:rsid w:val="00352FD0"/>
    <w:rsid w:val="00353879"/>
    <w:rsid w:val="00356A52"/>
    <w:rsid w:val="00356FC1"/>
    <w:rsid w:val="003572AB"/>
    <w:rsid w:val="00361030"/>
    <w:rsid w:val="00362CE4"/>
    <w:rsid w:val="003654B9"/>
    <w:rsid w:val="00365E54"/>
    <w:rsid w:val="00366DF1"/>
    <w:rsid w:val="00373645"/>
    <w:rsid w:val="00373F1D"/>
    <w:rsid w:val="003755AC"/>
    <w:rsid w:val="00375D5D"/>
    <w:rsid w:val="0037742C"/>
    <w:rsid w:val="003824DA"/>
    <w:rsid w:val="003838FB"/>
    <w:rsid w:val="003869CB"/>
    <w:rsid w:val="00386FBD"/>
    <w:rsid w:val="00387AF0"/>
    <w:rsid w:val="003901B8"/>
    <w:rsid w:val="00391891"/>
    <w:rsid w:val="00392BAE"/>
    <w:rsid w:val="0039367B"/>
    <w:rsid w:val="00393A14"/>
    <w:rsid w:val="00393E8E"/>
    <w:rsid w:val="00394801"/>
    <w:rsid w:val="00396A7A"/>
    <w:rsid w:val="00397104"/>
    <w:rsid w:val="00397F2F"/>
    <w:rsid w:val="003A0B31"/>
    <w:rsid w:val="003A1213"/>
    <w:rsid w:val="003A22C3"/>
    <w:rsid w:val="003A534C"/>
    <w:rsid w:val="003A71C0"/>
    <w:rsid w:val="003B0750"/>
    <w:rsid w:val="003B297B"/>
    <w:rsid w:val="003B3A14"/>
    <w:rsid w:val="003B5A0D"/>
    <w:rsid w:val="003B5E58"/>
    <w:rsid w:val="003C143F"/>
    <w:rsid w:val="003C182E"/>
    <w:rsid w:val="003C562E"/>
    <w:rsid w:val="003C6111"/>
    <w:rsid w:val="003C7752"/>
    <w:rsid w:val="003C7A6E"/>
    <w:rsid w:val="003D145A"/>
    <w:rsid w:val="003D2C5E"/>
    <w:rsid w:val="003D5A66"/>
    <w:rsid w:val="003D6504"/>
    <w:rsid w:val="003D66F2"/>
    <w:rsid w:val="003D6A29"/>
    <w:rsid w:val="003D7721"/>
    <w:rsid w:val="003E0ED6"/>
    <w:rsid w:val="003E2A3F"/>
    <w:rsid w:val="003E354C"/>
    <w:rsid w:val="003E41B6"/>
    <w:rsid w:val="003E4D83"/>
    <w:rsid w:val="003E4FA8"/>
    <w:rsid w:val="003E59AB"/>
    <w:rsid w:val="003E5ECD"/>
    <w:rsid w:val="003E60EE"/>
    <w:rsid w:val="003E611F"/>
    <w:rsid w:val="003E6EFE"/>
    <w:rsid w:val="003E7BBD"/>
    <w:rsid w:val="003F23F0"/>
    <w:rsid w:val="003F241C"/>
    <w:rsid w:val="003F3CA3"/>
    <w:rsid w:val="003F42C0"/>
    <w:rsid w:val="003F6B78"/>
    <w:rsid w:val="00401791"/>
    <w:rsid w:val="00401B26"/>
    <w:rsid w:val="00403E67"/>
    <w:rsid w:val="0040424F"/>
    <w:rsid w:val="004050A5"/>
    <w:rsid w:val="004101F1"/>
    <w:rsid w:val="0041050A"/>
    <w:rsid w:val="00410ADA"/>
    <w:rsid w:val="00410DC9"/>
    <w:rsid w:val="0041143E"/>
    <w:rsid w:val="004124FF"/>
    <w:rsid w:val="00412613"/>
    <w:rsid w:val="0041262A"/>
    <w:rsid w:val="00412662"/>
    <w:rsid w:val="00413281"/>
    <w:rsid w:val="004138F1"/>
    <w:rsid w:val="00414916"/>
    <w:rsid w:val="00420B04"/>
    <w:rsid w:val="00421D83"/>
    <w:rsid w:val="004250C5"/>
    <w:rsid w:val="0042636E"/>
    <w:rsid w:val="00427DC2"/>
    <w:rsid w:val="00431653"/>
    <w:rsid w:val="004325AD"/>
    <w:rsid w:val="00432651"/>
    <w:rsid w:val="00433A25"/>
    <w:rsid w:val="00433A36"/>
    <w:rsid w:val="004432A6"/>
    <w:rsid w:val="0044543A"/>
    <w:rsid w:val="0044649D"/>
    <w:rsid w:val="00450154"/>
    <w:rsid w:val="00452395"/>
    <w:rsid w:val="004544EB"/>
    <w:rsid w:val="004548DA"/>
    <w:rsid w:val="0045500F"/>
    <w:rsid w:val="00456591"/>
    <w:rsid w:val="004579A2"/>
    <w:rsid w:val="00457E86"/>
    <w:rsid w:val="00460CA0"/>
    <w:rsid w:val="004611B2"/>
    <w:rsid w:val="00461ED7"/>
    <w:rsid w:val="00462186"/>
    <w:rsid w:val="00462AB6"/>
    <w:rsid w:val="00463FB9"/>
    <w:rsid w:val="00465E55"/>
    <w:rsid w:val="00466E7F"/>
    <w:rsid w:val="004679E5"/>
    <w:rsid w:val="00467B78"/>
    <w:rsid w:val="0047002A"/>
    <w:rsid w:val="00470440"/>
    <w:rsid w:val="004708D7"/>
    <w:rsid w:val="00472A90"/>
    <w:rsid w:val="00476503"/>
    <w:rsid w:val="00476685"/>
    <w:rsid w:val="00481ED5"/>
    <w:rsid w:val="00485842"/>
    <w:rsid w:val="004905D1"/>
    <w:rsid w:val="00490F64"/>
    <w:rsid w:val="00491E95"/>
    <w:rsid w:val="00492FAA"/>
    <w:rsid w:val="00493621"/>
    <w:rsid w:val="00494165"/>
    <w:rsid w:val="0049521D"/>
    <w:rsid w:val="004A1CC1"/>
    <w:rsid w:val="004A3E67"/>
    <w:rsid w:val="004A666C"/>
    <w:rsid w:val="004A79E8"/>
    <w:rsid w:val="004B057E"/>
    <w:rsid w:val="004B07AE"/>
    <w:rsid w:val="004B2A76"/>
    <w:rsid w:val="004B318F"/>
    <w:rsid w:val="004B4FF2"/>
    <w:rsid w:val="004B55F7"/>
    <w:rsid w:val="004B5C14"/>
    <w:rsid w:val="004B6333"/>
    <w:rsid w:val="004B65E8"/>
    <w:rsid w:val="004B7FE2"/>
    <w:rsid w:val="004C1588"/>
    <w:rsid w:val="004C3107"/>
    <w:rsid w:val="004C3917"/>
    <w:rsid w:val="004C5ACA"/>
    <w:rsid w:val="004C5B30"/>
    <w:rsid w:val="004C5D69"/>
    <w:rsid w:val="004C5DAF"/>
    <w:rsid w:val="004C6C22"/>
    <w:rsid w:val="004D41C5"/>
    <w:rsid w:val="004D46EE"/>
    <w:rsid w:val="004D5946"/>
    <w:rsid w:val="004D70CC"/>
    <w:rsid w:val="004D7B36"/>
    <w:rsid w:val="004E0D50"/>
    <w:rsid w:val="004E0E70"/>
    <w:rsid w:val="004E2C5E"/>
    <w:rsid w:val="004E3723"/>
    <w:rsid w:val="004E40E1"/>
    <w:rsid w:val="004E463B"/>
    <w:rsid w:val="004E4FB7"/>
    <w:rsid w:val="004E582A"/>
    <w:rsid w:val="004E5A22"/>
    <w:rsid w:val="004E6EB0"/>
    <w:rsid w:val="004F036B"/>
    <w:rsid w:val="004F26B2"/>
    <w:rsid w:val="004F618C"/>
    <w:rsid w:val="004F6639"/>
    <w:rsid w:val="00501389"/>
    <w:rsid w:val="0050442D"/>
    <w:rsid w:val="00504C3C"/>
    <w:rsid w:val="00504C5A"/>
    <w:rsid w:val="0050572C"/>
    <w:rsid w:val="00506D23"/>
    <w:rsid w:val="00511331"/>
    <w:rsid w:val="005113A8"/>
    <w:rsid w:val="0051338E"/>
    <w:rsid w:val="00517588"/>
    <w:rsid w:val="00517C70"/>
    <w:rsid w:val="00521170"/>
    <w:rsid w:val="005240AC"/>
    <w:rsid w:val="005241C9"/>
    <w:rsid w:val="00527E9B"/>
    <w:rsid w:val="00531E51"/>
    <w:rsid w:val="00532E70"/>
    <w:rsid w:val="0053544E"/>
    <w:rsid w:val="0053610B"/>
    <w:rsid w:val="00536E66"/>
    <w:rsid w:val="0053758A"/>
    <w:rsid w:val="00540B23"/>
    <w:rsid w:val="005427CB"/>
    <w:rsid w:val="00545088"/>
    <w:rsid w:val="005456DB"/>
    <w:rsid w:val="005459C2"/>
    <w:rsid w:val="0054684B"/>
    <w:rsid w:val="005477EA"/>
    <w:rsid w:val="005508E3"/>
    <w:rsid w:val="00551474"/>
    <w:rsid w:val="00552346"/>
    <w:rsid w:val="00556B0D"/>
    <w:rsid w:val="00560EE0"/>
    <w:rsid w:val="0056165E"/>
    <w:rsid w:val="005622B2"/>
    <w:rsid w:val="00563CFC"/>
    <w:rsid w:val="00563D20"/>
    <w:rsid w:val="0056653C"/>
    <w:rsid w:val="00566F90"/>
    <w:rsid w:val="00567D0F"/>
    <w:rsid w:val="00571DEF"/>
    <w:rsid w:val="00572106"/>
    <w:rsid w:val="005750D2"/>
    <w:rsid w:val="00575947"/>
    <w:rsid w:val="005759CB"/>
    <w:rsid w:val="00575A45"/>
    <w:rsid w:val="00580211"/>
    <w:rsid w:val="00581156"/>
    <w:rsid w:val="00581D89"/>
    <w:rsid w:val="005823D5"/>
    <w:rsid w:val="00582B0E"/>
    <w:rsid w:val="00584680"/>
    <w:rsid w:val="0058584A"/>
    <w:rsid w:val="00586D06"/>
    <w:rsid w:val="00586D8D"/>
    <w:rsid w:val="005903F0"/>
    <w:rsid w:val="00593E61"/>
    <w:rsid w:val="005948B5"/>
    <w:rsid w:val="00595EA5"/>
    <w:rsid w:val="00596436"/>
    <w:rsid w:val="005A0598"/>
    <w:rsid w:val="005A15E4"/>
    <w:rsid w:val="005A231A"/>
    <w:rsid w:val="005A36CF"/>
    <w:rsid w:val="005A39E3"/>
    <w:rsid w:val="005A3FE2"/>
    <w:rsid w:val="005A4D49"/>
    <w:rsid w:val="005A7B4B"/>
    <w:rsid w:val="005B08D0"/>
    <w:rsid w:val="005B1301"/>
    <w:rsid w:val="005B175F"/>
    <w:rsid w:val="005B1E64"/>
    <w:rsid w:val="005B28FE"/>
    <w:rsid w:val="005B69F0"/>
    <w:rsid w:val="005B7FCC"/>
    <w:rsid w:val="005C0104"/>
    <w:rsid w:val="005C1161"/>
    <w:rsid w:val="005C2DE6"/>
    <w:rsid w:val="005C5007"/>
    <w:rsid w:val="005C6128"/>
    <w:rsid w:val="005C6E2F"/>
    <w:rsid w:val="005C7AE1"/>
    <w:rsid w:val="005D0AA5"/>
    <w:rsid w:val="005D150B"/>
    <w:rsid w:val="005D1FF2"/>
    <w:rsid w:val="005D2742"/>
    <w:rsid w:val="005D3215"/>
    <w:rsid w:val="005D395B"/>
    <w:rsid w:val="005D54B1"/>
    <w:rsid w:val="005E053A"/>
    <w:rsid w:val="005E084B"/>
    <w:rsid w:val="005E5C09"/>
    <w:rsid w:val="005E5CAE"/>
    <w:rsid w:val="005F3AC2"/>
    <w:rsid w:val="005F7848"/>
    <w:rsid w:val="00602380"/>
    <w:rsid w:val="00603BDF"/>
    <w:rsid w:val="00603C6F"/>
    <w:rsid w:val="00611DC0"/>
    <w:rsid w:val="00611E5D"/>
    <w:rsid w:val="00621C6C"/>
    <w:rsid w:val="00624D4D"/>
    <w:rsid w:val="00625B17"/>
    <w:rsid w:val="00626221"/>
    <w:rsid w:val="0062632E"/>
    <w:rsid w:val="00630A0E"/>
    <w:rsid w:val="00630B41"/>
    <w:rsid w:val="00631764"/>
    <w:rsid w:val="006329EB"/>
    <w:rsid w:val="006334AD"/>
    <w:rsid w:val="0063457A"/>
    <w:rsid w:val="00636176"/>
    <w:rsid w:val="0063785A"/>
    <w:rsid w:val="006379BA"/>
    <w:rsid w:val="00637A91"/>
    <w:rsid w:val="0064046F"/>
    <w:rsid w:val="006413F4"/>
    <w:rsid w:val="00641F3E"/>
    <w:rsid w:val="00642CE7"/>
    <w:rsid w:val="0064542B"/>
    <w:rsid w:val="006457E6"/>
    <w:rsid w:val="006470CA"/>
    <w:rsid w:val="00650AF6"/>
    <w:rsid w:val="006517CC"/>
    <w:rsid w:val="00653343"/>
    <w:rsid w:val="00653DB7"/>
    <w:rsid w:val="0065516B"/>
    <w:rsid w:val="00655484"/>
    <w:rsid w:val="00656EBA"/>
    <w:rsid w:val="006609DA"/>
    <w:rsid w:val="0066221B"/>
    <w:rsid w:val="006630B0"/>
    <w:rsid w:val="0066398E"/>
    <w:rsid w:val="00666C43"/>
    <w:rsid w:val="006670F2"/>
    <w:rsid w:val="006703D3"/>
    <w:rsid w:val="00671DF0"/>
    <w:rsid w:val="006720BA"/>
    <w:rsid w:val="00675AB0"/>
    <w:rsid w:val="00676468"/>
    <w:rsid w:val="00676ECF"/>
    <w:rsid w:val="00677DB6"/>
    <w:rsid w:val="00684DB4"/>
    <w:rsid w:val="006873AB"/>
    <w:rsid w:val="006875C4"/>
    <w:rsid w:val="006922A6"/>
    <w:rsid w:val="006934F9"/>
    <w:rsid w:val="00693553"/>
    <w:rsid w:val="006958E8"/>
    <w:rsid w:val="006975FE"/>
    <w:rsid w:val="0069792C"/>
    <w:rsid w:val="006A030A"/>
    <w:rsid w:val="006A0DA6"/>
    <w:rsid w:val="006A10D6"/>
    <w:rsid w:val="006A49E4"/>
    <w:rsid w:val="006A6FB0"/>
    <w:rsid w:val="006B15D2"/>
    <w:rsid w:val="006B2668"/>
    <w:rsid w:val="006B5CA6"/>
    <w:rsid w:val="006C4901"/>
    <w:rsid w:val="006C6191"/>
    <w:rsid w:val="006C687A"/>
    <w:rsid w:val="006C6FCC"/>
    <w:rsid w:val="006D0FC7"/>
    <w:rsid w:val="006D1271"/>
    <w:rsid w:val="006D12C0"/>
    <w:rsid w:val="006D1519"/>
    <w:rsid w:val="006D18D2"/>
    <w:rsid w:val="006D4618"/>
    <w:rsid w:val="006D46F5"/>
    <w:rsid w:val="006D6E68"/>
    <w:rsid w:val="006D6FDD"/>
    <w:rsid w:val="006E121E"/>
    <w:rsid w:val="006E35B2"/>
    <w:rsid w:val="006E4C79"/>
    <w:rsid w:val="006E6BCC"/>
    <w:rsid w:val="006E7843"/>
    <w:rsid w:val="006F0487"/>
    <w:rsid w:val="006F14B6"/>
    <w:rsid w:val="006F1519"/>
    <w:rsid w:val="006F35A7"/>
    <w:rsid w:val="006F3978"/>
    <w:rsid w:val="006F3D42"/>
    <w:rsid w:val="006F69E4"/>
    <w:rsid w:val="006F72A3"/>
    <w:rsid w:val="006F7D9E"/>
    <w:rsid w:val="00700212"/>
    <w:rsid w:val="00702792"/>
    <w:rsid w:val="00703B7A"/>
    <w:rsid w:val="0070496E"/>
    <w:rsid w:val="00706215"/>
    <w:rsid w:val="007074BA"/>
    <w:rsid w:val="0071195F"/>
    <w:rsid w:val="00712FDD"/>
    <w:rsid w:val="00714617"/>
    <w:rsid w:val="00715B40"/>
    <w:rsid w:val="0072001A"/>
    <w:rsid w:val="00720AB8"/>
    <w:rsid w:val="00720FD0"/>
    <w:rsid w:val="00723482"/>
    <w:rsid w:val="00723AC0"/>
    <w:rsid w:val="007252D4"/>
    <w:rsid w:val="007256CE"/>
    <w:rsid w:val="00725FAE"/>
    <w:rsid w:val="00730706"/>
    <w:rsid w:val="007314D4"/>
    <w:rsid w:val="00732455"/>
    <w:rsid w:val="007344E4"/>
    <w:rsid w:val="00735A57"/>
    <w:rsid w:val="007373EC"/>
    <w:rsid w:val="00737ED8"/>
    <w:rsid w:val="0074138F"/>
    <w:rsid w:val="00741C5D"/>
    <w:rsid w:val="00742C8A"/>
    <w:rsid w:val="00742E5C"/>
    <w:rsid w:val="00743183"/>
    <w:rsid w:val="0074353C"/>
    <w:rsid w:val="00745E24"/>
    <w:rsid w:val="00746E27"/>
    <w:rsid w:val="0074774F"/>
    <w:rsid w:val="00747FF5"/>
    <w:rsid w:val="00750134"/>
    <w:rsid w:val="0075064C"/>
    <w:rsid w:val="00750F1B"/>
    <w:rsid w:val="00751336"/>
    <w:rsid w:val="0075283B"/>
    <w:rsid w:val="00754A1F"/>
    <w:rsid w:val="00754F47"/>
    <w:rsid w:val="0075540B"/>
    <w:rsid w:val="00755CF4"/>
    <w:rsid w:val="0075610B"/>
    <w:rsid w:val="007564E2"/>
    <w:rsid w:val="007579BD"/>
    <w:rsid w:val="00761FAA"/>
    <w:rsid w:val="0076235A"/>
    <w:rsid w:val="00764086"/>
    <w:rsid w:val="00764860"/>
    <w:rsid w:val="00764AE7"/>
    <w:rsid w:val="00764DE0"/>
    <w:rsid w:val="007665CB"/>
    <w:rsid w:val="00767664"/>
    <w:rsid w:val="00770A94"/>
    <w:rsid w:val="00770CA7"/>
    <w:rsid w:val="00770F11"/>
    <w:rsid w:val="00771C01"/>
    <w:rsid w:val="007765A2"/>
    <w:rsid w:val="00781CBD"/>
    <w:rsid w:val="007852F5"/>
    <w:rsid w:val="00786530"/>
    <w:rsid w:val="0078658F"/>
    <w:rsid w:val="00786B21"/>
    <w:rsid w:val="007916B3"/>
    <w:rsid w:val="0079202F"/>
    <w:rsid w:val="0079293B"/>
    <w:rsid w:val="00794417"/>
    <w:rsid w:val="00794F95"/>
    <w:rsid w:val="007962DB"/>
    <w:rsid w:val="007A0932"/>
    <w:rsid w:val="007A154F"/>
    <w:rsid w:val="007A3414"/>
    <w:rsid w:val="007A3BC9"/>
    <w:rsid w:val="007A4805"/>
    <w:rsid w:val="007A4B0E"/>
    <w:rsid w:val="007A660C"/>
    <w:rsid w:val="007A6699"/>
    <w:rsid w:val="007A6984"/>
    <w:rsid w:val="007B0E5E"/>
    <w:rsid w:val="007B3079"/>
    <w:rsid w:val="007B3607"/>
    <w:rsid w:val="007B3887"/>
    <w:rsid w:val="007C158D"/>
    <w:rsid w:val="007C1B7C"/>
    <w:rsid w:val="007C2BEB"/>
    <w:rsid w:val="007C2CA1"/>
    <w:rsid w:val="007C316E"/>
    <w:rsid w:val="007C3BAB"/>
    <w:rsid w:val="007C5734"/>
    <w:rsid w:val="007C664E"/>
    <w:rsid w:val="007C6D29"/>
    <w:rsid w:val="007D0105"/>
    <w:rsid w:val="007D2707"/>
    <w:rsid w:val="007D4E69"/>
    <w:rsid w:val="007D5C56"/>
    <w:rsid w:val="007D7336"/>
    <w:rsid w:val="007E028F"/>
    <w:rsid w:val="007E1229"/>
    <w:rsid w:val="007E1F12"/>
    <w:rsid w:val="007E6522"/>
    <w:rsid w:val="007E6AB2"/>
    <w:rsid w:val="007E7862"/>
    <w:rsid w:val="007F1B2B"/>
    <w:rsid w:val="007F1FB0"/>
    <w:rsid w:val="007F3FB3"/>
    <w:rsid w:val="007F51DA"/>
    <w:rsid w:val="007F5651"/>
    <w:rsid w:val="007F6451"/>
    <w:rsid w:val="007F6BCC"/>
    <w:rsid w:val="007F7389"/>
    <w:rsid w:val="008018B8"/>
    <w:rsid w:val="00801B44"/>
    <w:rsid w:val="008041D4"/>
    <w:rsid w:val="008050A5"/>
    <w:rsid w:val="008057D9"/>
    <w:rsid w:val="008066ED"/>
    <w:rsid w:val="00811C3C"/>
    <w:rsid w:val="00813F65"/>
    <w:rsid w:val="00814044"/>
    <w:rsid w:val="00814AF4"/>
    <w:rsid w:val="00814D3C"/>
    <w:rsid w:val="00815815"/>
    <w:rsid w:val="00823342"/>
    <w:rsid w:val="008235CD"/>
    <w:rsid w:val="008249C3"/>
    <w:rsid w:val="00825231"/>
    <w:rsid w:val="00825BF2"/>
    <w:rsid w:val="00827861"/>
    <w:rsid w:val="00832EB4"/>
    <w:rsid w:val="00833634"/>
    <w:rsid w:val="00834192"/>
    <w:rsid w:val="00834C28"/>
    <w:rsid w:val="008372AA"/>
    <w:rsid w:val="008446FD"/>
    <w:rsid w:val="00845856"/>
    <w:rsid w:val="008459DC"/>
    <w:rsid w:val="008463C7"/>
    <w:rsid w:val="00847B8F"/>
    <w:rsid w:val="00850FD5"/>
    <w:rsid w:val="00852050"/>
    <w:rsid w:val="00852481"/>
    <w:rsid w:val="008524A2"/>
    <w:rsid w:val="008524D1"/>
    <w:rsid w:val="00852B5E"/>
    <w:rsid w:val="00852C45"/>
    <w:rsid w:val="008530F8"/>
    <w:rsid w:val="00854A64"/>
    <w:rsid w:val="00857F62"/>
    <w:rsid w:val="00860F82"/>
    <w:rsid w:val="008612A1"/>
    <w:rsid w:val="00862E16"/>
    <w:rsid w:val="008633F6"/>
    <w:rsid w:val="008649AE"/>
    <w:rsid w:val="00864D25"/>
    <w:rsid w:val="00865ABF"/>
    <w:rsid w:val="008663DE"/>
    <w:rsid w:val="00871487"/>
    <w:rsid w:val="008719F2"/>
    <w:rsid w:val="00871EDE"/>
    <w:rsid w:val="00872EDD"/>
    <w:rsid w:val="00873590"/>
    <w:rsid w:val="008743B7"/>
    <w:rsid w:val="00874C88"/>
    <w:rsid w:val="0087592A"/>
    <w:rsid w:val="00876B3A"/>
    <w:rsid w:val="0088024E"/>
    <w:rsid w:val="008804EA"/>
    <w:rsid w:val="008823BF"/>
    <w:rsid w:val="008824B7"/>
    <w:rsid w:val="0088395C"/>
    <w:rsid w:val="00883A09"/>
    <w:rsid w:val="00884553"/>
    <w:rsid w:val="00886486"/>
    <w:rsid w:val="00886FEB"/>
    <w:rsid w:val="00890BFE"/>
    <w:rsid w:val="00890F9F"/>
    <w:rsid w:val="00891835"/>
    <w:rsid w:val="0089371F"/>
    <w:rsid w:val="0089379A"/>
    <w:rsid w:val="008958F2"/>
    <w:rsid w:val="00895B48"/>
    <w:rsid w:val="00895C44"/>
    <w:rsid w:val="00895C7C"/>
    <w:rsid w:val="00896A24"/>
    <w:rsid w:val="00897BF9"/>
    <w:rsid w:val="008A021A"/>
    <w:rsid w:val="008A02C2"/>
    <w:rsid w:val="008A1B3D"/>
    <w:rsid w:val="008A21C4"/>
    <w:rsid w:val="008A2F63"/>
    <w:rsid w:val="008A3681"/>
    <w:rsid w:val="008A465A"/>
    <w:rsid w:val="008A661D"/>
    <w:rsid w:val="008A6C82"/>
    <w:rsid w:val="008B0303"/>
    <w:rsid w:val="008B4807"/>
    <w:rsid w:val="008B72AF"/>
    <w:rsid w:val="008C0F51"/>
    <w:rsid w:val="008C2CDA"/>
    <w:rsid w:val="008C304D"/>
    <w:rsid w:val="008C3C17"/>
    <w:rsid w:val="008C41EE"/>
    <w:rsid w:val="008C6C6E"/>
    <w:rsid w:val="008C7316"/>
    <w:rsid w:val="008D1892"/>
    <w:rsid w:val="008D2D3A"/>
    <w:rsid w:val="008D577A"/>
    <w:rsid w:val="008D64A0"/>
    <w:rsid w:val="008D6CF3"/>
    <w:rsid w:val="008E0408"/>
    <w:rsid w:val="008E0ECF"/>
    <w:rsid w:val="008E39E5"/>
    <w:rsid w:val="008E4D32"/>
    <w:rsid w:val="008E53F9"/>
    <w:rsid w:val="008E6B6E"/>
    <w:rsid w:val="008E77C9"/>
    <w:rsid w:val="008F119E"/>
    <w:rsid w:val="008F15D6"/>
    <w:rsid w:val="008F1A25"/>
    <w:rsid w:val="008F32F0"/>
    <w:rsid w:val="008F3FA2"/>
    <w:rsid w:val="008F4A39"/>
    <w:rsid w:val="008F61BC"/>
    <w:rsid w:val="00900113"/>
    <w:rsid w:val="0090203B"/>
    <w:rsid w:val="00903381"/>
    <w:rsid w:val="00903EB4"/>
    <w:rsid w:val="00904D29"/>
    <w:rsid w:val="00905E79"/>
    <w:rsid w:val="009061A7"/>
    <w:rsid w:val="00907015"/>
    <w:rsid w:val="00910AC7"/>
    <w:rsid w:val="00913D40"/>
    <w:rsid w:val="009141B0"/>
    <w:rsid w:val="009178AF"/>
    <w:rsid w:val="00917F3F"/>
    <w:rsid w:val="00922453"/>
    <w:rsid w:val="00923BAB"/>
    <w:rsid w:val="00923EA0"/>
    <w:rsid w:val="00924118"/>
    <w:rsid w:val="00925A14"/>
    <w:rsid w:val="00930585"/>
    <w:rsid w:val="0093231D"/>
    <w:rsid w:val="00932BD5"/>
    <w:rsid w:val="00933686"/>
    <w:rsid w:val="009347DB"/>
    <w:rsid w:val="00934ED3"/>
    <w:rsid w:val="00936262"/>
    <w:rsid w:val="009366B7"/>
    <w:rsid w:val="00940786"/>
    <w:rsid w:val="00940CEF"/>
    <w:rsid w:val="00940D5D"/>
    <w:rsid w:val="009410BE"/>
    <w:rsid w:val="009412CB"/>
    <w:rsid w:val="00942319"/>
    <w:rsid w:val="00942F17"/>
    <w:rsid w:val="00944A9E"/>
    <w:rsid w:val="00945EC5"/>
    <w:rsid w:val="00946E8D"/>
    <w:rsid w:val="009517C8"/>
    <w:rsid w:val="00951BE7"/>
    <w:rsid w:val="0095358A"/>
    <w:rsid w:val="00955512"/>
    <w:rsid w:val="00955703"/>
    <w:rsid w:val="00956119"/>
    <w:rsid w:val="00957D8C"/>
    <w:rsid w:val="00957FBB"/>
    <w:rsid w:val="00962AB0"/>
    <w:rsid w:val="00962C25"/>
    <w:rsid w:val="00963231"/>
    <w:rsid w:val="00963CE8"/>
    <w:rsid w:val="009648EB"/>
    <w:rsid w:val="00966754"/>
    <w:rsid w:val="009670B1"/>
    <w:rsid w:val="00967ABB"/>
    <w:rsid w:val="00967D3A"/>
    <w:rsid w:val="00971808"/>
    <w:rsid w:val="00972A6E"/>
    <w:rsid w:val="00972E5E"/>
    <w:rsid w:val="009732AB"/>
    <w:rsid w:val="0097367B"/>
    <w:rsid w:val="009747A5"/>
    <w:rsid w:val="00974FA6"/>
    <w:rsid w:val="00976690"/>
    <w:rsid w:val="00977A42"/>
    <w:rsid w:val="00980FAE"/>
    <w:rsid w:val="00981238"/>
    <w:rsid w:val="009812EE"/>
    <w:rsid w:val="00981F2C"/>
    <w:rsid w:val="009827B5"/>
    <w:rsid w:val="009829BE"/>
    <w:rsid w:val="00983273"/>
    <w:rsid w:val="009853EA"/>
    <w:rsid w:val="0098572C"/>
    <w:rsid w:val="0099012B"/>
    <w:rsid w:val="00991567"/>
    <w:rsid w:val="00994C40"/>
    <w:rsid w:val="009A4C91"/>
    <w:rsid w:val="009A59B7"/>
    <w:rsid w:val="009A724E"/>
    <w:rsid w:val="009B0B26"/>
    <w:rsid w:val="009B1261"/>
    <w:rsid w:val="009B16B9"/>
    <w:rsid w:val="009B3540"/>
    <w:rsid w:val="009B3F97"/>
    <w:rsid w:val="009B4358"/>
    <w:rsid w:val="009B47B1"/>
    <w:rsid w:val="009C1710"/>
    <w:rsid w:val="009C24DB"/>
    <w:rsid w:val="009C49C9"/>
    <w:rsid w:val="009C4A32"/>
    <w:rsid w:val="009C57F3"/>
    <w:rsid w:val="009C670E"/>
    <w:rsid w:val="009D0BD8"/>
    <w:rsid w:val="009D626F"/>
    <w:rsid w:val="009D759F"/>
    <w:rsid w:val="009E086D"/>
    <w:rsid w:val="009E3008"/>
    <w:rsid w:val="009E426B"/>
    <w:rsid w:val="009E7039"/>
    <w:rsid w:val="009E73C7"/>
    <w:rsid w:val="009F20F0"/>
    <w:rsid w:val="009F29B7"/>
    <w:rsid w:val="009F3A54"/>
    <w:rsid w:val="009F51C9"/>
    <w:rsid w:val="009F5214"/>
    <w:rsid w:val="00A031F7"/>
    <w:rsid w:val="00A03D4D"/>
    <w:rsid w:val="00A05876"/>
    <w:rsid w:val="00A06922"/>
    <w:rsid w:val="00A06F58"/>
    <w:rsid w:val="00A10782"/>
    <w:rsid w:val="00A10D69"/>
    <w:rsid w:val="00A10FB4"/>
    <w:rsid w:val="00A117A3"/>
    <w:rsid w:val="00A120F9"/>
    <w:rsid w:val="00A12C1D"/>
    <w:rsid w:val="00A140E1"/>
    <w:rsid w:val="00A14520"/>
    <w:rsid w:val="00A14EC3"/>
    <w:rsid w:val="00A17A9F"/>
    <w:rsid w:val="00A210DE"/>
    <w:rsid w:val="00A21139"/>
    <w:rsid w:val="00A22D3A"/>
    <w:rsid w:val="00A23827"/>
    <w:rsid w:val="00A24EA8"/>
    <w:rsid w:val="00A32C2C"/>
    <w:rsid w:val="00A332EF"/>
    <w:rsid w:val="00A3679F"/>
    <w:rsid w:val="00A3733A"/>
    <w:rsid w:val="00A37444"/>
    <w:rsid w:val="00A379E4"/>
    <w:rsid w:val="00A4666F"/>
    <w:rsid w:val="00A46B05"/>
    <w:rsid w:val="00A47254"/>
    <w:rsid w:val="00A5009D"/>
    <w:rsid w:val="00A50E36"/>
    <w:rsid w:val="00A51152"/>
    <w:rsid w:val="00A51FE3"/>
    <w:rsid w:val="00A52A1F"/>
    <w:rsid w:val="00A52D0F"/>
    <w:rsid w:val="00A574EE"/>
    <w:rsid w:val="00A57A1E"/>
    <w:rsid w:val="00A61C9F"/>
    <w:rsid w:val="00A6269F"/>
    <w:rsid w:val="00A6285F"/>
    <w:rsid w:val="00A63667"/>
    <w:rsid w:val="00A63732"/>
    <w:rsid w:val="00A637CA"/>
    <w:rsid w:val="00A637FF"/>
    <w:rsid w:val="00A66916"/>
    <w:rsid w:val="00A67522"/>
    <w:rsid w:val="00A7191B"/>
    <w:rsid w:val="00A72A80"/>
    <w:rsid w:val="00A7366C"/>
    <w:rsid w:val="00A74AFE"/>
    <w:rsid w:val="00A74C2B"/>
    <w:rsid w:val="00A75217"/>
    <w:rsid w:val="00A75CB2"/>
    <w:rsid w:val="00A76971"/>
    <w:rsid w:val="00A77638"/>
    <w:rsid w:val="00A8000F"/>
    <w:rsid w:val="00A82516"/>
    <w:rsid w:val="00A834DE"/>
    <w:rsid w:val="00A84CF1"/>
    <w:rsid w:val="00A90237"/>
    <w:rsid w:val="00A97099"/>
    <w:rsid w:val="00A97C1C"/>
    <w:rsid w:val="00A97C93"/>
    <w:rsid w:val="00AA164F"/>
    <w:rsid w:val="00AA2041"/>
    <w:rsid w:val="00AA29EA"/>
    <w:rsid w:val="00AA4BF2"/>
    <w:rsid w:val="00AA79B3"/>
    <w:rsid w:val="00AB0374"/>
    <w:rsid w:val="00AB423E"/>
    <w:rsid w:val="00AB71B6"/>
    <w:rsid w:val="00AB7DD8"/>
    <w:rsid w:val="00AC11B4"/>
    <w:rsid w:val="00AC16B0"/>
    <w:rsid w:val="00AC2EA7"/>
    <w:rsid w:val="00AC345A"/>
    <w:rsid w:val="00AC4060"/>
    <w:rsid w:val="00AD0C4F"/>
    <w:rsid w:val="00AD5B64"/>
    <w:rsid w:val="00AD7D48"/>
    <w:rsid w:val="00AD7FBD"/>
    <w:rsid w:val="00AE2DBF"/>
    <w:rsid w:val="00AE37CF"/>
    <w:rsid w:val="00AE5EE8"/>
    <w:rsid w:val="00AE649A"/>
    <w:rsid w:val="00AE6B07"/>
    <w:rsid w:val="00AE72B1"/>
    <w:rsid w:val="00AF0BD8"/>
    <w:rsid w:val="00AF10E6"/>
    <w:rsid w:val="00AF3E02"/>
    <w:rsid w:val="00AF5C53"/>
    <w:rsid w:val="00AF6553"/>
    <w:rsid w:val="00AF6919"/>
    <w:rsid w:val="00AF6C44"/>
    <w:rsid w:val="00B006FC"/>
    <w:rsid w:val="00B020EE"/>
    <w:rsid w:val="00B02480"/>
    <w:rsid w:val="00B0272E"/>
    <w:rsid w:val="00B0401D"/>
    <w:rsid w:val="00B0535C"/>
    <w:rsid w:val="00B0663A"/>
    <w:rsid w:val="00B06B88"/>
    <w:rsid w:val="00B072C3"/>
    <w:rsid w:val="00B0730A"/>
    <w:rsid w:val="00B110F3"/>
    <w:rsid w:val="00B119A9"/>
    <w:rsid w:val="00B13B51"/>
    <w:rsid w:val="00B15525"/>
    <w:rsid w:val="00B1554A"/>
    <w:rsid w:val="00B17452"/>
    <w:rsid w:val="00B17D66"/>
    <w:rsid w:val="00B20BE2"/>
    <w:rsid w:val="00B22205"/>
    <w:rsid w:val="00B23CA4"/>
    <w:rsid w:val="00B2594C"/>
    <w:rsid w:val="00B27F4D"/>
    <w:rsid w:val="00B30BF0"/>
    <w:rsid w:val="00B31C1E"/>
    <w:rsid w:val="00B324E4"/>
    <w:rsid w:val="00B32571"/>
    <w:rsid w:val="00B32A0E"/>
    <w:rsid w:val="00B34D99"/>
    <w:rsid w:val="00B36333"/>
    <w:rsid w:val="00B37D25"/>
    <w:rsid w:val="00B403E8"/>
    <w:rsid w:val="00B40F14"/>
    <w:rsid w:val="00B41A70"/>
    <w:rsid w:val="00B41C98"/>
    <w:rsid w:val="00B45BEF"/>
    <w:rsid w:val="00B478C1"/>
    <w:rsid w:val="00B47C3F"/>
    <w:rsid w:val="00B51337"/>
    <w:rsid w:val="00B546A6"/>
    <w:rsid w:val="00B56B03"/>
    <w:rsid w:val="00B57717"/>
    <w:rsid w:val="00B57A73"/>
    <w:rsid w:val="00B60FEB"/>
    <w:rsid w:val="00B6133D"/>
    <w:rsid w:val="00B63D97"/>
    <w:rsid w:val="00B643F2"/>
    <w:rsid w:val="00B66184"/>
    <w:rsid w:val="00B66324"/>
    <w:rsid w:val="00B670FC"/>
    <w:rsid w:val="00B67F80"/>
    <w:rsid w:val="00B72F49"/>
    <w:rsid w:val="00B73491"/>
    <w:rsid w:val="00B73BA5"/>
    <w:rsid w:val="00B74DF5"/>
    <w:rsid w:val="00B75571"/>
    <w:rsid w:val="00B76154"/>
    <w:rsid w:val="00B81336"/>
    <w:rsid w:val="00B817FD"/>
    <w:rsid w:val="00B82866"/>
    <w:rsid w:val="00B82C91"/>
    <w:rsid w:val="00B83423"/>
    <w:rsid w:val="00B84B70"/>
    <w:rsid w:val="00B85855"/>
    <w:rsid w:val="00B87110"/>
    <w:rsid w:val="00B906D5"/>
    <w:rsid w:val="00B90D64"/>
    <w:rsid w:val="00B91ECB"/>
    <w:rsid w:val="00B92192"/>
    <w:rsid w:val="00B9271D"/>
    <w:rsid w:val="00B92786"/>
    <w:rsid w:val="00B928E7"/>
    <w:rsid w:val="00B93A49"/>
    <w:rsid w:val="00B94C82"/>
    <w:rsid w:val="00B9620E"/>
    <w:rsid w:val="00B96749"/>
    <w:rsid w:val="00B9764E"/>
    <w:rsid w:val="00B97F8A"/>
    <w:rsid w:val="00BA0862"/>
    <w:rsid w:val="00BA0BFD"/>
    <w:rsid w:val="00BA115A"/>
    <w:rsid w:val="00BA164F"/>
    <w:rsid w:val="00BA1AC7"/>
    <w:rsid w:val="00BA1F14"/>
    <w:rsid w:val="00BA252C"/>
    <w:rsid w:val="00BA41FC"/>
    <w:rsid w:val="00BA5070"/>
    <w:rsid w:val="00BA50A2"/>
    <w:rsid w:val="00BA5E8E"/>
    <w:rsid w:val="00BA7AD0"/>
    <w:rsid w:val="00BB1D39"/>
    <w:rsid w:val="00BB2788"/>
    <w:rsid w:val="00BB4DF0"/>
    <w:rsid w:val="00BB71BB"/>
    <w:rsid w:val="00BC0851"/>
    <w:rsid w:val="00BC1514"/>
    <w:rsid w:val="00BC314B"/>
    <w:rsid w:val="00BC3639"/>
    <w:rsid w:val="00BC3A6A"/>
    <w:rsid w:val="00BC54C1"/>
    <w:rsid w:val="00BC608F"/>
    <w:rsid w:val="00BD5265"/>
    <w:rsid w:val="00BD53AF"/>
    <w:rsid w:val="00BD5ABD"/>
    <w:rsid w:val="00BD5CDC"/>
    <w:rsid w:val="00BD5E79"/>
    <w:rsid w:val="00BD656D"/>
    <w:rsid w:val="00BD6E3C"/>
    <w:rsid w:val="00BD727F"/>
    <w:rsid w:val="00BD76E0"/>
    <w:rsid w:val="00BD7BB0"/>
    <w:rsid w:val="00BE2B30"/>
    <w:rsid w:val="00BE338C"/>
    <w:rsid w:val="00BE43F9"/>
    <w:rsid w:val="00BE642B"/>
    <w:rsid w:val="00BE6AF9"/>
    <w:rsid w:val="00BE726C"/>
    <w:rsid w:val="00BE7F3D"/>
    <w:rsid w:val="00BF0C1F"/>
    <w:rsid w:val="00BF1EDA"/>
    <w:rsid w:val="00BF2C58"/>
    <w:rsid w:val="00BF30C2"/>
    <w:rsid w:val="00BF4B45"/>
    <w:rsid w:val="00BF5CC9"/>
    <w:rsid w:val="00BF6CCD"/>
    <w:rsid w:val="00C00AAA"/>
    <w:rsid w:val="00C0211C"/>
    <w:rsid w:val="00C021BE"/>
    <w:rsid w:val="00C043C4"/>
    <w:rsid w:val="00C055B5"/>
    <w:rsid w:val="00C058F5"/>
    <w:rsid w:val="00C063F6"/>
    <w:rsid w:val="00C06978"/>
    <w:rsid w:val="00C07AD0"/>
    <w:rsid w:val="00C07D40"/>
    <w:rsid w:val="00C11254"/>
    <w:rsid w:val="00C12C68"/>
    <w:rsid w:val="00C148E2"/>
    <w:rsid w:val="00C154F8"/>
    <w:rsid w:val="00C1583F"/>
    <w:rsid w:val="00C160A1"/>
    <w:rsid w:val="00C22327"/>
    <w:rsid w:val="00C25AC5"/>
    <w:rsid w:val="00C272ED"/>
    <w:rsid w:val="00C32894"/>
    <w:rsid w:val="00C35273"/>
    <w:rsid w:val="00C36B3D"/>
    <w:rsid w:val="00C36E1F"/>
    <w:rsid w:val="00C40420"/>
    <w:rsid w:val="00C41E66"/>
    <w:rsid w:val="00C43156"/>
    <w:rsid w:val="00C43257"/>
    <w:rsid w:val="00C43B70"/>
    <w:rsid w:val="00C43E1E"/>
    <w:rsid w:val="00C45773"/>
    <w:rsid w:val="00C47468"/>
    <w:rsid w:val="00C47BAA"/>
    <w:rsid w:val="00C47D47"/>
    <w:rsid w:val="00C50B01"/>
    <w:rsid w:val="00C51A22"/>
    <w:rsid w:val="00C51CBF"/>
    <w:rsid w:val="00C52A2C"/>
    <w:rsid w:val="00C54FE9"/>
    <w:rsid w:val="00C553D3"/>
    <w:rsid w:val="00C56206"/>
    <w:rsid w:val="00C609D1"/>
    <w:rsid w:val="00C61540"/>
    <w:rsid w:val="00C644B9"/>
    <w:rsid w:val="00C64730"/>
    <w:rsid w:val="00C64E21"/>
    <w:rsid w:val="00C65716"/>
    <w:rsid w:val="00C66374"/>
    <w:rsid w:val="00C67401"/>
    <w:rsid w:val="00C71311"/>
    <w:rsid w:val="00C730A4"/>
    <w:rsid w:val="00C74EFB"/>
    <w:rsid w:val="00C77617"/>
    <w:rsid w:val="00C8008E"/>
    <w:rsid w:val="00C8290C"/>
    <w:rsid w:val="00C84D02"/>
    <w:rsid w:val="00C878F2"/>
    <w:rsid w:val="00C9045E"/>
    <w:rsid w:val="00C90858"/>
    <w:rsid w:val="00C91B55"/>
    <w:rsid w:val="00C93756"/>
    <w:rsid w:val="00C96412"/>
    <w:rsid w:val="00CA2CE7"/>
    <w:rsid w:val="00CA3E45"/>
    <w:rsid w:val="00CA5DB5"/>
    <w:rsid w:val="00CA669F"/>
    <w:rsid w:val="00CA7622"/>
    <w:rsid w:val="00CB1687"/>
    <w:rsid w:val="00CB2868"/>
    <w:rsid w:val="00CB3CE9"/>
    <w:rsid w:val="00CB5608"/>
    <w:rsid w:val="00CC1416"/>
    <w:rsid w:val="00CC1953"/>
    <w:rsid w:val="00CC263C"/>
    <w:rsid w:val="00CC3460"/>
    <w:rsid w:val="00CC4CEB"/>
    <w:rsid w:val="00CC7CEC"/>
    <w:rsid w:val="00CD18F4"/>
    <w:rsid w:val="00CD223C"/>
    <w:rsid w:val="00CD30E8"/>
    <w:rsid w:val="00CD3B46"/>
    <w:rsid w:val="00CD604B"/>
    <w:rsid w:val="00CD76F8"/>
    <w:rsid w:val="00CD7928"/>
    <w:rsid w:val="00CD7929"/>
    <w:rsid w:val="00CE1A3F"/>
    <w:rsid w:val="00CE3BEA"/>
    <w:rsid w:val="00CE4AD4"/>
    <w:rsid w:val="00CE5251"/>
    <w:rsid w:val="00CE6CBD"/>
    <w:rsid w:val="00CE7274"/>
    <w:rsid w:val="00CF0F05"/>
    <w:rsid w:val="00CF19EE"/>
    <w:rsid w:val="00CF681C"/>
    <w:rsid w:val="00CF6D4F"/>
    <w:rsid w:val="00D0092E"/>
    <w:rsid w:val="00D0247B"/>
    <w:rsid w:val="00D02840"/>
    <w:rsid w:val="00D04956"/>
    <w:rsid w:val="00D05CE4"/>
    <w:rsid w:val="00D072E5"/>
    <w:rsid w:val="00D07944"/>
    <w:rsid w:val="00D10B2C"/>
    <w:rsid w:val="00D11145"/>
    <w:rsid w:val="00D14223"/>
    <w:rsid w:val="00D1618D"/>
    <w:rsid w:val="00D22887"/>
    <w:rsid w:val="00D27F08"/>
    <w:rsid w:val="00D3195D"/>
    <w:rsid w:val="00D3507D"/>
    <w:rsid w:val="00D35743"/>
    <w:rsid w:val="00D37A9D"/>
    <w:rsid w:val="00D37ED0"/>
    <w:rsid w:val="00D404E8"/>
    <w:rsid w:val="00D41BD2"/>
    <w:rsid w:val="00D437E3"/>
    <w:rsid w:val="00D43D9C"/>
    <w:rsid w:val="00D44AF6"/>
    <w:rsid w:val="00D45405"/>
    <w:rsid w:val="00D45C6C"/>
    <w:rsid w:val="00D471E3"/>
    <w:rsid w:val="00D519DC"/>
    <w:rsid w:val="00D53091"/>
    <w:rsid w:val="00D53A7C"/>
    <w:rsid w:val="00D55959"/>
    <w:rsid w:val="00D560A5"/>
    <w:rsid w:val="00D566F9"/>
    <w:rsid w:val="00D5799B"/>
    <w:rsid w:val="00D57CBA"/>
    <w:rsid w:val="00D61FBC"/>
    <w:rsid w:val="00D62D04"/>
    <w:rsid w:val="00D64D47"/>
    <w:rsid w:val="00D65488"/>
    <w:rsid w:val="00D66429"/>
    <w:rsid w:val="00D71249"/>
    <w:rsid w:val="00D712DA"/>
    <w:rsid w:val="00D71CEA"/>
    <w:rsid w:val="00D7250C"/>
    <w:rsid w:val="00D73177"/>
    <w:rsid w:val="00D75216"/>
    <w:rsid w:val="00D76A4D"/>
    <w:rsid w:val="00D76FC1"/>
    <w:rsid w:val="00D77730"/>
    <w:rsid w:val="00D77EE3"/>
    <w:rsid w:val="00D807F3"/>
    <w:rsid w:val="00D82F06"/>
    <w:rsid w:val="00D83A23"/>
    <w:rsid w:val="00D85091"/>
    <w:rsid w:val="00D85759"/>
    <w:rsid w:val="00D87141"/>
    <w:rsid w:val="00D87576"/>
    <w:rsid w:val="00D87A50"/>
    <w:rsid w:val="00D93216"/>
    <w:rsid w:val="00D94C2C"/>
    <w:rsid w:val="00D95449"/>
    <w:rsid w:val="00D95755"/>
    <w:rsid w:val="00D95F0A"/>
    <w:rsid w:val="00DA25C0"/>
    <w:rsid w:val="00DA2F26"/>
    <w:rsid w:val="00DA3154"/>
    <w:rsid w:val="00DA3909"/>
    <w:rsid w:val="00DA4256"/>
    <w:rsid w:val="00DA54D8"/>
    <w:rsid w:val="00DA6A42"/>
    <w:rsid w:val="00DA737C"/>
    <w:rsid w:val="00DB2427"/>
    <w:rsid w:val="00DB3905"/>
    <w:rsid w:val="00DB6ED9"/>
    <w:rsid w:val="00DC1C9E"/>
    <w:rsid w:val="00DC2CDA"/>
    <w:rsid w:val="00DC3716"/>
    <w:rsid w:val="00DC3B02"/>
    <w:rsid w:val="00DC456C"/>
    <w:rsid w:val="00DC6516"/>
    <w:rsid w:val="00DC65E7"/>
    <w:rsid w:val="00DC6DD3"/>
    <w:rsid w:val="00DD0B5B"/>
    <w:rsid w:val="00DD389A"/>
    <w:rsid w:val="00DD3E86"/>
    <w:rsid w:val="00DD4A19"/>
    <w:rsid w:val="00DD4D9F"/>
    <w:rsid w:val="00DD4F6D"/>
    <w:rsid w:val="00DD5ED3"/>
    <w:rsid w:val="00DD5FE5"/>
    <w:rsid w:val="00DE1979"/>
    <w:rsid w:val="00DE1BEC"/>
    <w:rsid w:val="00DE253D"/>
    <w:rsid w:val="00DE3858"/>
    <w:rsid w:val="00DE3AAE"/>
    <w:rsid w:val="00DE5530"/>
    <w:rsid w:val="00DF0309"/>
    <w:rsid w:val="00DF0387"/>
    <w:rsid w:val="00DF045F"/>
    <w:rsid w:val="00DF092C"/>
    <w:rsid w:val="00DF1A10"/>
    <w:rsid w:val="00DF27C7"/>
    <w:rsid w:val="00DF368C"/>
    <w:rsid w:val="00DF39A8"/>
    <w:rsid w:val="00DF4C42"/>
    <w:rsid w:val="00DF5D33"/>
    <w:rsid w:val="00DF5D86"/>
    <w:rsid w:val="00DF7C24"/>
    <w:rsid w:val="00E02EE1"/>
    <w:rsid w:val="00E0324C"/>
    <w:rsid w:val="00E03A60"/>
    <w:rsid w:val="00E04288"/>
    <w:rsid w:val="00E048C4"/>
    <w:rsid w:val="00E057C6"/>
    <w:rsid w:val="00E05B41"/>
    <w:rsid w:val="00E07D04"/>
    <w:rsid w:val="00E101FE"/>
    <w:rsid w:val="00E11309"/>
    <w:rsid w:val="00E13B4E"/>
    <w:rsid w:val="00E14F32"/>
    <w:rsid w:val="00E179E8"/>
    <w:rsid w:val="00E22C48"/>
    <w:rsid w:val="00E23F47"/>
    <w:rsid w:val="00E24173"/>
    <w:rsid w:val="00E24926"/>
    <w:rsid w:val="00E253FC"/>
    <w:rsid w:val="00E25400"/>
    <w:rsid w:val="00E26350"/>
    <w:rsid w:val="00E30816"/>
    <w:rsid w:val="00E330CB"/>
    <w:rsid w:val="00E3388F"/>
    <w:rsid w:val="00E3508A"/>
    <w:rsid w:val="00E35D5F"/>
    <w:rsid w:val="00E36F92"/>
    <w:rsid w:val="00E4012E"/>
    <w:rsid w:val="00E4019D"/>
    <w:rsid w:val="00E40D0D"/>
    <w:rsid w:val="00E40DDA"/>
    <w:rsid w:val="00E43F67"/>
    <w:rsid w:val="00E444D5"/>
    <w:rsid w:val="00E46CBC"/>
    <w:rsid w:val="00E47667"/>
    <w:rsid w:val="00E500C1"/>
    <w:rsid w:val="00E50773"/>
    <w:rsid w:val="00E51C90"/>
    <w:rsid w:val="00E524FB"/>
    <w:rsid w:val="00E530A4"/>
    <w:rsid w:val="00E53E04"/>
    <w:rsid w:val="00E54166"/>
    <w:rsid w:val="00E55741"/>
    <w:rsid w:val="00E55EC8"/>
    <w:rsid w:val="00E5617B"/>
    <w:rsid w:val="00E56198"/>
    <w:rsid w:val="00E61FDD"/>
    <w:rsid w:val="00E62A8F"/>
    <w:rsid w:val="00E63300"/>
    <w:rsid w:val="00E6348D"/>
    <w:rsid w:val="00E63B58"/>
    <w:rsid w:val="00E65222"/>
    <w:rsid w:val="00E70454"/>
    <w:rsid w:val="00E71F1D"/>
    <w:rsid w:val="00E7209C"/>
    <w:rsid w:val="00E74D40"/>
    <w:rsid w:val="00E77205"/>
    <w:rsid w:val="00E80123"/>
    <w:rsid w:val="00E805A4"/>
    <w:rsid w:val="00E80FAE"/>
    <w:rsid w:val="00E840C6"/>
    <w:rsid w:val="00E9081E"/>
    <w:rsid w:val="00E92412"/>
    <w:rsid w:val="00E93439"/>
    <w:rsid w:val="00E93B87"/>
    <w:rsid w:val="00E953CD"/>
    <w:rsid w:val="00EA00BB"/>
    <w:rsid w:val="00EA16D1"/>
    <w:rsid w:val="00EA485D"/>
    <w:rsid w:val="00EA5266"/>
    <w:rsid w:val="00EA54F0"/>
    <w:rsid w:val="00EA6635"/>
    <w:rsid w:val="00EB0D54"/>
    <w:rsid w:val="00EB26D1"/>
    <w:rsid w:val="00EB2CBC"/>
    <w:rsid w:val="00EB2F45"/>
    <w:rsid w:val="00EB623B"/>
    <w:rsid w:val="00EB6FBB"/>
    <w:rsid w:val="00EB7FF5"/>
    <w:rsid w:val="00EC1101"/>
    <w:rsid w:val="00EC62D0"/>
    <w:rsid w:val="00EC7950"/>
    <w:rsid w:val="00ED5291"/>
    <w:rsid w:val="00ED790D"/>
    <w:rsid w:val="00EE0D20"/>
    <w:rsid w:val="00EE1F9C"/>
    <w:rsid w:val="00EE285A"/>
    <w:rsid w:val="00EE60B9"/>
    <w:rsid w:val="00EF2644"/>
    <w:rsid w:val="00EF2D95"/>
    <w:rsid w:val="00EF5F99"/>
    <w:rsid w:val="00EF7FD4"/>
    <w:rsid w:val="00F007A5"/>
    <w:rsid w:val="00F021C0"/>
    <w:rsid w:val="00F02C5D"/>
    <w:rsid w:val="00F04298"/>
    <w:rsid w:val="00F048DF"/>
    <w:rsid w:val="00F06717"/>
    <w:rsid w:val="00F1233C"/>
    <w:rsid w:val="00F1417B"/>
    <w:rsid w:val="00F15B26"/>
    <w:rsid w:val="00F201CA"/>
    <w:rsid w:val="00F209DE"/>
    <w:rsid w:val="00F21267"/>
    <w:rsid w:val="00F21962"/>
    <w:rsid w:val="00F219DC"/>
    <w:rsid w:val="00F23CD7"/>
    <w:rsid w:val="00F24105"/>
    <w:rsid w:val="00F25FA8"/>
    <w:rsid w:val="00F26A87"/>
    <w:rsid w:val="00F271D9"/>
    <w:rsid w:val="00F3081B"/>
    <w:rsid w:val="00F32C94"/>
    <w:rsid w:val="00F3489D"/>
    <w:rsid w:val="00F34A47"/>
    <w:rsid w:val="00F37051"/>
    <w:rsid w:val="00F4008A"/>
    <w:rsid w:val="00F44487"/>
    <w:rsid w:val="00F4508E"/>
    <w:rsid w:val="00F45D9D"/>
    <w:rsid w:val="00F47E30"/>
    <w:rsid w:val="00F47F35"/>
    <w:rsid w:val="00F500A0"/>
    <w:rsid w:val="00F504E3"/>
    <w:rsid w:val="00F50F0A"/>
    <w:rsid w:val="00F517B1"/>
    <w:rsid w:val="00F53546"/>
    <w:rsid w:val="00F541CB"/>
    <w:rsid w:val="00F56499"/>
    <w:rsid w:val="00F56A02"/>
    <w:rsid w:val="00F571AD"/>
    <w:rsid w:val="00F5734D"/>
    <w:rsid w:val="00F57B93"/>
    <w:rsid w:val="00F57F10"/>
    <w:rsid w:val="00F60DCA"/>
    <w:rsid w:val="00F61F4C"/>
    <w:rsid w:val="00F64384"/>
    <w:rsid w:val="00F64623"/>
    <w:rsid w:val="00F651A8"/>
    <w:rsid w:val="00F674D4"/>
    <w:rsid w:val="00F7081F"/>
    <w:rsid w:val="00F76BF3"/>
    <w:rsid w:val="00F7713A"/>
    <w:rsid w:val="00F778E6"/>
    <w:rsid w:val="00F813E1"/>
    <w:rsid w:val="00F81F13"/>
    <w:rsid w:val="00F82EC7"/>
    <w:rsid w:val="00F83AC8"/>
    <w:rsid w:val="00F83F9A"/>
    <w:rsid w:val="00F85817"/>
    <w:rsid w:val="00F85BCB"/>
    <w:rsid w:val="00F87F9C"/>
    <w:rsid w:val="00F91A92"/>
    <w:rsid w:val="00F95BE8"/>
    <w:rsid w:val="00FA1481"/>
    <w:rsid w:val="00FA1F87"/>
    <w:rsid w:val="00FA2E38"/>
    <w:rsid w:val="00FA316D"/>
    <w:rsid w:val="00FA3624"/>
    <w:rsid w:val="00FA4508"/>
    <w:rsid w:val="00FB08E5"/>
    <w:rsid w:val="00FB1200"/>
    <w:rsid w:val="00FB326A"/>
    <w:rsid w:val="00FB4852"/>
    <w:rsid w:val="00FB4BAF"/>
    <w:rsid w:val="00FB6CE9"/>
    <w:rsid w:val="00FC18B3"/>
    <w:rsid w:val="00FC1C07"/>
    <w:rsid w:val="00FC2137"/>
    <w:rsid w:val="00FC263D"/>
    <w:rsid w:val="00FC3F76"/>
    <w:rsid w:val="00FC5152"/>
    <w:rsid w:val="00FC51EB"/>
    <w:rsid w:val="00FC745E"/>
    <w:rsid w:val="00FC761F"/>
    <w:rsid w:val="00FD03DC"/>
    <w:rsid w:val="00FD0CAF"/>
    <w:rsid w:val="00FD2C0C"/>
    <w:rsid w:val="00FD3435"/>
    <w:rsid w:val="00FD3AD4"/>
    <w:rsid w:val="00FD4318"/>
    <w:rsid w:val="00FD518C"/>
    <w:rsid w:val="00FD5EC6"/>
    <w:rsid w:val="00FD680B"/>
    <w:rsid w:val="00FD6B8E"/>
    <w:rsid w:val="00FD6C61"/>
    <w:rsid w:val="00FE0210"/>
    <w:rsid w:val="00FE2768"/>
    <w:rsid w:val="00FE3552"/>
    <w:rsid w:val="00FE5EE1"/>
    <w:rsid w:val="00FE6EF6"/>
    <w:rsid w:val="00FF0526"/>
    <w:rsid w:val="00FF1F73"/>
    <w:rsid w:val="00FF42D0"/>
    <w:rsid w:val="00FF5638"/>
    <w:rsid w:val="00FF5F6F"/>
    <w:rsid w:val="00FF6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2DDA49"/>
  <w15:docId w15:val="{6442E69D-CFA2-44C9-8F7C-D945E6B8A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585"/>
    <w:rPr>
      <w:rFonts w:ascii="Arial" w:hAnsi="Arial"/>
    </w:rPr>
  </w:style>
  <w:style w:type="paragraph" w:styleId="Heading1">
    <w:name w:val="heading 1"/>
    <w:next w:val="Normal"/>
    <w:link w:val="Heading1Char"/>
    <w:uiPriority w:val="9"/>
    <w:qFormat/>
    <w:rsid w:val="005B1301"/>
    <w:pPr>
      <w:keepNext/>
      <w:keepLines/>
      <w:spacing w:after="120" w:line="261" w:lineRule="auto"/>
      <w:outlineLvl w:val="0"/>
    </w:pPr>
    <w:rPr>
      <w:rFonts w:ascii="Arial" w:eastAsia="Cambria" w:hAnsi="Arial" w:cs="Arial"/>
      <w:b/>
      <w:color w:val="000000"/>
      <w:sz w:val="24"/>
    </w:rPr>
  </w:style>
  <w:style w:type="paragraph" w:styleId="Heading2">
    <w:name w:val="heading 2"/>
    <w:next w:val="Normal"/>
    <w:link w:val="Heading2Char"/>
    <w:uiPriority w:val="9"/>
    <w:unhideWhenUsed/>
    <w:qFormat/>
    <w:rsid w:val="005B1301"/>
    <w:pPr>
      <w:keepNext/>
      <w:keepLines/>
      <w:spacing w:after="121"/>
      <w:outlineLvl w:val="1"/>
    </w:pPr>
    <w:rPr>
      <w:rFonts w:ascii="Arial" w:eastAsia="Cambria" w:hAnsi="Arial" w:cs="Arial"/>
      <w:b/>
      <w:color w:val="000000"/>
    </w:rPr>
  </w:style>
  <w:style w:type="paragraph" w:styleId="Heading3">
    <w:name w:val="heading 3"/>
    <w:basedOn w:val="Normal"/>
    <w:next w:val="Normal"/>
    <w:link w:val="Heading3Char"/>
    <w:uiPriority w:val="9"/>
    <w:unhideWhenUsed/>
    <w:qFormat/>
    <w:rsid w:val="000704F5"/>
    <w:pPr>
      <w:keepNext/>
      <w:spacing w:line="23" w:lineRule="atLeast"/>
      <w:outlineLvl w:val="2"/>
    </w:pPr>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301"/>
    <w:rPr>
      <w:rFonts w:ascii="Arial" w:eastAsia="Cambria" w:hAnsi="Arial" w:cs="Arial"/>
      <w:b/>
      <w:color w:val="000000"/>
      <w:sz w:val="24"/>
    </w:rPr>
  </w:style>
  <w:style w:type="character" w:customStyle="1" w:styleId="Heading2Char">
    <w:name w:val="Heading 2 Char"/>
    <w:basedOn w:val="DefaultParagraphFont"/>
    <w:link w:val="Heading2"/>
    <w:uiPriority w:val="9"/>
    <w:rsid w:val="005B1301"/>
    <w:rPr>
      <w:rFonts w:ascii="Arial" w:eastAsia="Cambria" w:hAnsi="Arial" w:cs="Arial"/>
      <w:b/>
      <w:color w:val="000000"/>
    </w:rPr>
  </w:style>
  <w:style w:type="paragraph" w:styleId="ListParagraph">
    <w:name w:val="List Paragraph"/>
    <w:basedOn w:val="Normal"/>
    <w:uiPriority w:val="34"/>
    <w:qFormat/>
    <w:rsid w:val="00580211"/>
    <w:pPr>
      <w:ind w:left="720"/>
      <w:contextualSpacing/>
    </w:pPr>
  </w:style>
  <w:style w:type="paragraph" w:styleId="Bibliography">
    <w:name w:val="Bibliography"/>
    <w:basedOn w:val="Normal"/>
    <w:next w:val="Normal"/>
    <w:uiPriority w:val="37"/>
    <w:unhideWhenUsed/>
    <w:rsid w:val="00735A57"/>
    <w:pPr>
      <w:tabs>
        <w:tab w:val="left" w:pos="384"/>
      </w:tabs>
      <w:spacing w:after="0" w:line="480" w:lineRule="auto"/>
      <w:ind w:left="384" w:hanging="384"/>
    </w:pPr>
  </w:style>
  <w:style w:type="paragraph" w:styleId="Revision">
    <w:name w:val="Revision"/>
    <w:hidden/>
    <w:uiPriority w:val="99"/>
    <w:semiHidden/>
    <w:rsid w:val="00472A90"/>
    <w:pPr>
      <w:spacing w:after="0" w:line="240" w:lineRule="auto"/>
    </w:pPr>
  </w:style>
  <w:style w:type="character" w:styleId="CommentReference">
    <w:name w:val="annotation reference"/>
    <w:basedOn w:val="DefaultParagraphFont"/>
    <w:uiPriority w:val="99"/>
    <w:semiHidden/>
    <w:unhideWhenUsed/>
    <w:rsid w:val="00472A90"/>
    <w:rPr>
      <w:sz w:val="16"/>
      <w:szCs w:val="16"/>
    </w:rPr>
  </w:style>
  <w:style w:type="paragraph" w:styleId="CommentText">
    <w:name w:val="annotation text"/>
    <w:basedOn w:val="Normal"/>
    <w:link w:val="CommentTextChar"/>
    <w:uiPriority w:val="99"/>
    <w:unhideWhenUsed/>
    <w:rsid w:val="00472A90"/>
    <w:pPr>
      <w:spacing w:line="240" w:lineRule="auto"/>
    </w:pPr>
    <w:rPr>
      <w:sz w:val="20"/>
      <w:szCs w:val="20"/>
    </w:rPr>
  </w:style>
  <w:style w:type="character" w:customStyle="1" w:styleId="CommentTextChar">
    <w:name w:val="Comment Text Char"/>
    <w:basedOn w:val="DefaultParagraphFont"/>
    <w:link w:val="CommentText"/>
    <w:uiPriority w:val="99"/>
    <w:rsid w:val="00472A90"/>
    <w:rPr>
      <w:sz w:val="20"/>
      <w:szCs w:val="20"/>
    </w:rPr>
  </w:style>
  <w:style w:type="paragraph" w:styleId="CommentSubject">
    <w:name w:val="annotation subject"/>
    <w:basedOn w:val="CommentText"/>
    <w:next w:val="CommentText"/>
    <w:link w:val="CommentSubjectChar"/>
    <w:uiPriority w:val="99"/>
    <w:semiHidden/>
    <w:unhideWhenUsed/>
    <w:rsid w:val="00472A90"/>
    <w:rPr>
      <w:b/>
      <w:bCs/>
    </w:rPr>
  </w:style>
  <w:style w:type="character" w:customStyle="1" w:styleId="CommentSubjectChar">
    <w:name w:val="Comment Subject Char"/>
    <w:basedOn w:val="CommentTextChar"/>
    <w:link w:val="CommentSubject"/>
    <w:uiPriority w:val="99"/>
    <w:semiHidden/>
    <w:rsid w:val="00472A90"/>
    <w:rPr>
      <w:b/>
      <w:bCs/>
      <w:sz w:val="20"/>
      <w:szCs w:val="20"/>
    </w:rPr>
  </w:style>
  <w:style w:type="character" w:styleId="Hyperlink">
    <w:name w:val="Hyperlink"/>
    <w:basedOn w:val="DefaultParagraphFont"/>
    <w:uiPriority w:val="99"/>
    <w:unhideWhenUsed/>
    <w:rsid w:val="006457E6"/>
    <w:rPr>
      <w:color w:val="0563C1" w:themeColor="hyperlink"/>
      <w:u w:val="single"/>
    </w:rPr>
  </w:style>
  <w:style w:type="character" w:customStyle="1" w:styleId="Heading3Char">
    <w:name w:val="Heading 3 Char"/>
    <w:basedOn w:val="DefaultParagraphFont"/>
    <w:link w:val="Heading3"/>
    <w:uiPriority w:val="9"/>
    <w:rsid w:val="000704F5"/>
    <w:rPr>
      <w:rFonts w:ascii="Times New Roman" w:hAnsi="Times New Roman" w:cs="Times New Roman"/>
    </w:rPr>
  </w:style>
  <w:style w:type="paragraph" w:styleId="FootnoteText">
    <w:name w:val="footnote text"/>
    <w:basedOn w:val="Normal"/>
    <w:link w:val="FootnoteTextChar"/>
    <w:uiPriority w:val="99"/>
    <w:semiHidden/>
    <w:unhideWhenUsed/>
    <w:rsid w:val="000704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04F5"/>
    <w:rPr>
      <w:sz w:val="20"/>
      <w:szCs w:val="20"/>
    </w:rPr>
  </w:style>
  <w:style w:type="character" w:styleId="FootnoteReference">
    <w:name w:val="footnote reference"/>
    <w:basedOn w:val="DefaultParagraphFont"/>
    <w:uiPriority w:val="99"/>
    <w:semiHidden/>
    <w:unhideWhenUsed/>
    <w:rsid w:val="000704F5"/>
    <w:rPr>
      <w:vertAlign w:val="superscript"/>
    </w:rPr>
  </w:style>
  <w:style w:type="paragraph" w:styleId="Header">
    <w:name w:val="header"/>
    <w:basedOn w:val="Normal"/>
    <w:link w:val="HeaderChar"/>
    <w:uiPriority w:val="99"/>
    <w:unhideWhenUsed/>
    <w:rsid w:val="00070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4F5"/>
  </w:style>
  <w:style w:type="paragraph" w:styleId="Footer">
    <w:name w:val="footer"/>
    <w:basedOn w:val="Normal"/>
    <w:link w:val="FooterChar"/>
    <w:uiPriority w:val="99"/>
    <w:unhideWhenUsed/>
    <w:rsid w:val="000704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4F5"/>
  </w:style>
  <w:style w:type="character" w:styleId="PlaceholderText">
    <w:name w:val="Placeholder Text"/>
    <w:basedOn w:val="DefaultParagraphFont"/>
    <w:uiPriority w:val="99"/>
    <w:semiHidden/>
    <w:rsid w:val="006609DA"/>
    <w:rPr>
      <w:color w:val="808080"/>
    </w:rPr>
  </w:style>
  <w:style w:type="table" w:customStyle="1" w:styleId="TableGrid">
    <w:name w:val="TableGrid"/>
    <w:rsid w:val="000A51A9"/>
    <w:pPr>
      <w:spacing w:after="0" w:line="240" w:lineRule="auto"/>
    </w:pPr>
    <w:rPr>
      <w:rFonts w:eastAsiaTheme="minorEastAsia"/>
    </w:rPr>
    <w:tblPr>
      <w:tblCellMar>
        <w:top w:w="0" w:type="dxa"/>
        <w:left w:w="0" w:type="dxa"/>
        <w:bottom w:w="0" w:type="dxa"/>
        <w:right w:w="0" w:type="dxa"/>
      </w:tblCellMar>
    </w:tblPr>
  </w:style>
  <w:style w:type="paragraph" w:styleId="TableofFigures">
    <w:name w:val="table of figures"/>
    <w:basedOn w:val="Normal"/>
    <w:next w:val="Normal"/>
    <w:uiPriority w:val="99"/>
    <w:unhideWhenUsed/>
    <w:rsid w:val="000E6933"/>
    <w:pPr>
      <w:spacing w:after="0"/>
    </w:pPr>
  </w:style>
  <w:style w:type="paragraph" w:styleId="Caption">
    <w:name w:val="caption"/>
    <w:basedOn w:val="Normal"/>
    <w:next w:val="Normal"/>
    <w:uiPriority w:val="35"/>
    <w:unhideWhenUsed/>
    <w:qFormat/>
    <w:rsid w:val="00930585"/>
    <w:pPr>
      <w:spacing w:after="200" w:line="240" w:lineRule="auto"/>
    </w:pPr>
    <w:rPr>
      <w:b/>
      <w:iCs/>
      <w:szCs w:val="18"/>
    </w:rPr>
  </w:style>
  <w:style w:type="table" w:styleId="ListTable1Light-Accent3">
    <w:name w:val="List Table 1 Light Accent 3"/>
    <w:basedOn w:val="TableNormal"/>
    <w:uiPriority w:val="46"/>
    <w:rsid w:val="00184EB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Heading">
    <w:name w:val="TOC Heading"/>
    <w:basedOn w:val="Heading1"/>
    <w:next w:val="Normal"/>
    <w:uiPriority w:val="39"/>
    <w:unhideWhenUsed/>
    <w:qFormat/>
    <w:rsid w:val="00D64D47"/>
    <w:pPr>
      <w:spacing w:before="240" w:after="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D64D47"/>
    <w:pPr>
      <w:spacing w:after="100"/>
    </w:pPr>
  </w:style>
  <w:style w:type="paragraph" w:styleId="TOC2">
    <w:name w:val="toc 2"/>
    <w:basedOn w:val="Normal"/>
    <w:next w:val="Normal"/>
    <w:autoRedefine/>
    <w:uiPriority w:val="39"/>
    <w:unhideWhenUsed/>
    <w:rsid w:val="00D64D47"/>
    <w:pPr>
      <w:spacing w:after="100"/>
      <w:ind w:left="220"/>
    </w:pPr>
  </w:style>
  <w:style w:type="table" w:styleId="TableGrid0">
    <w:name w:val="Table Grid"/>
    <w:basedOn w:val="TableNormal"/>
    <w:uiPriority w:val="39"/>
    <w:rsid w:val="00D10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C761F"/>
    <w:rPr>
      <w:color w:val="605E5C"/>
      <w:shd w:val="clear" w:color="auto" w:fill="E1DFDD"/>
    </w:rPr>
  </w:style>
  <w:style w:type="table" w:styleId="GridTable2">
    <w:name w:val="Grid Table 2"/>
    <w:basedOn w:val="TableNormal"/>
    <w:uiPriority w:val="47"/>
    <w:rsid w:val="008C6C6E"/>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3">
    <w:name w:val="Grid Table 2 Accent 3"/>
    <w:basedOn w:val="TableNormal"/>
    <w:uiPriority w:val="47"/>
    <w:rsid w:val="00212A0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608531">
      <w:bodyDiv w:val="1"/>
      <w:marLeft w:val="0"/>
      <w:marRight w:val="0"/>
      <w:marTop w:val="0"/>
      <w:marBottom w:val="0"/>
      <w:divBdr>
        <w:top w:val="none" w:sz="0" w:space="0" w:color="auto"/>
        <w:left w:val="none" w:sz="0" w:space="0" w:color="auto"/>
        <w:bottom w:val="none" w:sz="0" w:space="0" w:color="auto"/>
        <w:right w:val="none" w:sz="0" w:space="0" w:color="auto"/>
      </w:divBdr>
    </w:div>
    <w:div w:id="1151294272">
      <w:bodyDiv w:val="1"/>
      <w:marLeft w:val="0"/>
      <w:marRight w:val="0"/>
      <w:marTop w:val="0"/>
      <w:marBottom w:val="0"/>
      <w:divBdr>
        <w:top w:val="none" w:sz="0" w:space="0" w:color="auto"/>
        <w:left w:val="none" w:sz="0" w:space="0" w:color="auto"/>
        <w:bottom w:val="none" w:sz="0" w:space="0" w:color="auto"/>
        <w:right w:val="none" w:sz="0" w:space="0" w:color="auto"/>
      </w:divBdr>
    </w:div>
    <w:div w:id="1277755787">
      <w:bodyDiv w:val="1"/>
      <w:marLeft w:val="0"/>
      <w:marRight w:val="0"/>
      <w:marTop w:val="0"/>
      <w:marBottom w:val="0"/>
      <w:divBdr>
        <w:top w:val="none" w:sz="0" w:space="0" w:color="auto"/>
        <w:left w:val="none" w:sz="0" w:space="0" w:color="auto"/>
        <w:bottom w:val="none" w:sz="0" w:space="0" w:color="auto"/>
        <w:right w:val="none" w:sz="0" w:space="0" w:color="auto"/>
      </w:divBdr>
    </w:div>
    <w:div w:id="1591622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s://jgcri.github.io/gcam-doc/common_assumptions.html" TargetMode="Externa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 Id="rId8" Type="http://schemas.openxmlformats.org/officeDocument/2006/relationships/hyperlink" Target="mailto:xin.zhao@pnnl.go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ithub.com/JGCRI/gcam-doc/tree/gh-pages/c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7ADDE-5493-4030-8367-7175FDFDC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3240</TotalTime>
  <Pages>46</Pages>
  <Words>30928</Words>
  <Characters>194228</Characters>
  <Application>Microsoft Office Word</Application>
  <DocSecurity>0</DocSecurity>
  <Lines>5249</Lines>
  <Paragraphs>3171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xin.zhao@pnnl.gov</dc:creator>
  <cp:keywords/>
  <dc:description/>
  <cp:lastModifiedBy>Zhao, Xin</cp:lastModifiedBy>
  <cp:revision>176</cp:revision>
  <cp:lastPrinted>2026-09-16T00:32:00Z</cp:lastPrinted>
  <dcterms:created xsi:type="dcterms:W3CDTF">2024-03-27T19:06:00Z</dcterms:created>
  <dcterms:modified xsi:type="dcterms:W3CDTF">2026-09-24T14:57:00Z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32f51b17-1634-4da7-95a2-8dd847f892b0</vt:lpwstr>
  </property>
  <property fmtid="{D5CDD505-2E9C-101B-9397-08002B2CF9AE}" pid="3" name="ZOTERO_PREF_1">
    <vt:lpwstr>&lt;data data-version="3" zotero-version="9.0.6"&gt;&lt;session id="XwkKh7Ie"/&gt;&lt;style id="http://www.zotero.org/styles/nature" hasBibliography="1" bibliographyStyleHasBeenSet="1"/&gt;&lt;prefs&gt;&lt;pref name="fieldType" value="Field"/&gt;&lt;pref name="automaticJournalAbbreviatio</vt:lpwstr>
  </property>
  <property fmtid="{D5CDD505-2E9C-101B-9397-08002B2CF9AE}" pid="4" name="ZOTERO_PREF_2">
    <vt:lpwstr>ns" value="true"/&gt;&lt;pref name="delayCitationUpdates" value="true"/&gt;&lt;/prefs&gt;&lt;/data&gt;</vt:lpwstr>
  </property>
</Properties>
</file>