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FB9B0" w14:textId="77777777" w:rsidR="00FF1194" w:rsidRDefault="00000000" w:rsidP="00FF1194">
      <w:pPr>
        <w:spacing w:after="120" w:line="360" w:lineRule="auto"/>
        <w:jc w:val="center"/>
        <w:rPr>
          <w:rFonts w:eastAsia="Times New Roman"/>
          <w:b/>
          <w:bCs/>
          <w:sz w:val="28"/>
          <w:szCs w:val="28"/>
        </w:rPr>
      </w:pPr>
      <w:bookmarkStart w:id="0" w:name="_Hlk236567850"/>
      <w:r>
        <w:rPr>
          <w:rFonts w:eastAsia="Times New Roman"/>
          <w:b/>
          <w:bCs/>
          <w:sz w:val="28"/>
          <w:szCs w:val="28"/>
        </w:rPr>
        <w:t>Supplementary Material</w:t>
      </w:r>
    </w:p>
    <w:p w14:paraId="58D8FF99" w14:textId="77777777" w:rsidR="00FF1194" w:rsidRDefault="00FF1194" w:rsidP="00FF1194">
      <w:pPr>
        <w:spacing w:after="120" w:line="360" w:lineRule="auto"/>
        <w:jc w:val="center"/>
        <w:rPr>
          <w:rFonts w:eastAsia="Times New Roman"/>
          <w:b/>
          <w:bCs/>
          <w:sz w:val="28"/>
          <w:szCs w:val="28"/>
        </w:rPr>
      </w:pPr>
    </w:p>
    <w:bookmarkEnd w:id="0"/>
    <w:p w14:paraId="6C8BB421" w14:textId="45064064" w:rsidR="00FF1194" w:rsidRPr="00500D37" w:rsidRDefault="00000000" w:rsidP="00FF1194">
      <w:pPr>
        <w:spacing w:after="60" w:line="360" w:lineRule="auto"/>
        <w:rPr>
          <w:b/>
        </w:rPr>
      </w:pPr>
      <w:r w:rsidRPr="00500D37">
        <w:rPr>
          <w:b/>
        </w:rPr>
        <w:t xml:space="preserve">Supplementary Table 1. Univariate Cox regression analysis </w:t>
      </w:r>
      <w:r w:rsidRPr="00276764">
        <w:rPr>
          <w:rFonts w:eastAsia="ＭＳ 明朝"/>
          <w:b/>
          <w:bCs/>
        </w:rPr>
        <w:t xml:space="preserve">of prognostic factors </w:t>
      </w:r>
      <w:r w:rsidRPr="00500D37">
        <w:rPr>
          <w:b/>
        </w:rPr>
        <w:t xml:space="preserve">using alternative AFP and LDH </w:t>
      </w:r>
      <w:r w:rsidRPr="00312506">
        <w:rPr>
          <w:rFonts w:eastAsia="ＭＳ 明朝"/>
          <w:b/>
          <w:bCs/>
        </w:rPr>
        <w:t xml:space="preserve">thresholds </w:t>
      </w:r>
      <w:r w:rsidRPr="00500D37">
        <w:rPr>
          <w:b/>
        </w:rPr>
        <w:t>in patients with mediastinal NSGCTs (n = 62</w:t>
      </w:r>
      <w:r w:rsidRPr="00276764">
        <w:rPr>
          <w:rFonts w:eastAsia="ＭＳ 明朝"/>
          <w:b/>
          <w:bCs/>
        </w:rPr>
        <w:t>)</w:t>
      </w:r>
    </w:p>
    <w:tbl>
      <w:tblPr>
        <w:tblW w:w="8505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4A0" w:firstRow="1" w:lastRow="0" w:firstColumn="1" w:lastColumn="0" w:noHBand="0" w:noVBand="1"/>
      </w:tblPr>
      <w:tblGrid>
        <w:gridCol w:w="3118"/>
        <w:gridCol w:w="1829"/>
        <w:gridCol w:w="865"/>
        <w:gridCol w:w="1843"/>
        <w:gridCol w:w="850"/>
      </w:tblGrid>
      <w:tr w:rsidR="00E40BCA" w14:paraId="77D22BCD" w14:textId="77777777" w:rsidTr="001A469A">
        <w:tc>
          <w:tcPr>
            <w:tcW w:w="3118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68A3FB6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Variable</w:t>
            </w:r>
          </w:p>
        </w:tc>
        <w:tc>
          <w:tcPr>
            <w:tcW w:w="1829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0BB0E58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RFS</w:t>
            </w:r>
          </w:p>
        </w:tc>
        <w:tc>
          <w:tcPr>
            <w:tcW w:w="865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63222F04" w14:textId="77777777" w:rsidR="00FF1194" w:rsidRPr="00500D37" w:rsidRDefault="00FF1194" w:rsidP="001A469A">
            <w:pPr>
              <w:spacing w:after="60" w:line="360" w:lineRule="auto"/>
            </w:pPr>
          </w:p>
        </w:tc>
        <w:tc>
          <w:tcPr>
            <w:tcW w:w="1843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1729F9E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OS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15625135" w14:textId="77777777" w:rsidR="00FF1194" w:rsidRPr="00500D37" w:rsidRDefault="00FF1194" w:rsidP="001A469A">
            <w:pPr>
              <w:spacing w:after="60" w:line="360" w:lineRule="auto"/>
            </w:pPr>
          </w:p>
        </w:tc>
      </w:tr>
      <w:tr w:rsidR="00E40BCA" w14:paraId="255C9800" w14:textId="77777777" w:rsidTr="001A469A">
        <w:tc>
          <w:tcPr>
            <w:tcW w:w="311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4E75799" w14:textId="77777777" w:rsidR="00FF1194" w:rsidRPr="00500D37" w:rsidRDefault="00FF1194" w:rsidP="001A469A">
            <w:pPr>
              <w:spacing w:after="60" w:line="360" w:lineRule="auto"/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1879CC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HR (95% CI)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05728F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089D8E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HR (95% CI)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9146FA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P</w:t>
            </w:r>
          </w:p>
        </w:tc>
      </w:tr>
      <w:tr w:rsidR="00E40BCA" w14:paraId="425A4104" w14:textId="77777777" w:rsidTr="001A469A">
        <w:tc>
          <w:tcPr>
            <w:tcW w:w="3118" w:type="dxa"/>
            <w:vAlign w:val="center"/>
            <w:hideMark/>
          </w:tcPr>
          <w:p w14:paraId="6C3FEDCC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AFP ≥</w:t>
            </w:r>
            <w:r>
              <w:t xml:space="preserve"> </w:t>
            </w:r>
            <w:r w:rsidRPr="00276764">
              <w:rPr>
                <w:rFonts w:eastAsia="ＭＳ 明朝"/>
              </w:rPr>
              <w:t>10</w:t>
            </w:r>
            <w:r>
              <w:rPr>
                <w:rFonts w:eastAsia="ＭＳ 明朝"/>
              </w:rPr>
              <w:t>,</w:t>
            </w:r>
            <w:r w:rsidRPr="00276764">
              <w:rPr>
                <w:rFonts w:eastAsia="ＭＳ 明朝"/>
              </w:rPr>
              <w:t>000</w:t>
            </w:r>
            <w:r w:rsidRPr="00500D37">
              <w:t xml:space="preserve"> ng/mL</w:t>
            </w:r>
          </w:p>
        </w:tc>
        <w:tc>
          <w:tcPr>
            <w:tcW w:w="1829" w:type="dxa"/>
            <w:vAlign w:val="center"/>
            <w:hideMark/>
          </w:tcPr>
          <w:p w14:paraId="6B9294FB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1.13 (0.52–2.45)</w:t>
            </w:r>
          </w:p>
        </w:tc>
        <w:tc>
          <w:tcPr>
            <w:tcW w:w="865" w:type="dxa"/>
            <w:vAlign w:val="center"/>
            <w:hideMark/>
          </w:tcPr>
          <w:p w14:paraId="716A5458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0.764</w:t>
            </w:r>
          </w:p>
        </w:tc>
        <w:tc>
          <w:tcPr>
            <w:tcW w:w="1843" w:type="dxa"/>
            <w:vAlign w:val="center"/>
            <w:hideMark/>
          </w:tcPr>
          <w:p w14:paraId="1732BB38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1.47 (0.55–3.92)</w:t>
            </w:r>
          </w:p>
        </w:tc>
        <w:tc>
          <w:tcPr>
            <w:tcW w:w="850" w:type="dxa"/>
            <w:vAlign w:val="center"/>
            <w:hideMark/>
          </w:tcPr>
          <w:p w14:paraId="10450194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0.442</w:t>
            </w:r>
          </w:p>
        </w:tc>
      </w:tr>
      <w:tr w:rsidR="00E40BCA" w14:paraId="016B4205" w14:textId="77777777" w:rsidTr="001A469A">
        <w:tc>
          <w:tcPr>
            <w:tcW w:w="3118" w:type="dxa"/>
            <w:vAlign w:val="center"/>
            <w:hideMark/>
          </w:tcPr>
          <w:p w14:paraId="1B7CFD6A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LDH ≥</w:t>
            </w:r>
            <w:r>
              <w:rPr>
                <w:rFonts w:eastAsia="ＭＳ 明朝"/>
              </w:rPr>
              <w:t xml:space="preserve"> </w:t>
            </w:r>
            <w:r w:rsidRPr="00500D37">
              <w:t>2.5 × ULN</w:t>
            </w:r>
          </w:p>
        </w:tc>
        <w:tc>
          <w:tcPr>
            <w:tcW w:w="1829" w:type="dxa"/>
            <w:vAlign w:val="center"/>
            <w:hideMark/>
          </w:tcPr>
          <w:p w14:paraId="25127F83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0.39 (0.01–1.65)</w:t>
            </w:r>
          </w:p>
        </w:tc>
        <w:tc>
          <w:tcPr>
            <w:tcW w:w="865" w:type="dxa"/>
            <w:vAlign w:val="center"/>
            <w:hideMark/>
          </w:tcPr>
          <w:p w14:paraId="51B27A50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0.199</w:t>
            </w:r>
          </w:p>
        </w:tc>
        <w:tc>
          <w:tcPr>
            <w:tcW w:w="1843" w:type="dxa"/>
            <w:vAlign w:val="center"/>
            <w:hideMark/>
          </w:tcPr>
          <w:p w14:paraId="470B31F8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0.33 (0.04–2.53)</w:t>
            </w:r>
          </w:p>
        </w:tc>
        <w:tc>
          <w:tcPr>
            <w:tcW w:w="850" w:type="dxa"/>
            <w:vAlign w:val="center"/>
            <w:hideMark/>
          </w:tcPr>
          <w:p w14:paraId="1388C7F2" w14:textId="77777777" w:rsidR="00FF1194" w:rsidRPr="00500D37" w:rsidRDefault="00000000" w:rsidP="001A469A">
            <w:pPr>
              <w:spacing w:after="60" w:line="360" w:lineRule="auto"/>
            </w:pPr>
            <w:r w:rsidRPr="00500D37">
              <w:t>0.286</w:t>
            </w:r>
          </w:p>
        </w:tc>
      </w:tr>
    </w:tbl>
    <w:p w14:paraId="0AD068A6" w14:textId="7CEA1F3B" w:rsidR="00FF1194" w:rsidRPr="00834A31" w:rsidRDefault="00000000" w:rsidP="00FF1194">
      <w:pPr>
        <w:spacing w:after="60" w:line="360" w:lineRule="auto"/>
        <w:rPr>
          <w:sz w:val="18"/>
          <w:szCs w:val="18"/>
        </w:rPr>
      </w:pPr>
      <w:r w:rsidRPr="00312506">
        <w:rPr>
          <w:rFonts w:eastAsia="ＭＳ 明朝"/>
          <w:sz w:val="18"/>
          <w:szCs w:val="18"/>
        </w:rPr>
        <w:t xml:space="preserve">AFP, alpha-fetoprotein; </w:t>
      </w:r>
      <w:r w:rsidRPr="00500D37">
        <w:rPr>
          <w:sz w:val="18"/>
        </w:rPr>
        <w:t xml:space="preserve">CI, confidence interval; </w:t>
      </w:r>
      <w:r w:rsidRPr="00312506">
        <w:rPr>
          <w:rFonts w:eastAsia="ＭＳ 明朝"/>
          <w:sz w:val="18"/>
          <w:szCs w:val="18"/>
        </w:rPr>
        <w:t xml:space="preserve">HR, hazard ratio; LDH, lactate dehydrogenase; OS, overall survival; </w:t>
      </w:r>
      <w:r w:rsidRPr="00500D37">
        <w:rPr>
          <w:sz w:val="18"/>
        </w:rPr>
        <w:t xml:space="preserve">RFS, relapse-free survival; </w:t>
      </w:r>
      <w:r w:rsidRPr="00312506">
        <w:rPr>
          <w:rFonts w:eastAsia="ＭＳ 明朝"/>
          <w:sz w:val="18"/>
          <w:szCs w:val="18"/>
        </w:rPr>
        <w:t>ULN, upper limit of normal. Other</w:t>
      </w:r>
      <w:r w:rsidRPr="00500D37">
        <w:rPr>
          <w:sz w:val="18"/>
        </w:rPr>
        <w:t xml:space="preserve"> previously reported cutoff values, including LDH ≥10 × ULN (n</w:t>
      </w:r>
      <w:r w:rsidRPr="00312506">
        <w:rPr>
          <w:rFonts w:eastAsia="ＭＳ 明朝"/>
          <w:sz w:val="18"/>
          <w:szCs w:val="18"/>
        </w:rPr>
        <w:t xml:space="preserve"> = </w:t>
      </w:r>
      <w:r w:rsidRPr="00500D37">
        <w:rPr>
          <w:sz w:val="18"/>
        </w:rPr>
        <w:t xml:space="preserve">0) and </w:t>
      </w:r>
      <w:proofErr w:type="spellStart"/>
      <w:r w:rsidRPr="00500D37">
        <w:rPr>
          <w:sz w:val="18"/>
        </w:rPr>
        <w:t>hCG</w:t>
      </w:r>
      <w:proofErr w:type="spellEnd"/>
      <w:r w:rsidRPr="00500D37">
        <w:rPr>
          <w:sz w:val="18"/>
        </w:rPr>
        <w:t xml:space="preserve"> ≥50,000 </w:t>
      </w:r>
      <w:proofErr w:type="spellStart"/>
      <w:r w:rsidRPr="00500D37">
        <w:rPr>
          <w:sz w:val="18"/>
        </w:rPr>
        <w:t>mIU</w:t>
      </w:r>
      <w:proofErr w:type="spellEnd"/>
      <w:r w:rsidRPr="00500D37">
        <w:rPr>
          <w:sz w:val="18"/>
        </w:rPr>
        <w:t>/mL (n</w:t>
      </w:r>
      <w:r w:rsidRPr="00312506">
        <w:rPr>
          <w:rFonts w:eastAsia="ＭＳ 明朝"/>
          <w:sz w:val="18"/>
          <w:szCs w:val="18"/>
        </w:rPr>
        <w:t xml:space="preserve"> = </w:t>
      </w:r>
      <w:r w:rsidRPr="00500D37">
        <w:rPr>
          <w:sz w:val="18"/>
        </w:rPr>
        <w:t xml:space="preserve">2), were not </w:t>
      </w:r>
      <w:r w:rsidRPr="00312506">
        <w:rPr>
          <w:rFonts w:eastAsia="ＭＳ 明朝"/>
          <w:sz w:val="18"/>
          <w:szCs w:val="18"/>
        </w:rPr>
        <w:t>analyzed</w:t>
      </w:r>
      <w:r w:rsidRPr="00500D37">
        <w:rPr>
          <w:sz w:val="18"/>
        </w:rPr>
        <w:t xml:space="preserve"> because too few patients met these criteria</w:t>
      </w:r>
      <w:r w:rsidRPr="00834A31">
        <w:rPr>
          <w:sz w:val="18"/>
          <w:szCs w:val="18"/>
        </w:rPr>
        <w:t>.</w:t>
      </w:r>
    </w:p>
    <w:p w14:paraId="38995A1D" w14:textId="77777777" w:rsidR="00CE74DA" w:rsidRDefault="00CE74DA"/>
    <w:sectPr w:rsidR="00CE74DA" w:rsidSect="00A738AE"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3F620" w14:textId="77777777" w:rsidR="006D5AD1" w:rsidRDefault="006D5AD1">
      <w:r>
        <w:separator/>
      </w:r>
    </w:p>
  </w:endnote>
  <w:endnote w:type="continuationSeparator" w:id="0">
    <w:p w14:paraId="63AFFE37" w14:textId="77777777" w:rsidR="006D5AD1" w:rsidRDefault="006D5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91386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97FD09" w14:textId="64CA1809" w:rsidR="00A738AE" w:rsidRDefault="00000000">
        <w:pPr>
          <w:pStyle w:val="af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44FDAE" w14:textId="77777777" w:rsidR="00A738AE" w:rsidRDefault="00A738AE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DD4DE" w14:textId="77777777" w:rsidR="006D5AD1" w:rsidRDefault="006D5AD1">
      <w:r>
        <w:separator/>
      </w:r>
    </w:p>
  </w:footnote>
  <w:footnote w:type="continuationSeparator" w:id="0">
    <w:p w14:paraId="034A2335" w14:textId="77777777" w:rsidR="006D5AD1" w:rsidRDefault="006D5A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97B2B"/>
    <w:multiLevelType w:val="multilevel"/>
    <w:tmpl w:val="DBA0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671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79"/>
    <w:rsid w:val="000365F7"/>
    <w:rsid w:val="001A1F0E"/>
    <w:rsid w:val="001A469A"/>
    <w:rsid w:val="00224C79"/>
    <w:rsid w:val="00231967"/>
    <w:rsid w:val="00276764"/>
    <w:rsid w:val="002E1A25"/>
    <w:rsid w:val="00312506"/>
    <w:rsid w:val="004E19CD"/>
    <w:rsid w:val="00500D37"/>
    <w:rsid w:val="005453DA"/>
    <w:rsid w:val="005867D3"/>
    <w:rsid w:val="005B4CF6"/>
    <w:rsid w:val="006D5AD1"/>
    <w:rsid w:val="00834A31"/>
    <w:rsid w:val="0090113A"/>
    <w:rsid w:val="009B119A"/>
    <w:rsid w:val="00A50713"/>
    <w:rsid w:val="00A738AE"/>
    <w:rsid w:val="00BC06AC"/>
    <w:rsid w:val="00C14816"/>
    <w:rsid w:val="00CE74DA"/>
    <w:rsid w:val="00D97353"/>
    <w:rsid w:val="00DB5D1E"/>
    <w:rsid w:val="00E40BCA"/>
    <w:rsid w:val="00EA227D"/>
    <w:rsid w:val="00EE38E6"/>
    <w:rsid w:val="00EF79F6"/>
    <w:rsid w:val="00FE2D6A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738E44"/>
  <w15:chartTrackingRefBased/>
  <w15:docId w15:val="{B39FD405-0A48-49BB-A2B8-9C8FDC035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194"/>
    <w:pPr>
      <w:widowControl w:val="0"/>
      <w:suppressAutoHyphens/>
      <w:spacing w:after="0" w:line="240" w:lineRule="auto"/>
    </w:pPr>
    <w:rPr>
      <w:rFonts w:ascii="Times New Roman" w:hAnsi="Times New Roman" w:cs="Times New Roman"/>
      <w:kern w:val="0"/>
      <w:lang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24C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4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4C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4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4C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4C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4C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4C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4C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24C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224C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224C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224C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224C79"/>
    <w:rPr>
      <w:rFonts w:eastAsiaTheme="majorEastAsia" w:cstheme="majorBidi"/>
      <w:color w:val="2F5496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224C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224C79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224C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224C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4C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24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4C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24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4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24C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4C7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24C7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24C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24C7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24C79"/>
    <w:rPr>
      <w:b/>
      <w:bCs/>
      <w:smallCaps/>
      <w:color w:val="2F5496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qFormat/>
    <w:rsid w:val="00FF1194"/>
    <w:rPr>
      <w:sz w:val="18"/>
      <w:szCs w:val="18"/>
    </w:rPr>
  </w:style>
  <w:style w:type="character" w:customStyle="1" w:styleId="ab">
    <w:name w:val="コメント文字列 (文字)"/>
    <w:basedOn w:val="a0"/>
    <w:link w:val="ac"/>
    <w:uiPriority w:val="99"/>
    <w:qFormat/>
    <w:rsid w:val="00FF1194"/>
  </w:style>
  <w:style w:type="paragraph" w:styleId="ac">
    <w:name w:val="annotation text"/>
    <w:basedOn w:val="a"/>
    <w:link w:val="ab"/>
    <w:uiPriority w:val="99"/>
    <w:unhideWhenUsed/>
    <w:rsid w:val="00FF1194"/>
    <w:rPr>
      <w:rFonts w:asciiTheme="minorHAnsi" w:hAnsiTheme="minorHAnsi" w:cstheme="minorBidi"/>
      <w:kern w:val="2"/>
      <w:lang w:eastAsia="zh-CN"/>
      <w14:ligatures w14:val="standardContextual"/>
    </w:rPr>
  </w:style>
  <w:style w:type="character" w:customStyle="1" w:styleId="CommentTextChar1">
    <w:name w:val="Comment Text Char1"/>
    <w:basedOn w:val="a0"/>
    <w:uiPriority w:val="99"/>
    <w:semiHidden/>
    <w:rsid w:val="00FF1194"/>
    <w:rPr>
      <w:rFonts w:ascii="Times New Roman" w:hAnsi="Times New Roman" w:cs="Times New Roman"/>
      <w:kern w:val="0"/>
      <w:sz w:val="20"/>
      <w:szCs w:val="20"/>
      <w:lang w:eastAsia="ja-JP"/>
      <w14:ligatures w14:val="none"/>
    </w:rPr>
  </w:style>
  <w:style w:type="character" w:styleId="ad">
    <w:name w:val="Hyperlink"/>
    <w:uiPriority w:val="99"/>
    <w:unhideWhenUsed/>
    <w:rsid w:val="00FF1194"/>
    <w:rPr>
      <w:color w:val="0563C1"/>
      <w:u w:val="single"/>
    </w:rPr>
  </w:style>
  <w:style w:type="paragraph" w:styleId="ae">
    <w:name w:val="Revision"/>
    <w:hidden/>
    <w:uiPriority w:val="99"/>
    <w:semiHidden/>
    <w:rsid w:val="00FF1194"/>
    <w:pPr>
      <w:spacing w:after="0" w:line="240" w:lineRule="auto"/>
    </w:pPr>
    <w:rPr>
      <w:rFonts w:ascii="Times New Roman" w:hAnsi="Times New Roman" w:cs="Times New Roman"/>
      <w:kern w:val="0"/>
      <w:lang w:eastAsia="ja-JP"/>
      <w14:ligatures w14:val="none"/>
    </w:rPr>
  </w:style>
  <w:style w:type="paragraph" w:styleId="af">
    <w:name w:val="annotation subject"/>
    <w:basedOn w:val="ac"/>
    <w:next w:val="ac"/>
    <w:link w:val="af0"/>
    <w:uiPriority w:val="99"/>
    <w:semiHidden/>
    <w:unhideWhenUsed/>
    <w:rsid w:val="00FF1194"/>
    <w:rPr>
      <w:rFonts w:ascii="Times New Roman" w:hAnsi="Times New Roman" w:cs="Times New Roman"/>
      <w:b/>
      <w:bCs/>
      <w:kern w:val="0"/>
      <w:sz w:val="20"/>
      <w:szCs w:val="20"/>
      <w:lang w:eastAsia="ja-JP"/>
      <w14:ligatures w14:val="none"/>
    </w:rPr>
  </w:style>
  <w:style w:type="character" w:customStyle="1" w:styleId="af0">
    <w:name w:val="コメント内容 (文字)"/>
    <w:basedOn w:val="ab"/>
    <w:link w:val="af"/>
    <w:uiPriority w:val="99"/>
    <w:semiHidden/>
    <w:rsid w:val="00FF1194"/>
    <w:rPr>
      <w:rFonts w:ascii="Times New Roman" w:hAnsi="Times New Roman" w:cs="Times New Roman"/>
      <w:b/>
      <w:bCs/>
      <w:kern w:val="0"/>
      <w:sz w:val="20"/>
      <w:szCs w:val="20"/>
      <w:lang w:eastAsia="ja-JP"/>
      <w14:ligatures w14:val="none"/>
    </w:rPr>
  </w:style>
  <w:style w:type="paragraph" w:styleId="af1">
    <w:name w:val="header"/>
    <w:basedOn w:val="a"/>
    <w:link w:val="af2"/>
    <w:uiPriority w:val="99"/>
    <w:unhideWhenUsed/>
    <w:rsid w:val="00A738AE"/>
    <w:pPr>
      <w:tabs>
        <w:tab w:val="center" w:pos="4680"/>
        <w:tab w:val="right" w:pos="9360"/>
      </w:tabs>
    </w:pPr>
  </w:style>
  <w:style w:type="character" w:customStyle="1" w:styleId="af2">
    <w:name w:val="ヘッダー (文字)"/>
    <w:basedOn w:val="a0"/>
    <w:link w:val="af1"/>
    <w:uiPriority w:val="99"/>
    <w:rsid w:val="00A738AE"/>
    <w:rPr>
      <w:rFonts w:ascii="Times New Roman" w:hAnsi="Times New Roman" w:cs="Times New Roman"/>
      <w:kern w:val="0"/>
      <w:lang w:eastAsia="ja-JP"/>
      <w14:ligatures w14:val="none"/>
    </w:rPr>
  </w:style>
  <w:style w:type="paragraph" w:styleId="af3">
    <w:name w:val="footer"/>
    <w:basedOn w:val="a"/>
    <w:link w:val="af4"/>
    <w:uiPriority w:val="99"/>
    <w:unhideWhenUsed/>
    <w:rsid w:val="00A738AE"/>
    <w:pPr>
      <w:tabs>
        <w:tab w:val="center" w:pos="4680"/>
        <w:tab w:val="right" w:pos="9360"/>
      </w:tabs>
    </w:pPr>
  </w:style>
  <w:style w:type="character" w:customStyle="1" w:styleId="af4">
    <w:name w:val="フッター (文字)"/>
    <w:basedOn w:val="a0"/>
    <w:link w:val="af3"/>
    <w:uiPriority w:val="99"/>
    <w:rsid w:val="00A738AE"/>
    <w:rPr>
      <w:rFonts w:ascii="Times New Roman" w:hAnsi="Times New Roman" w:cs="Times New Roman"/>
      <w:kern w:val="0"/>
      <w:lang w:eastAsia="ja-JP"/>
      <w14:ligatures w14:val="none"/>
    </w:rPr>
  </w:style>
  <w:style w:type="character" w:styleId="af5">
    <w:name w:val="line number"/>
    <w:basedOn w:val="a0"/>
    <w:uiPriority w:val="99"/>
    <w:semiHidden/>
    <w:unhideWhenUsed/>
    <w:rsid w:val="00A738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F36E2-26E3-45D2-9DC1-614E22705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Author</dc:creator>
  <cp:lastModifiedBy>Shimoi Tatsunori（下井 辰徳）</cp:lastModifiedBy>
  <cp:revision>2</cp:revision>
  <dcterms:created xsi:type="dcterms:W3CDTF">2026-09-24T13:09:00Z</dcterms:created>
  <dcterms:modified xsi:type="dcterms:W3CDTF">2026-09-24T13:09:00Z</dcterms:modified>
</cp:coreProperties>
</file>