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1B21E" w14:textId="77777777" w:rsidR="00B36339" w:rsidRPr="00D25B59" w:rsidRDefault="00B36339" w:rsidP="00B36339">
      <w:pPr>
        <w:rPr>
          <w:rFonts w:ascii="Times New Roman" w:hAnsi="Times New Roman" w:cs="Times New Roman"/>
          <w:b/>
          <w:bCs/>
        </w:rPr>
      </w:pPr>
      <w:r>
        <w:rPr>
          <w:rFonts w:ascii="Times New Roman" w:hAnsi="Times New Roman" w:cs="Times New Roman"/>
          <w:b/>
          <w:bCs/>
        </w:rPr>
        <w:t>Supplementary Table S4.</w:t>
      </w:r>
      <w:r w:rsidRPr="00D25B59">
        <w:rPr>
          <w:rFonts w:ascii="Times New Roman" w:hAnsi="Times New Roman" w:cs="Times New Roman"/>
          <w:b/>
          <w:bCs/>
        </w:rPr>
        <w:t xml:space="preserve"> Summary of critical appraisal for all included texts.</w:t>
      </w:r>
    </w:p>
    <w:tbl>
      <w:tblPr>
        <w:tblStyle w:val="PlainTable2"/>
        <w:tblW w:w="0" w:type="auto"/>
        <w:tblLook w:val="04A0" w:firstRow="1" w:lastRow="0" w:firstColumn="1" w:lastColumn="0" w:noHBand="0" w:noVBand="1"/>
      </w:tblPr>
      <w:tblGrid>
        <w:gridCol w:w="2446"/>
        <w:gridCol w:w="1741"/>
        <w:gridCol w:w="1451"/>
        <w:gridCol w:w="1343"/>
        <w:gridCol w:w="6977"/>
      </w:tblGrid>
      <w:tr w:rsidR="00B36339" w:rsidRPr="00D25B59" w14:paraId="64F8EAD2" w14:textId="77777777" w:rsidTr="003712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EAEAD7" w14:textId="77777777" w:rsidR="00B36339" w:rsidRPr="00D25B59" w:rsidRDefault="00B36339" w:rsidP="003712C7">
            <w:pPr>
              <w:spacing w:before="60" w:after="60"/>
              <w:jc w:val="center"/>
              <w:rPr>
                <w:rFonts w:ascii="Times New Roman" w:hAnsi="Times New Roman" w:cs="Times New Roman"/>
                <w:b w:val="0"/>
                <w:bCs w:val="0"/>
              </w:rPr>
            </w:pPr>
            <w:r w:rsidRPr="00D25B59">
              <w:rPr>
                <w:rFonts w:ascii="Times New Roman" w:hAnsi="Times New Roman" w:cs="Times New Roman"/>
              </w:rPr>
              <w:t>Author, year, reference</w:t>
            </w:r>
          </w:p>
        </w:tc>
        <w:tc>
          <w:tcPr>
            <w:tcW w:w="0" w:type="auto"/>
            <w:vAlign w:val="center"/>
          </w:tcPr>
          <w:p w14:paraId="653FE796" w14:textId="77777777" w:rsidR="00B36339" w:rsidRPr="00D25B59" w:rsidRDefault="00B36339"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25B59">
              <w:rPr>
                <w:rFonts w:ascii="Times New Roman" w:hAnsi="Times New Roman" w:cs="Times New Roman"/>
              </w:rPr>
              <w:t>Study design</w:t>
            </w:r>
          </w:p>
        </w:tc>
        <w:tc>
          <w:tcPr>
            <w:tcW w:w="0" w:type="auto"/>
            <w:vAlign w:val="center"/>
          </w:tcPr>
          <w:p w14:paraId="5FA44925" w14:textId="77777777" w:rsidR="00B36339" w:rsidRPr="00D25B59" w:rsidRDefault="00B36339"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25B59">
              <w:rPr>
                <w:rFonts w:ascii="Times New Roman" w:hAnsi="Times New Roman" w:cs="Times New Roman"/>
              </w:rPr>
              <w:t>Appraisal tool</w:t>
            </w:r>
          </w:p>
        </w:tc>
        <w:tc>
          <w:tcPr>
            <w:tcW w:w="0" w:type="auto"/>
            <w:vAlign w:val="center"/>
          </w:tcPr>
          <w:p w14:paraId="3C97009C" w14:textId="77777777" w:rsidR="00B36339" w:rsidRPr="00D25B59" w:rsidRDefault="00B36339"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25B59">
              <w:rPr>
                <w:rFonts w:ascii="Times New Roman" w:hAnsi="Times New Roman" w:cs="Times New Roman"/>
              </w:rPr>
              <w:t>Study quality</w:t>
            </w:r>
          </w:p>
        </w:tc>
        <w:tc>
          <w:tcPr>
            <w:tcW w:w="0" w:type="auto"/>
            <w:vAlign w:val="center"/>
          </w:tcPr>
          <w:p w14:paraId="07FF374B" w14:textId="77777777" w:rsidR="00B36339" w:rsidRPr="00D25B59" w:rsidRDefault="00B36339"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Key</w:t>
            </w:r>
            <w:r w:rsidRPr="00D25B59">
              <w:rPr>
                <w:rFonts w:ascii="Times New Roman" w:hAnsi="Times New Roman" w:cs="Times New Roman"/>
              </w:rPr>
              <w:t xml:space="preserve"> limitations</w:t>
            </w:r>
          </w:p>
        </w:tc>
      </w:tr>
      <w:tr w:rsidR="00B36339" w:rsidRPr="00D25B59" w14:paraId="2B743612"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556B6E"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Aragón et al., 2007,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NFVlMq2K","properties":{"unsorted":false,"formattedCitation":"[20]","plainCitation":"[20]","noteIndex":0},"citationItems":[{"id":341,"uris":["http://zotero.org/users/local/knW7qVji/items/52G7A26V"],"itemData":{"id":341,"type":"article-journal","container-title":"Clinical Infectious Diseases","DOI":"10.1086/510593","ISSN":"1058-4838, 1537-6591","issue":"3","journalAbbreviation":"Clin Inect Dis","language":"en","page":"327-334","source":"DOI.org (Crossref)","title":"Case-Control Study of Shigellosis in San Francisco: The Role of Sexual Transmission and HIV Infection","title-short":"Case-Control Study of Shigellosis in San Francisco","volume":"44","author":[{"family":"Aragon","given":"T. J."},{"family":"Vugia","given":"D. J."},{"family":"Shallow","given":"S."},{"family":"Samuel","given":"M. C."},{"family":"Reingold","given":"A."},{"family":"Angulo","given":"F. J."},{"family":"Bradford","given":"W. Z."}],"issued":{"date-parts":[["2007",2,1]]}}}],"schema":"https://github.com/citation-style-language/schema/raw/master/csl-citation.json"}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[20]</w:t>
            </w:r>
            <w:r w:rsidRPr="00D25B59">
              <w:rPr>
                <w:rFonts w:ascii="Times New Roman" w:hAnsi="Times New Roman" w:cs="Times New Roman"/>
              </w:rPr>
              <w:fldChar w:fldCharType="end"/>
            </w:r>
          </w:p>
        </w:tc>
        <w:tc>
          <w:tcPr>
            <w:tcW w:w="0" w:type="auto"/>
            <w:vAlign w:val="center"/>
          </w:tcPr>
          <w:p w14:paraId="34073F71"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Case-control</w:t>
            </w:r>
          </w:p>
        </w:tc>
        <w:tc>
          <w:tcPr>
            <w:tcW w:w="0" w:type="auto"/>
            <w:vAlign w:val="center"/>
          </w:tcPr>
          <w:p w14:paraId="15199BC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127A174F"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70DCE865" w14:textId="77777777" w:rsidR="00B36339" w:rsidRPr="00D25B59" w:rsidRDefault="00B36339" w:rsidP="00B36339">
            <w:pPr>
              <w:pStyle w:val="ListParagraph"/>
              <w:numPr>
                <w:ilvl w:val="0"/>
                <w:numId w:val="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Strict inclusion criteria </w:t>
            </w:r>
            <w:r>
              <w:rPr>
                <w:rFonts w:ascii="Times New Roman" w:hAnsi="Times New Roman" w:cs="Times New Roman"/>
              </w:rPr>
              <w:t xml:space="preserve">and </w:t>
            </w:r>
            <w:r w:rsidRPr="00D25B59">
              <w:rPr>
                <w:rFonts w:ascii="Times New Roman" w:hAnsi="Times New Roman" w:cs="Times New Roman"/>
              </w:rPr>
              <w:t xml:space="preserve">limited the sample representativeness </w:t>
            </w:r>
            <w:r>
              <w:rPr>
                <w:rFonts w:ascii="Times New Roman" w:hAnsi="Times New Roman" w:cs="Times New Roman"/>
              </w:rPr>
              <w:t xml:space="preserve">increased the risk of </w:t>
            </w:r>
            <w:r w:rsidRPr="00D25B59">
              <w:rPr>
                <w:rFonts w:ascii="Times New Roman" w:hAnsi="Times New Roman" w:cs="Times New Roman"/>
              </w:rPr>
              <w:t>increased selection bias</w:t>
            </w:r>
            <w:r>
              <w:rPr>
                <w:rFonts w:ascii="Times New Roman" w:hAnsi="Times New Roman" w:cs="Times New Roman"/>
              </w:rPr>
              <w:t xml:space="preserve">. </w:t>
            </w:r>
          </w:p>
          <w:p w14:paraId="65CC5B75" w14:textId="77777777" w:rsidR="00B36339" w:rsidRPr="00D25B59" w:rsidRDefault="00B36339" w:rsidP="00B36339">
            <w:pPr>
              <w:pStyle w:val="ListParagraph"/>
              <w:numPr>
                <w:ilvl w:val="0"/>
                <w:numId w:val="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Controls were not screened for asymptomatic shigellosis, possibly introducing misclassification bias.</w:t>
            </w:r>
          </w:p>
          <w:p w14:paraId="6BDD7F94" w14:textId="77777777" w:rsidR="00B36339" w:rsidRPr="00D25B59" w:rsidRDefault="00B36339" w:rsidP="00B36339">
            <w:pPr>
              <w:pStyle w:val="ListParagraph"/>
              <w:numPr>
                <w:ilvl w:val="0"/>
                <w:numId w:val="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Sexual behavioural data w</w:t>
            </w:r>
            <w:r>
              <w:rPr>
                <w:rFonts w:ascii="Times New Roman" w:hAnsi="Times New Roman" w:cs="Times New Roman"/>
              </w:rPr>
              <w:t>ere</w:t>
            </w:r>
            <w:r w:rsidRPr="00D25B59">
              <w:rPr>
                <w:rFonts w:ascii="Times New Roman" w:hAnsi="Times New Roman" w:cs="Times New Roman"/>
              </w:rPr>
              <w:t xml:space="preserve"> collected through interviews</w:t>
            </w:r>
            <w:r>
              <w:rPr>
                <w:rFonts w:ascii="Times New Roman" w:hAnsi="Times New Roman" w:cs="Times New Roman"/>
              </w:rPr>
              <w:t xml:space="preserve"> and increased the risk of </w:t>
            </w:r>
            <w:r w:rsidRPr="00D25B59">
              <w:rPr>
                <w:rFonts w:ascii="Times New Roman" w:hAnsi="Times New Roman" w:cs="Times New Roman"/>
              </w:rPr>
              <w:t>social-desirability bias.</w:t>
            </w:r>
          </w:p>
        </w:tc>
      </w:tr>
      <w:tr w:rsidR="00B36339" w:rsidRPr="00D25B59" w14:paraId="71186649"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244B1A32" w14:textId="77777777" w:rsidR="00B36339" w:rsidRPr="00D25B59" w:rsidRDefault="00B36339" w:rsidP="003712C7">
            <w:pPr>
              <w:spacing w:before="60" w:after="60"/>
              <w:jc w:val="center"/>
              <w:rPr>
                <w:rFonts w:ascii="Times New Roman" w:hAnsi="Times New Roman" w:cs="Times New Roman"/>
              </w:rPr>
            </w:pPr>
            <w:proofErr w:type="spellStart"/>
            <w:r w:rsidRPr="00D25B59">
              <w:rPr>
                <w:rFonts w:ascii="Times New Roman" w:hAnsi="Times New Roman" w:cs="Times New Roman"/>
              </w:rPr>
              <w:t>N</w:t>
            </w:r>
            <w:r>
              <w:rPr>
                <w:rFonts w:ascii="Times New Roman" w:hAnsi="Times New Roman" w:cs="Times New Roman"/>
              </w:rPr>
              <w:t>kenfou</w:t>
            </w:r>
            <w:proofErr w:type="spellEnd"/>
            <w:r w:rsidRPr="00D25B59">
              <w:rPr>
                <w:rFonts w:ascii="Times New Roman" w:hAnsi="Times New Roman" w:cs="Times New Roman"/>
              </w:rPr>
              <w:t xml:space="preserve"> et al., 2019,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axF0aIEQ","properties":{"unsorted":false,"formattedCitation":"[57]","plainCitation":"[57]","noteIndex":0},"citationItems":[{"id":342,"uris":["http://zotero.org/users/local/knW7qVji/items/89Y3LMI5"],"itemData":{"id":342,"type":"article-journal","container-title":"Pan African Medical Journal","DOI":"10.11604/pamj.2019.34.24.15039","ISSN":"1937-8688","journalAbbreviation":"Pan Afr Med J","language":"en","source":"DOI.org (Crossref)","title":"Evaluation of the effect of HIV virus on the digestive flora of infected versus non infected infants","URL":"http://www.panafrican-med-journal.com/content/article/34/24/full/","volume":"34","author":[{"family":"Nkenfou","given":"Celine Nguefeu"},{"family":"Abange","given":"William Baiye"},{"family":"Gonsu","given":"Hortense Kamga"},{"family":"Kamgaing","given":"Nelly"},{"family":"Lyonga","given":"Emilia Mbamyah"},{"family":"Anoubissi","given":"Jean De Dieu"},{"family":"Ndjolo","given":"Alexis"},{"family":"Koki","given":"Paul"}],"accessed":{"date-parts":[["2026",7,4]]},"issued":{"date-parts":[["2019",9,11]]}}}],"schema":"https://github.com/citation-style-language/schema/raw/master/csl-citation.json"}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[57]</w:t>
            </w:r>
            <w:r w:rsidRPr="00D25B59">
              <w:rPr>
                <w:rFonts w:ascii="Times New Roman" w:hAnsi="Times New Roman" w:cs="Times New Roman"/>
              </w:rPr>
              <w:fldChar w:fldCharType="end"/>
            </w:r>
          </w:p>
        </w:tc>
        <w:tc>
          <w:tcPr>
            <w:tcW w:w="0" w:type="auto"/>
            <w:vAlign w:val="center"/>
          </w:tcPr>
          <w:p w14:paraId="7038B8D8"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4B1817A7"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76502BC5"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Low</w:t>
            </w:r>
          </w:p>
        </w:tc>
        <w:tc>
          <w:tcPr>
            <w:tcW w:w="0" w:type="auto"/>
            <w:vAlign w:val="center"/>
          </w:tcPr>
          <w:p w14:paraId="7CAC170E" w14:textId="77777777" w:rsidR="00B36339" w:rsidRPr="00D25B59" w:rsidRDefault="00B36339" w:rsidP="00B36339">
            <w:pPr>
              <w:pStyle w:val="ListParagraph"/>
              <w:numPr>
                <w:ilvl w:val="0"/>
                <w:numId w:val="2"/>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Used culture-based methods to identify gut bacteria </w:t>
            </w:r>
            <w:r>
              <w:rPr>
                <w:rFonts w:ascii="Times New Roman" w:hAnsi="Times New Roman" w:cs="Times New Roman"/>
              </w:rPr>
              <w:t>m</w:t>
            </w:r>
            <w:r w:rsidRPr="00D25B59">
              <w:rPr>
                <w:rFonts w:ascii="Times New Roman" w:hAnsi="Times New Roman" w:cs="Times New Roman"/>
              </w:rPr>
              <w:t>ost gut bacteria cannot be successfully cultured.</w:t>
            </w:r>
          </w:p>
          <w:p w14:paraId="70FD62E7" w14:textId="77777777" w:rsidR="00B36339" w:rsidRPr="00D25B59" w:rsidRDefault="00B36339" w:rsidP="00B36339">
            <w:pPr>
              <w:pStyle w:val="ListParagraph"/>
              <w:numPr>
                <w:ilvl w:val="0"/>
                <w:numId w:val="2"/>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Data analysis was not sufficiently rigorous and did not adjust for confounders.</w:t>
            </w:r>
          </w:p>
          <w:p w14:paraId="43C82AA2" w14:textId="77777777" w:rsidR="00B36339" w:rsidRPr="00D25B59" w:rsidRDefault="00B36339" w:rsidP="00B36339">
            <w:pPr>
              <w:pStyle w:val="ListParagraph"/>
              <w:numPr>
                <w:ilvl w:val="0"/>
                <w:numId w:val="2"/>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No </w:t>
            </w:r>
            <w:r w:rsidRPr="00D25B59">
              <w:rPr>
                <w:rFonts w:ascii="Times New Roman" w:hAnsi="Times New Roman" w:cs="Times New Roman"/>
              </w:rPr>
              <w:t xml:space="preserve">discussion </w:t>
            </w:r>
            <w:r>
              <w:rPr>
                <w:rFonts w:ascii="Times New Roman" w:hAnsi="Times New Roman" w:cs="Times New Roman"/>
              </w:rPr>
              <w:t xml:space="preserve">of </w:t>
            </w:r>
            <w:r w:rsidRPr="00D25B59">
              <w:rPr>
                <w:rFonts w:ascii="Times New Roman" w:hAnsi="Times New Roman" w:cs="Times New Roman"/>
              </w:rPr>
              <w:t>conflicting findings.</w:t>
            </w:r>
          </w:p>
        </w:tc>
      </w:tr>
      <w:tr w:rsidR="00B36339" w:rsidRPr="00D25B59" w14:paraId="719A4409"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18EBC4" w14:textId="77777777" w:rsidR="00B36339" w:rsidRPr="00D25B59" w:rsidRDefault="00B36339" w:rsidP="003712C7">
            <w:pPr>
              <w:spacing w:before="60" w:after="60"/>
              <w:jc w:val="center"/>
              <w:rPr>
                <w:rFonts w:ascii="Times New Roman" w:hAnsi="Times New Roman" w:cs="Times New Roman"/>
              </w:rPr>
            </w:pPr>
            <w:proofErr w:type="spellStart"/>
            <w:r w:rsidRPr="00D25B59">
              <w:rPr>
                <w:rFonts w:ascii="Times New Roman" w:hAnsi="Times New Roman" w:cs="Times New Roman"/>
              </w:rPr>
              <w:t>Braam</w:t>
            </w:r>
            <w:proofErr w:type="spellEnd"/>
            <w:r w:rsidRPr="00D25B59">
              <w:rPr>
                <w:rFonts w:ascii="Times New Roman" w:hAnsi="Times New Roman" w:cs="Times New Roman"/>
              </w:rPr>
              <w:t xml:space="preserve">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ql4obmCr","properties":{"unsorted":false,"formattedCitation":"[49]","plainCitation":"[49]","noteIndex":0},"citationItems":[{"id":345,"uris":["http://zotero.org/users/local/knW7qVji/items/FCPVXXPC"],"itemData":{"id":345,"type":"article-journal","abstract":"Introduction\n              \n                Shigellosis is a reportable infectious disease. It can present as a severe bloody diarrhoea but is often asymptomatic.\n                Shigella\n                can be sexually transmissible. We performed a study among symptomatic and asymptomatic men who have sex with men (MSM) to assess the prevalence of\n                Shigella, Salmonella\n                and\n                Campylobacter\n                .\n              \n            \n            \n              Methods\n              \n                From March to June 2020, MSM attending the Amsterdam centre for sexual health were consecutively included. Predefined minimal numbers of inclusion of 150, 100 and 50 were determined, respectively, for MSM who reported no diarrhoea, diarrhoea during last month or diarrhoea on the day of visit to clinic. Anal samples were tested for the presence of\n                Shigella\n                ,\n                Salmonella\n                and\n                Campylobacter\n                . During the same period, the frequency of these bacteria was assessed in routinely tested samples requested by general physicians or nursing home physicians. Characteristics of included MSM were compared between the men with different diarrhoea anamnesis, and the prevalence of shigellosis was estimated in each group.\n              \n            \n            \n              Results\n              \n                We included 212 MSM without diarrhoea, 109 MSM who recently had diarrhoea and 68 MSM who reported diarrhoea on the day of clinic visit. Thirteen (3.3%, 95% CI 1.7% to 5.6%) MSM were infected with\n                Shigella\n                , none with\n                Salmonella\n                and 7 (1.8%, 95% CI 0.7% to 3.7%) with\n                Campylobacter. Shigella\n                prevalence was 2.8% (95% CI 1.0% to 6.1%) in asymptomatic men, 3.7% (95% CI 1.0% to 9.1%) in men who recently had diarrhoea and 4.4% (95% CI 0.9% to 12.4%) in men with current diarrhoea (p=0.799).\n                Shigella\n                was more frequently found in MSM who had used pre-exposure prophylaxis (PrEP) in the preceding 3 months (10/151), compared with those not having used PrEP (2/146) or being HIV positive (1/75) (p=0.038).\n                Shigella\n                was significantly more often detected among MSM compared with routinely obtained faecal samples being 11/770 (1.4%) (p=0.031).\n              \n            \n            \n              Conclusion\n              \n                Shigella\n                infections are relatively common in both symptomatic and asymptomatic MSM. Future studies should focus on the risk of onward transmission via asymptomatic persons.\n              \n              \n                Samenvatting\n              \n              \n                Introductie\n              \n              \n                Shigellose is een meldingsplichtige infectieziekte. Het kan zich presenteren als een ernstige bloederige diarree, maar is vaak asymptomatisch.\n                Shigella\n                kan seksueel overdraagbaar zijn. We hebben een onderzoek uitgevoerd onder symptomatische en asymptomatische mannen die seks hebben met mannen (MSM) om de prevalentie van\n                Shigella, Salmonella\n                en\n                Campylobacter\n                te bepalen.\n              \n              \n                Methoden\n              \n              \n                Van maart tot juni 2020 werden achtereenvolgens MSM van het Amsterdamse centrum voor seksuele gezondheid opgenomen. Vooraf gedefinieerde minimale aantallen van inclusie van respectievelijk 150, 100 en 50 waren bepaald voor MSM die geen diarree, diarree in de afgelopen maand of diarree op de dag van bezoek aan de kliniek meldden. Anale monsters werden getest op de aanwezigheid van\n                Shigella, Salmonella\n                en\n                Campylobacter\n                . In dezelfde periode werd de frequentie van deze bacteriën bepaald in routinematig geteste monsters aangevraagd door huisartsen of verpleeghuisartsen. Kenmerken van geïncludeerde MSM werden vergeleken tussen mannen met verschillende diarree anamnese, en de prevalentie van shigellose werd in elke groep geschat.\n              \n              \n                Resultaten\n              \n              \n                We includeerden 212 MSM zonder diarree, 109 MSM die onlangs diarree hadden en 68 MSM die diarree meldden op de dag van het bezoek aan de kliniek. Dertien (3,3%, 95% CI 1,7-5,6%) MSM waren geïnfecteerd met\n                Shigella\n                , geen enkele met\n                Salmonella\n                , en 7 (1,8%, 95% CI 0,7-3,7%) met\n                Campylobacter\n                . De prevalentie van\n                Shigella\n                was 2,8% (95%CI 1,0-6,1%) bij asymptomatische mannen, 3,7% (95%CI 1,0-9,1%) bij mannen die recent diarree hadden en 4,4% (95%CI 0,9-12,4%) bij mannen met huidige diarree (P=0,799).\n                Shigella\n                werd vaker gevonden bij MSM die in de voorgaande drie maanden (10/151) PrEP hadden gebruikt dan bij mensen die geen PrEP hadden gebruikt (2/146) of hiv-positief waren (1/75) (p=0,038).\n                Shigella\n                werd significant vaker gedetecteerd bij MSM in vergelijking met routinematig verkregen fecale monsters, namelijk 11/770 (1,4%) (p=0,031).\n              \n              \n                Conclusie\n              \n              \n                Shigella\n                infecties komen relatief vaak voor bij zowel symptomatische als asymptomatische MSM. Toekomstige studies moeten zich richten op het risico van verdere overdracht via asymptomatische personen.","container-title":"Sexually Transmitted Infections","DOI":"10.1136/sextrans-2021-055274","ISSN":"1368-4973, 1472-3263","issue":"8","journalAbbreviation":"Sex Transm Infect","language":"en","page":"564-569","source":"DOI.org (Crossref)","title":"&lt;i&gt;Shigella&lt;/i&gt; is common in symptomatic and asymptomatic men who have sex with men visiting a sexual health clinic in Amsterdam","volume":"98","author":[{"family":"Braam","given":"Joyce F."},{"family":"Bruisten","given":"Sylvia M."},{"family":"Hoogeland","given":"Mariska"},{"family":"De Vries","given":"Henry J.C."},{"family":"Schim Van Der Loeff","given":"Maarten F."},{"family":"Van Dam","given":"Alje P."}],"issued":{"date-parts":[["2022",12]]}}}],"schema":"https://github.com/citation-style-language/schema/raw/master/csl-citation.json"}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[49]</w:t>
            </w:r>
            <w:r w:rsidRPr="00D25B59">
              <w:rPr>
                <w:rFonts w:ascii="Times New Roman" w:hAnsi="Times New Roman" w:cs="Times New Roman"/>
              </w:rPr>
              <w:fldChar w:fldCharType="end"/>
            </w:r>
          </w:p>
        </w:tc>
        <w:tc>
          <w:tcPr>
            <w:tcW w:w="0" w:type="auto"/>
            <w:vAlign w:val="center"/>
          </w:tcPr>
          <w:p w14:paraId="67199199"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5AF37ACA"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49BA79EA"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11E3DA61" w14:textId="77777777" w:rsidR="00B36339" w:rsidRPr="00D25B59" w:rsidRDefault="00B36339" w:rsidP="00B36339">
            <w:pPr>
              <w:pStyle w:val="ListParagraph"/>
              <w:numPr>
                <w:ilvl w:val="0"/>
                <w:numId w:val="3"/>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recruitment </w:t>
            </w:r>
            <w:r w:rsidRPr="00D25B59">
              <w:rPr>
                <w:rFonts w:ascii="Times New Roman" w:hAnsi="Times New Roman" w:cs="Times New Roman"/>
              </w:rPr>
              <w:t>from one STI clinic during the COVID pandemic</w:t>
            </w:r>
            <w:r>
              <w:rPr>
                <w:rFonts w:ascii="Times New Roman" w:hAnsi="Times New Roman" w:cs="Times New Roman"/>
              </w:rPr>
              <w:t xml:space="preserve"> increased the risk of </w:t>
            </w:r>
            <w:r w:rsidRPr="00D25B59">
              <w:rPr>
                <w:rFonts w:ascii="Times New Roman" w:hAnsi="Times New Roman" w:cs="Times New Roman"/>
              </w:rPr>
              <w:t>selection bias.</w:t>
            </w:r>
          </w:p>
          <w:p w14:paraId="6D3D82F1" w14:textId="77777777" w:rsidR="00B36339" w:rsidRPr="00D25B59" w:rsidRDefault="00B36339" w:rsidP="00B36339">
            <w:pPr>
              <w:pStyle w:val="ListParagraph"/>
              <w:numPr>
                <w:ilvl w:val="0"/>
                <w:numId w:val="3"/>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PCR methods could not differ</w:t>
            </w:r>
            <w:r>
              <w:rPr>
                <w:rFonts w:ascii="Times New Roman" w:hAnsi="Times New Roman" w:cs="Times New Roman"/>
              </w:rPr>
              <w:t>entiate</w:t>
            </w:r>
            <w:r w:rsidRPr="00D25B59">
              <w:rPr>
                <w:rFonts w:ascii="Times New Roman" w:hAnsi="Times New Roman" w:cs="Times New Roman"/>
              </w:rPr>
              <w:t xml:space="preserve"> between </w:t>
            </w:r>
            <w:proofErr w:type="gramStart"/>
            <w:r w:rsidRPr="00F33C58">
              <w:rPr>
                <w:rFonts w:ascii="Times New Roman" w:hAnsi="Times New Roman" w:cs="Times New Roman"/>
                <w:i/>
                <w:iCs/>
              </w:rPr>
              <w:t>E.coli</w:t>
            </w:r>
            <w:proofErr w:type="gramEnd"/>
            <w:r>
              <w:rPr>
                <w:rFonts w:ascii="Times New Roman" w:hAnsi="Times New Roman" w:cs="Times New Roman"/>
              </w:rPr>
              <w:t xml:space="preserve"> and </w:t>
            </w:r>
            <w:r w:rsidRPr="00D25B59">
              <w:rPr>
                <w:rFonts w:ascii="Times New Roman" w:hAnsi="Times New Roman" w:cs="Times New Roman"/>
                <w:i/>
                <w:iCs/>
              </w:rPr>
              <w:t>Shigella spp.</w:t>
            </w:r>
            <w:r>
              <w:rPr>
                <w:rFonts w:ascii="Times New Roman" w:hAnsi="Times New Roman" w:cs="Times New Roman"/>
                <w:i/>
                <w:iCs/>
              </w:rPr>
              <w:t xml:space="preserve"> </w:t>
            </w:r>
            <w:r>
              <w:rPr>
                <w:rFonts w:ascii="Times New Roman" w:hAnsi="Times New Roman" w:cs="Times New Roman"/>
              </w:rPr>
              <w:t xml:space="preserve">and increased the risk of </w:t>
            </w:r>
            <w:r w:rsidRPr="00D25B59">
              <w:rPr>
                <w:rFonts w:ascii="Times New Roman" w:hAnsi="Times New Roman" w:cs="Times New Roman"/>
              </w:rPr>
              <w:t>misclassification bias.</w:t>
            </w:r>
          </w:p>
          <w:p w14:paraId="6BD5513B" w14:textId="77777777" w:rsidR="00B36339" w:rsidRPr="00D25B59" w:rsidRDefault="00B36339" w:rsidP="00B36339">
            <w:pPr>
              <w:pStyle w:val="ListParagraph"/>
              <w:numPr>
                <w:ilvl w:val="0"/>
                <w:numId w:val="3"/>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Data analysis did not adjust for confounders.</w:t>
            </w:r>
          </w:p>
        </w:tc>
      </w:tr>
      <w:tr w:rsidR="00B36339" w:rsidRPr="00D25B59" w14:paraId="26E1B5A2"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4630F3FF"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Chiou et al., 2016,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Z55WEdih","properties":{"unsorted":false,"formattedCitation":"[48]","plainCitation":"[48]","noteIndex":0},"citationItems":[{"id":346,"uris":["http://zotero.org/users/local/knW7qVji/items/W4X5IF9U"],"itemData":{"id":346,"type":"article-journal","container-title":"Clinical Microbiology and Infection","DOI":"10.1016/j.cmi.2015.12.021","ISSN":"1198743X","issue":"4","journalAbbreviation":"Clinical Microbiology and Infection","language":"en","license":"https://www.elsevier.com/tdm/userlicense/1.0/","page":"383.e11-383.e16","source":"DOI.org (Crossref)","title":"The worldwide spread of ciprofloxacin-resistant Shigella sonnei among HIV-infected men who have sex with men, Taiwan","volume":"22","author":[{"family":"Chiou","given":"C.-S."},{"family":"Izumiya","given":"H."},{"family":"Kawamura","given":"M."},{"family":"Liao","given":"Y.-S."},{"family":"Su","given":"Y.-S."},{"family":"Wu","given":"H.-H."},{"family":"Chen","given":"W.-C."},{"family":"Lo","given":"Y.-C."}],"issued":{"date-parts":[["2016",4]]}}}],"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[48]</w:t>
            </w:r>
            <w:r w:rsidRPr="00D25B59">
              <w:rPr>
                <w:rFonts w:ascii="Times New Roman" w:hAnsi="Times New Roman" w:cs="Times New Roman"/>
              </w:rPr>
              <w:fldChar w:fldCharType="end"/>
            </w:r>
          </w:p>
        </w:tc>
        <w:tc>
          <w:tcPr>
            <w:tcW w:w="0" w:type="auto"/>
            <w:vAlign w:val="center"/>
          </w:tcPr>
          <w:p w14:paraId="5F0D58AC"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Case-control</w:t>
            </w:r>
          </w:p>
        </w:tc>
        <w:tc>
          <w:tcPr>
            <w:tcW w:w="0" w:type="auto"/>
            <w:vAlign w:val="center"/>
          </w:tcPr>
          <w:p w14:paraId="1E0FB2ED"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5B4FEBEA"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241A443B" w14:textId="77777777" w:rsidR="00B36339" w:rsidRPr="00D25B59" w:rsidRDefault="00B36339" w:rsidP="00B36339">
            <w:pPr>
              <w:pStyle w:val="ListParagraph"/>
              <w:numPr>
                <w:ilvl w:val="0"/>
                <w:numId w:val="4"/>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data collected through interview</w:t>
            </w:r>
            <w:r>
              <w:rPr>
                <w:rFonts w:ascii="Times New Roman" w:hAnsi="Times New Roman" w:cs="Times New Roman"/>
              </w:rPr>
              <w:t xml:space="preserve">s increased the risk of </w:t>
            </w:r>
            <w:r w:rsidRPr="00D25B59">
              <w:rPr>
                <w:rFonts w:ascii="Times New Roman" w:hAnsi="Times New Roman" w:cs="Times New Roman"/>
              </w:rPr>
              <w:t>social-desirability bias.</w:t>
            </w:r>
          </w:p>
          <w:p w14:paraId="1EB84535" w14:textId="77777777" w:rsidR="00B36339" w:rsidRPr="00D25B59" w:rsidRDefault="00B36339" w:rsidP="00B36339">
            <w:pPr>
              <w:pStyle w:val="ListParagraph"/>
              <w:numPr>
                <w:ilvl w:val="0"/>
                <w:numId w:val="4"/>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Confidence intervals for</w:t>
            </w:r>
            <w:r>
              <w:rPr>
                <w:rFonts w:ascii="Times New Roman" w:hAnsi="Times New Roman" w:cs="Times New Roman"/>
              </w:rPr>
              <w:t xml:space="preserve"> the</w:t>
            </w:r>
            <w:r w:rsidRPr="00D25B59">
              <w:rPr>
                <w:rFonts w:ascii="Times New Roman" w:hAnsi="Times New Roman" w:cs="Times New Roman"/>
              </w:rPr>
              <w:t xml:space="preserve"> odds ratios </w:t>
            </w:r>
            <w:r>
              <w:rPr>
                <w:rFonts w:ascii="Times New Roman" w:hAnsi="Times New Roman" w:cs="Times New Roman"/>
              </w:rPr>
              <w:t>were</w:t>
            </w:r>
            <w:r w:rsidRPr="00D25B59">
              <w:rPr>
                <w:rFonts w:ascii="Times New Roman" w:hAnsi="Times New Roman" w:cs="Times New Roman"/>
              </w:rPr>
              <w:t xml:space="preserve"> extremely wide.</w:t>
            </w:r>
          </w:p>
          <w:p w14:paraId="1E43B775" w14:textId="77777777" w:rsidR="00B36339" w:rsidRPr="00D25B59" w:rsidRDefault="00B36339" w:rsidP="00B36339">
            <w:pPr>
              <w:pStyle w:val="ListParagraph"/>
              <w:numPr>
                <w:ilvl w:val="0"/>
                <w:numId w:val="4"/>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Socio-behavioural assessment was inadequate. </w:t>
            </w:r>
          </w:p>
        </w:tc>
      </w:tr>
      <w:tr w:rsidR="00B36339" w:rsidRPr="00D25B59" w14:paraId="201D77EC"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01CF2F"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lastRenderedPageBreak/>
              <w:t xml:space="preserve">Danila et al., 2014,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Xj6Td3xc","properties":{"unsorted":false,"formattedCitation":"[45]","plainCitation":"[45]","noteIndex":0},"citationItems":[{"id":347,"uris":["http://zotero.org/users/local/knW7qVji/items/C8C5QMZV"],"itemData":{"id":347,"type":"article-journal","container-title":"Clin Infect Dis","DOI":"10.1093/cid/ciu478","ISSN":"1058-4838, 1537-6591","issue":"7","journalAbbreviation":"Clinical Infectious Diseases","language":"en","page":"987-989","source":"DOI.org (Crossref)","title":"Two Concurrent Enteric Disease Outbreaks Among Men Who Have Sex With Men, Minneapolis-St Paul Area","volume":"59","author":[{"family":"Danila","given":"R. N."},{"family":"Eikmeier","given":"D. L."},{"family":"Robinson","given":"T. J."},{"family":"La Pointe","given":"A."},{"family":"DeVries","given":"A. S."}],"issued":{"date-parts":[["2014",10,1]]}}}],"schema":"https://github.com/citation-style-language/schema/raw/master/csl-citation.json"}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[45]</w:t>
            </w:r>
            <w:r w:rsidRPr="00D25B59">
              <w:rPr>
                <w:rFonts w:ascii="Times New Roman" w:hAnsi="Times New Roman" w:cs="Times New Roman"/>
              </w:rPr>
              <w:fldChar w:fldCharType="end"/>
            </w:r>
          </w:p>
        </w:tc>
        <w:tc>
          <w:tcPr>
            <w:tcW w:w="0" w:type="auto"/>
            <w:vAlign w:val="center"/>
          </w:tcPr>
          <w:p w14:paraId="2C7614EB"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490D42DA"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1CCA89FA"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Low</w:t>
            </w:r>
          </w:p>
        </w:tc>
        <w:tc>
          <w:tcPr>
            <w:tcW w:w="0" w:type="auto"/>
            <w:vAlign w:val="center"/>
          </w:tcPr>
          <w:p w14:paraId="211BFB10" w14:textId="77777777" w:rsidR="00B36339" w:rsidRPr="00D25B59" w:rsidRDefault="00B36339" w:rsidP="00B36339">
            <w:pPr>
              <w:pStyle w:val="ListParagraph"/>
              <w:numPr>
                <w:ilvl w:val="0"/>
                <w:numId w:val="5"/>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Extremely small sample size</w:t>
            </w:r>
            <w:r>
              <w:rPr>
                <w:rFonts w:ascii="Times New Roman" w:hAnsi="Times New Roman" w:cs="Times New Roman"/>
              </w:rPr>
              <w:t xml:space="preserve"> and</w:t>
            </w:r>
            <w:r w:rsidRPr="00D25B59">
              <w:rPr>
                <w:rFonts w:ascii="Times New Roman" w:hAnsi="Times New Roman" w:cs="Times New Roman"/>
              </w:rPr>
              <w:t xml:space="preserve"> data analysis </w:t>
            </w:r>
            <w:r>
              <w:rPr>
                <w:rFonts w:ascii="Times New Roman" w:hAnsi="Times New Roman" w:cs="Times New Roman"/>
              </w:rPr>
              <w:t xml:space="preserve">was </w:t>
            </w:r>
            <w:r w:rsidRPr="00D25B59">
              <w:rPr>
                <w:rFonts w:ascii="Times New Roman" w:hAnsi="Times New Roman" w:cs="Times New Roman"/>
              </w:rPr>
              <w:t xml:space="preserve">conducted with insufficient </w:t>
            </w:r>
            <w:r>
              <w:rPr>
                <w:rFonts w:ascii="Times New Roman" w:hAnsi="Times New Roman" w:cs="Times New Roman"/>
              </w:rPr>
              <w:t xml:space="preserve">sample </w:t>
            </w:r>
            <w:r w:rsidRPr="00D25B59">
              <w:rPr>
                <w:rFonts w:ascii="Times New Roman" w:hAnsi="Times New Roman" w:cs="Times New Roman"/>
              </w:rPr>
              <w:t>coverage</w:t>
            </w:r>
            <w:r>
              <w:rPr>
                <w:rFonts w:ascii="Times New Roman" w:hAnsi="Times New Roman" w:cs="Times New Roman"/>
              </w:rPr>
              <w:t xml:space="preserve">. </w:t>
            </w:r>
          </w:p>
          <w:p w14:paraId="497B53FA" w14:textId="77777777" w:rsidR="00B36339" w:rsidRPr="00D25B59" w:rsidRDefault="00B36339" w:rsidP="00B36339">
            <w:pPr>
              <w:pStyle w:val="ListParagraph"/>
              <w:numPr>
                <w:ilvl w:val="0"/>
                <w:numId w:val="5"/>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Case definitions and </w:t>
            </w:r>
            <w:r>
              <w:rPr>
                <w:rFonts w:ascii="Times New Roman" w:hAnsi="Times New Roman" w:cs="Times New Roman"/>
              </w:rPr>
              <w:t xml:space="preserve">methods of </w:t>
            </w:r>
            <w:r w:rsidRPr="00D25B59">
              <w:rPr>
                <w:rFonts w:ascii="Times New Roman" w:hAnsi="Times New Roman" w:cs="Times New Roman"/>
              </w:rPr>
              <w:t xml:space="preserve">data </w:t>
            </w:r>
            <w:r>
              <w:rPr>
                <w:rFonts w:ascii="Times New Roman" w:hAnsi="Times New Roman" w:cs="Times New Roman"/>
              </w:rPr>
              <w:t xml:space="preserve">collection </w:t>
            </w:r>
            <w:r w:rsidRPr="00D25B59">
              <w:rPr>
                <w:rFonts w:ascii="Times New Roman" w:hAnsi="Times New Roman" w:cs="Times New Roman"/>
              </w:rPr>
              <w:t>were not described in detail.</w:t>
            </w:r>
          </w:p>
          <w:p w14:paraId="1B517C62" w14:textId="77777777" w:rsidR="00B36339" w:rsidRPr="00D25B59" w:rsidRDefault="00B36339" w:rsidP="00B36339">
            <w:pPr>
              <w:pStyle w:val="ListParagraph"/>
              <w:numPr>
                <w:ilvl w:val="0"/>
                <w:numId w:val="5"/>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Data analysis was not sufficiently rigorous </w:t>
            </w:r>
            <w:r>
              <w:rPr>
                <w:rFonts w:ascii="Times New Roman" w:hAnsi="Times New Roman" w:cs="Times New Roman"/>
              </w:rPr>
              <w:t xml:space="preserve">and mainly descriptive. </w:t>
            </w:r>
          </w:p>
        </w:tc>
      </w:tr>
      <w:tr w:rsidR="00B36339" w:rsidRPr="00D25B59" w14:paraId="3E58BC59"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258E54AE"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Toro et al., 2015,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{"citationID":"FHCh1JOI","properties":{"unsorted":false,"formattedCitation":"[39]","plainCitation":"[39]","noteIndex":0},"citationItems":[{"id":348,"uris":["http://zotero.org/users/local/knW7qVji/items/CG568EMP"],"itemData":{"id":348,"type":"article-journal","abstract":"An increase of sexually transmitted shigellosis is currently being reported in developed countries. In addition, travel-related shigellosis can introduce resistant strains that could be disseminated within this new scenario. Epidemiological features and antimicrobial susceptibility of shigellosis depending on where infection was acquired were investigated. From 2008 to 2013, subjects with shigellosis were studied. Patients were classified according to acquisition of\n              Shigella\n              as traveler's diarrhea (TD) or domestically acquired diarrhea (DAD). Ninety cases of shigellosis were identified: 76 corresponding to the TD group and 14 to the DAD group. In the DAD group, most of patients were human immunodeficiency virus (HIV)-positive men who have sex with men (MSM), being shigellosis associated to male sex (\n              P\n              = 0.007) and HIV infection (\n              P\n              &lt; 0.0001).\n              S. sonnei\n              (47.8%) and\n              S. flexneri\n              (42.2%) were the predominant species. The highest resistance was detected for trimethoprim/sulfamethoxazole (SXT) (81.8%), followed by ampicillin (AMP) (37.8%) and ciprofloxacin (CIP) (23.3%). Resistant\n              Shigella\n              strains were more frequent in subjects with TD than those with DAD, although only for CIP the difference was significant (\n              P\n              = 0.034). Continuous monitoring of patients with shigellosis is necessary to control the spread of resistant\n              Shigella\n              strains and for effective therapy. Men with shigellosis who have not traveled to an endemic area should be screened for HIV infection.","container-title":"The American Society of Tropical Medicine and Hygiene","DOI":"10.4269/ajtmh.14-0804","ISSN":"0002-9637, 1476-1645","issue":"3","page":"491-496","source":"DOI.org (Crossref)","title":"Shigellosis in Subjects with Traveler's Diarrhea Versus Domestically Acquired Diarrhea: Implications for Antimicrobial Therapy and Human Immunodeficiency Virus Surveillance","title-short":"Shigellosis in Subjects with Traveler's Diarrhea Versus Domestically Acquired Diarrhea","volume":"93","author":[{"family":"Toro","given":"Carlos"},{"family":"Arroyo","given":"Ana"},{"family":"Sarria","given":"Ana"},{"family":"Iglesias","given":"Nuria"},{"family":"Enríquez","given":"Ana"},{"family":"Baquero","given":"Margarita"},{"family":"De Guevara","given":"Concepción Ladrón"}],"issued":{"date-parts":[["2015",9,2]]}}}],"schema":"https://github.com/citation-style-language/schema/raw/master/csl-citation.json"}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[39]</w:t>
            </w:r>
            <w:r w:rsidRPr="00D25B59">
              <w:rPr>
                <w:rFonts w:ascii="Times New Roman" w:hAnsi="Times New Roman" w:cs="Times New Roman"/>
              </w:rPr>
              <w:fldChar w:fldCharType="end"/>
            </w:r>
          </w:p>
        </w:tc>
        <w:tc>
          <w:tcPr>
            <w:tcW w:w="0" w:type="auto"/>
            <w:vAlign w:val="center"/>
          </w:tcPr>
          <w:p w14:paraId="605356AC"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7830FEEA"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0AB04F92"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28E9518F" w14:textId="77777777" w:rsidR="00B36339" w:rsidRPr="00D25B59" w:rsidRDefault="00B36339" w:rsidP="00B36339">
            <w:pPr>
              <w:pStyle w:val="ListParagraph"/>
              <w:numPr>
                <w:ilvl w:val="0"/>
                <w:numId w:val="6"/>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Sample recruitment from one HIV treatment centre</w:t>
            </w:r>
            <w:r>
              <w:rPr>
                <w:rFonts w:ascii="Times New Roman" w:hAnsi="Times New Roman" w:cs="Times New Roman"/>
              </w:rPr>
              <w:t xml:space="preserve"> and increased the risk of </w:t>
            </w:r>
            <w:r w:rsidRPr="00D25B59">
              <w:rPr>
                <w:rFonts w:ascii="Times New Roman" w:hAnsi="Times New Roman" w:cs="Times New Roman"/>
              </w:rPr>
              <w:t>selection bias.</w:t>
            </w:r>
          </w:p>
          <w:p w14:paraId="19EA934C" w14:textId="77777777" w:rsidR="00B36339" w:rsidRPr="00D25B59" w:rsidRDefault="00B36339" w:rsidP="00B36339">
            <w:pPr>
              <w:pStyle w:val="ListParagraph"/>
              <w:numPr>
                <w:ilvl w:val="0"/>
                <w:numId w:val="6"/>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Case definitions and </w:t>
            </w:r>
            <w:r>
              <w:rPr>
                <w:rFonts w:ascii="Times New Roman" w:hAnsi="Times New Roman" w:cs="Times New Roman"/>
              </w:rPr>
              <w:t xml:space="preserve">methods of </w:t>
            </w:r>
            <w:r w:rsidRPr="00D25B59">
              <w:rPr>
                <w:rFonts w:ascii="Times New Roman" w:hAnsi="Times New Roman" w:cs="Times New Roman"/>
              </w:rPr>
              <w:t>data collection were not described in detail.</w:t>
            </w:r>
          </w:p>
          <w:p w14:paraId="572194DD" w14:textId="77777777" w:rsidR="00B36339" w:rsidRPr="00D25B59" w:rsidRDefault="00B36339" w:rsidP="00B36339">
            <w:pPr>
              <w:pStyle w:val="ListParagraph"/>
              <w:numPr>
                <w:ilvl w:val="0"/>
                <w:numId w:val="6"/>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No </w:t>
            </w:r>
            <w:r w:rsidRPr="00D25B59">
              <w:rPr>
                <w:rFonts w:ascii="Times New Roman" w:hAnsi="Times New Roman" w:cs="Times New Roman"/>
              </w:rPr>
              <w:t>power calculation</w:t>
            </w:r>
            <w:r>
              <w:rPr>
                <w:rFonts w:ascii="Times New Roman" w:hAnsi="Times New Roman" w:cs="Times New Roman"/>
              </w:rPr>
              <w:t>,</w:t>
            </w:r>
            <w:r w:rsidRPr="00D25B59">
              <w:rPr>
                <w:rFonts w:ascii="Times New Roman" w:hAnsi="Times New Roman" w:cs="Times New Roman"/>
              </w:rPr>
              <w:t xml:space="preserve"> confidence intervals, and </w:t>
            </w:r>
            <w:r>
              <w:rPr>
                <w:rFonts w:ascii="Times New Roman" w:hAnsi="Times New Roman" w:cs="Times New Roman"/>
              </w:rPr>
              <w:t xml:space="preserve">data analysis was not </w:t>
            </w:r>
            <w:r w:rsidRPr="00D25B59">
              <w:rPr>
                <w:rFonts w:ascii="Times New Roman" w:hAnsi="Times New Roman" w:cs="Times New Roman"/>
              </w:rPr>
              <w:t>sufficiently rigorous</w:t>
            </w:r>
            <w:r>
              <w:rPr>
                <w:rFonts w:ascii="Times New Roman" w:hAnsi="Times New Roman" w:cs="Times New Roman"/>
              </w:rPr>
              <w:t xml:space="preserve">. </w:t>
            </w:r>
          </w:p>
        </w:tc>
      </w:tr>
      <w:tr w:rsidR="00B36339" w:rsidRPr="00D25B59" w14:paraId="12CAC5F2"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3E88E8"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Frickmann et al., 2025,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hLUbrqAE","properties":{"unsorted":false,"formattedCitation":"[37]","plainCitation":"[37]","noteIndex":0},"citationItems":[{"id":349,"uris":["http://zotero.org/users/local/knW7qVji/items/V34MZL4J"],"itemData":{"id":349,"type":"article-journal","abstract":"Objectives: This observational and cross-sectional study investigated differential associations between entero-invasive and non-entero-invasive enteric pathogens and HIV infection, considering socioeconomic, clinical and immunological aspects. In a Ghanaian population with a high prevalence of enteric pathogens, stool samples from people living with HIV (PLWH) were screened for Salmonella spp., Shigella spp./EIEC (enteroinvasive Escherichia coli), and Campylobacter jejuni as entero-invasive bacteria, for enteropathogenic E. coli (EPEC), enterotoxigenic E. coli (ETEC), and enteroaggregative E. coli (EAEC) as non-entero-invasive bacteria. Arcobacter butzleri, with uncertain enteropathogenicity, was also included. Methods: Stool samples from PLWH (with and without antiretroviral therapy) and HIV-negative controls were analyzed by real-time PCR for the presence and quantity of the selected enteropathogens. Results were correlated with socioeconomic, clinical, and immunological parameters. Results: The presence of Shigella spp. /EIEC in stool was both qualitatively and quantitatively associated with reduced CD4+ T lymphocyte counts and was qualitatively associated with clinically apparent diarrhea. EAEC showed a weak positive association with HIV infection, supported by a negative correlation between EAEC DNA quantity and CD4+ T lymphocyte counts. EPEC colonization was associated with HIV negativity, higher CD4+ T lymphocyte counts, and lower socioeconomic status. Abundance of Salmonella enterica was associated with clinically apparent diarrhea. Conclusions: This explorative, hypothesis-forming study suggests species- or pathovar-specific associations between enteric bacterial pathogens and HIV-related immunosuppression. Observed relationships with clinically apparent diarrhea largely align with findings from sub-Saharan African children, except for a more pronounced association between diarrhea and Salmonella in this cohort.","container-title":"Medical Sciences","DOI":"10.3390/medsci13040316","ISSN":"2076-3271","issue":"4","journalAbbreviation":"Medical Sciences","language":"en","page":"316","source":"DOI.org (Crossref)","title":"Determinants of Entero-Invasive and Non-Entero-Invasive Diarrheagenic Bacteria Among HIV-Positive and HIV-Negative Adults in Ghana","volume":"13","author":[{"family":"Frickmann","given":"Hagen"},{"family":"Sarfo","given":"Fred Stephen"},{"family":"Norman","given":"Betty Roberta"},{"family":"Dompreh","given":"Albert"},{"family":"Asibey","given":"Shadrack Osei"},{"family":"Boateng","given":"Richard"},{"family":"Di Cristanziano","given":"Veronica"},{"family":"Tufa","given":"Tafese Beyene"},{"family":"Loderstädt","given":"Ulrike"},{"family":"Binder","given":"Ramona"},{"family":"Zautner","given":"Andreas Erich"},{"family":"Luedde","given":"Tom"},{"family":"Feldt","given":"Torsten"},{"family":"Eberhardt","given":"Kirsten Alexandra"}],"issued":{"date-parts":[["2025",12,12]]}}}],"schema":"https://github.com/citation-style-language/schema/raw/master/csl-citation.json"}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[37]</w:t>
            </w:r>
            <w:r w:rsidRPr="00D25B59">
              <w:rPr>
                <w:rFonts w:ascii="Times New Roman" w:hAnsi="Times New Roman" w:cs="Times New Roman"/>
              </w:rPr>
              <w:fldChar w:fldCharType="end"/>
            </w:r>
          </w:p>
        </w:tc>
        <w:tc>
          <w:tcPr>
            <w:tcW w:w="0" w:type="auto"/>
            <w:vAlign w:val="center"/>
          </w:tcPr>
          <w:p w14:paraId="13171FAD"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7926D8D5"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62594AEE"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169C675A" w14:textId="77777777" w:rsidR="00B36339" w:rsidRPr="00D25B59" w:rsidRDefault="00B36339" w:rsidP="00B36339">
            <w:pPr>
              <w:pStyle w:val="ListParagraph"/>
              <w:numPr>
                <w:ilvl w:val="0"/>
                <w:numId w:val="7"/>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recruitment </w:t>
            </w:r>
            <w:r w:rsidRPr="00D25B59">
              <w:rPr>
                <w:rFonts w:ascii="Times New Roman" w:hAnsi="Times New Roman" w:cs="Times New Roman"/>
              </w:rPr>
              <w:t>from one HIV clinic</w:t>
            </w:r>
            <w:r>
              <w:rPr>
                <w:rFonts w:ascii="Times New Roman" w:hAnsi="Times New Roman" w:cs="Times New Roman"/>
              </w:rPr>
              <w:t xml:space="preserve"> increased risk of </w:t>
            </w:r>
            <w:r w:rsidRPr="00D25B59">
              <w:rPr>
                <w:rFonts w:ascii="Times New Roman" w:hAnsi="Times New Roman" w:cs="Times New Roman"/>
              </w:rPr>
              <w:t>selection bias.</w:t>
            </w:r>
          </w:p>
          <w:p w14:paraId="0935A7D6" w14:textId="77777777" w:rsidR="00B36339" w:rsidRPr="00D25B59" w:rsidRDefault="00B36339" w:rsidP="00B36339">
            <w:pPr>
              <w:pStyle w:val="ListParagraph"/>
              <w:numPr>
                <w:ilvl w:val="0"/>
                <w:numId w:val="7"/>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PCR methods could not differ</w:t>
            </w:r>
            <w:r>
              <w:rPr>
                <w:rFonts w:ascii="Times New Roman" w:hAnsi="Times New Roman" w:cs="Times New Roman"/>
              </w:rPr>
              <w:t>entiate</w:t>
            </w:r>
            <w:r w:rsidRPr="00D25B59">
              <w:rPr>
                <w:rFonts w:ascii="Times New Roman" w:hAnsi="Times New Roman" w:cs="Times New Roman"/>
              </w:rPr>
              <w:t xml:space="preserve"> between </w:t>
            </w:r>
            <w:proofErr w:type="gramStart"/>
            <w:r w:rsidRPr="00F33C58">
              <w:rPr>
                <w:rFonts w:ascii="Times New Roman" w:hAnsi="Times New Roman" w:cs="Times New Roman"/>
                <w:i/>
                <w:iCs/>
              </w:rPr>
              <w:t>E.coli</w:t>
            </w:r>
            <w:proofErr w:type="gramEnd"/>
            <w:r>
              <w:rPr>
                <w:rFonts w:ascii="Times New Roman" w:hAnsi="Times New Roman" w:cs="Times New Roman"/>
              </w:rPr>
              <w:t xml:space="preserve"> and </w:t>
            </w:r>
            <w:r w:rsidRPr="00D25B59">
              <w:rPr>
                <w:rFonts w:ascii="Times New Roman" w:hAnsi="Times New Roman" w:cs="Times New Roman"/>
                <w:i/>
                <w:iCs/>
              </w:rPr>
              <w:t>Shigella spp.</w:t>
            </w:r>
            <w:r>
              <w:rPr>
                <w:rFonts w:ascii="Times New Roman" w:hAnsi="Times New Roman" w:cs="Times New Roman"/>
                <w:i/>
                <w:iCs/>
              </w:rPr>
              <w:t xml:space="preserve"> </w:t>
            </w:r>
            <w:r>
              <w:rPr>
                <w:rFonts w:ascii="Times New Roman" w:hAnsi="Times New Roman" w:cs="Times New Roman"/>
              </w:rPr>
              <w:t xml:space="preserve">and increased the risk of </w:t>
            </w:r>
            <w:r w:rsidRPr="00D25B59">
              <w:rPr>
                <w:rFonts w:ascii="Times New Roman" w:hAnsi="Times New Roman" w:cs="Times New Roman"/>
              </w:rPr>
              <w:t>misclassification bias.</w:t>
            </w:r>
          </w:p>
          <w:p w14:paraId="6A7482CC" w14:textId="77777777" w:rsidR="00B36339" w:rsidRPr="00D25B59" w:rsidRDefault="00B36339" w:rsidP="00B36339">
            <w:pPr>
              <w:pStyle w:val="ListParagraph"/>
              <w:numPr>
                <w:ilvl w:val="0"/>
                <w:numId w:val="7"/>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Random forest analyses were not described in</w:t>
            </w:r>
            <w:r>
              <w:rPr>
                <w:rFonts w:ascii="Times New Roman" w:hAnsi="Times New Roman" w:cs="Times New Roman"/>
              </w:rPr>
              <w:t xml:space="preserve"> sufficient detail to assess precision. </w:t>
            </w:r>
            <w:r w:rsidRPr="00D25B59">
              <w:rPr>
                <w:rFonts w:ascii="Times New Roman" w:hAnsi="Times New Roman" w:cs="Times New Roman"/>
              </w:rPr>
              <w:t xml:space="preserve"> </w:t>
            </w:r>
          </w:p>
        </w:tc>
      </w:tr>
      <w:tr w:rsidR="00B36339" w:rsidRPr="00D25B59" w14:paraId="2FE8B354"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081895BB"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Gautam et al., 2009,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{"citationID":"rg07h7hI","properties":{"unsorted":false,"formattedCitation":"[52]","plainCitation":"[52]","noteIndex":0},"citationItems":[{"id":350,"uris":["http://zotero.org/users/local/knW7qVji/items/LTSTCE5G"],"itemData":{"id":350,"type":"article-journal","abstract":"The study was conducted to find the correlation of CD4 counts and plasma viral load (PVL) with opportunistic infections (OIs) in HIV-positive patients. A total of 43 drug-naive patients enrolled in the study. Absolute CD4 counts and PVL were measured. On the basis of symptoms, sputum, stool, and blood samples were obtained for laboratory tests. Oral swabs were obtained from all the patients. Pneumocystis jiroveci pneumonia was found in 45.2% patients (odds ratio [OR] = 12.8 for CD4 counts ≤100 cells/ mm\n              3\n              and 8.5 for PVL &gt;4.0 log\n              10\n              copies/mL). Pulmonary tuberculosis (TB; OR = 8.0 for PVL &gt;4.0 log\n              10\n              copies/mL) and streptococcal pneumonia (detected only with CD4 counts &lt;50 cells/mm\n              3\n              and PVL &gt;4.0 log\n              10\n              copies/mL) were seen in 41.9% and 12.9% patients, respectively. Among patients with diarrhea, Giardia lamblia was detected in 31% patients (OR = 3.0 for CD4 counts ≤100 cells/mm\n              3\n              and 4.0 for PVL &gt;4.0 log\n              10\n              copies/mL) and Cryptosporidium in 17.2% patients (OR = 1.8 for CD4 counts ≤100 cells/mm\n              3\n              and found only with PVL &gt;4.0 log\n              10\n              copies/mL). Shigellosis and Clostridium difficile toxin was present in 13.6% patients and 6.8% patients, respectively.","container-title":"Journal of the International Association of Physicians in AIDS Care","DOI":"10.1177/1545109709346881","ISSN":"1545-1097","issue":"6","journalAbbreviation":"Journal of the International Association of Physicians in AIDS Care","language":"en","license":"https://journals.sagepub.com/page/policies/text-and-data-mining-license","page":"333-337","source":"DOI.org (Crossref)","title":"Epidemiology of Opportunistic Infections and Its Correlation With CD4 T-Lymphocyte Counts and Plasma Viral Load Among HIV-Positive Patients at a Tertiary Care Hospital in India","volume":"8","author":[{"family":"Gautam","given":"Hitender"},{"family":"Bhalla","given":"Preena"},{"family":"Saini","given":"Sanjeev"},{"family":"Uppal","given":"Beena"},{"family":"Kaur","given":"Ravinder"},{"family":"Baveja","given":"Chander Prakash"},{"family":"Dewan","given":"Richa"}],"issued":{"date-parts":[["2009",11]]}}}],"schema":"https://github.com/citation-style-language/schema/raw/master/csl-citation.json"}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[52]</w:t>
            </w:r>
            <w:r w:rsidRPr="00D25B59">
              <w:rPr>
                <w:rFonts w:ascii="Times New Roman" w:hAnsi="Times New Roman" w:cs="Times New Roman"/>
              </w:rPr>
              <w:fldChar w:fldCharType="end"/>
            </w:r>
          </w:p>
        </w:tc>
        <w:tc>
          <w:tcPr>
            <w:tcW w:w="0" w:type="auto"/>
            <w:vAlign w:val="center"/>
          </w:tcPr>
          <w:p w14:paraId="3234DEFB"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315B17EE"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0EB1C9A6"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Low</w:t>
            </w:r>
          </w:p>
        </w:tc>
        <w:tc>
          <w:tcPr>
            <w:tcW w:w="0" w:type="auto"/>
            <w:vAlign w:val="center"/>
          </w:tcPr>
          <w:p w14:paraId="5591A405" w14:textId="77777777" w:rsidR="00B36339" w:rsidRPr="00D25B59" w:rsidRDefault="00B36339" w:rsidP="00B36339">
            <w:pPr>
              <w:pStyle w:val="ListParagraph"/>
              <w:numPr>
                <w:ilvl w:val="0"/>
                <w:numId w:val="8"/>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Sample recruitment from one ART clinic and insufficient </w:t>
            </w:r>
            <w:r>
              <w:rPr>
                <w:rFonts w:ascii="Times New Roman" w:hAnsi="Times New Roman" w:cs="Times New Roman"/>
              </w:rPr>
              <w:t xml:space="preserve">sample </w:t>
            </w:r>
            <w:r w:rsidRPr="00D25B59">
              <w:rPr>
                <w:rFonts w:ascii="Times New Roman" w:hAnsi="Times New Roman" w:cs="Times New Roman"/>
              </w:rPr>
              <w:t xml:space="preserve">coverage </w:t>
            </w:r>
            <w:r>
              <w:rPr>
                <w:rFonts w:ascii="Times New Roman" w:hAnsi="Times New Roman" w:cs="Times New Roman"/>
              </w:rPr>
              <w:t xml:space="preserve">increased risk of </w:t>
            </w:r>
            <w:r w:rsidRPr="00D25B59">
              <w:rPr>
                <w:rFonts w:ascii="Times New Roman" w:hAnsi="Times New Roman" w:cs="Times New Roman"/>
              </w:rPr>
              <w:t>selection bias.</w:t>
            </w:r>
          </w:p>
          <w:p w14:paraId="4F4E2EEE" w14:textId="77777777" w:rsidR="00B36339" w:rsidRPr="00D25B59" w:rsidRDefault="00B36339" w:rsidP="00B36339">
            <w:pPr>
              <w:pStyle w:val="ListParagraph"/>
              <w:numPr>
                <w:ilvl w:val="0"/>
                <w:numId w:val="8"/>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Pr="00D25B59">
              <w:rPr>
                <w:rFonts w:ascii="Times New Roman" w:hAnsi="Times New Roman" w:cs="Times New Roman"/>
              </w:rPr>
              <w:t>athog</w:t>
            </w:r>
            <w:r>
              <w:rPr>
                <w:rFonts w:ascii="Times New Roman" w:hAnsi="Times New Roman" w:cs="Times New Roman"/>
              </w:rPr>
              <w:t xml:space="preserve">en identification was not described in detail. </w:t>
            </w:r>
          </w:p>
          <w:p w14:paraId="056B3582" w14:textId="77777777" w:rsidR="00B36339" w:rsidRPr="00D25B59" w:rsidRDefault="00B36339" w:rsidP="00B36339">
            <w:pPr>
              <w:pStyle w:val="ListParagraph"/>
              <w:numPr>
                <w:ilvl w:val="0"/>
                <w:numId w:val="8"/>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Odds ratios </w:t>
            </w:r>
            <w:r>
              <w:rPr>
                <w:rFonts w:ascii="Times New Roman" w:hAnsi="Times New Roman" w:cs="Times New Roman"/>
              </w:rPr>
              <w:t>were reported</w:t>
            </w:r>
            <w:r w:rsidRPr="00D25B59">
              <w:rPr>
                <w:rFonts w:ascii="Times New Roman" w:hAnsi="Times New Roman" w:cs="Times New Roman"/>
              </w:rPr>
              <w:t xml:space="preserve"> as relative risks.</w:t>
            </w:r>
          </w:p>
          <w:p w14:paraId="7CF075EB" w14:textId="77777777" w:rsidR="00B36339" w:rsidRPr="00D25B59" w:rsidRDefault="00B36339" w:rsidP="00B36339">
            <w:pPr>
              <w:pStyle w:val="ListParagraph"/>
              <w:numPr>
                <w:ilvl w:val="0"/>
                <w:numId w:val="8"/>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Data analysis was insufficiently described and did not adjust </w:t>
            </w:r>
            <w:r w:rsidRPr="00D25B59">
              <w:rPr>
                <w:rFonts w:ascii="Times New Roman" w:hAnsi="Times New Roman" w:cs="Times New Roman"/>
              </w:rPr>
              <w:t>for confounders.</w:t>
            </w:r>
          </w:p>
        </w:tc>
      </w:tr>
      <w:tr w:rsidR="00B36339" w:rsidRPr="00D25B59" w14:paraId="62482600"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347A35" w14:textId="77777777" w:rsidR="00B36339" w:rsidRPr="00D25B59" w:rsidRDefault="00B36339" w:rsidP="003712C7">
            <w:pPr>
              <w:spacing w:before="60" w:after="60"/>
              <w:jc w:val="center"/>
              <w:rPr>
                <w:rFonts w:ascii="Times New Roman" w:hAnsi="Times New Roman" w:cs="Times New Roman"/>
              </w:rPr>
            </w:pPr>
            <w:proofErr w:type="spellStart"/>
            <w:r w:rsidRPr="00D25B59">
              <w:rPr>
                <w:rFonts w:ascii="Times New Roman" w:hAnsi="Times New Roman" w:cs="Times New Roman"/>
              </w:rPr>
              <w:lastRenderedPageBreak/>
              <w:t>Gilbart</w:t>
            </w:r>
            <w:proofErr w:type="spellEnd"/>
            <w:r w:rsidRPr="00D25B59">
              <w:rPr>
                <w:rFonts w:ascii="Times New Roman" w:hAnsi="Times New Roman" w:cs="Times New Roman"/>
              </w:rPr>
              <w:t xml:space="preserve"> et al., 2015, </w:t>
            </w:r>
            <w:r>
              <w:rPr>
                <w:rFonts w:ascii="Times New Roman" w:hAnsi="Times New Roman" w:cs="Times New Roman"/>
              </w:rPr>
              <w:fldChar w:fldCharType="begin"/>
            </w:r>
            <w:r>
              <w:rPr>
                <w:rFonts w:ascii="Times New Roman" w:hAnsi="Times New Roman" w:cs="Times New Roman"/>
              </w:rPr>
              <w:instrText xml:space="preserve"> ADDIN ZOTERO_ITEM CSL_CITATION {"citationID":"SNiGvdqH","properties":{"unsorted":false,"formattedCitation":"[9]","plainCitation":"[9]","noteIndex":0},"citationItems":[{"id":234,"uris":["http://zotero.org/users/local/knW7qVji/items/JAE4P3XM"],"itemData":{"id":234,"type":"article-journal","container-title":"Sexually Transmitted Infections","DOI":"10.1136/sextrans-2015-052014","ISSN":"1368-4973, 1472-3263","issue":"8","journalAbbreviation":"Sex Transm Infect","language":"en","page":"598-602","source":"DOI.org (Crossref)","title":"Sex, drugs and smart phone applications: findings from semistructured interviews with men who have sex with men diagnosed with &lt;i&gt;Shigella flexneri&lt;/i&gt; 3a in England and Wales: Table 1","title-short":"Sex, drugs and smart phone applications","volume":"91","author":[{"family":"Gilbart","given":"V L"},{"family":"Simms","given":"I"},{"family":"Jenkins","given":"C"},{"family":"Furegato","given":"M"},{"family":"Gobin","given":"M"},{"family":"Oliver","given":"I"},{"family":"Hart","given":"G"},{"family":"Gill","given":"O N"},{"family":"Hughes","given":"G"}],"issued":{"date-parts":[["2015",12]]}}}],"schema":"https://github.com/citation-style-language/schema/raw/master/csl-citation.json"}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c>
          <w:tcPr>
            <w:tcW w:w="0" w:type="auto"/>
            <w:vAlign w:val="center"/>
          </w:tcPr>
          <w:p w14:paraId="3140EAD1"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227D2A2C"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36C79015"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High</w:t>
            </w:r>
          </w:p>
        </w:tc>
        <w:tc>
          <w:tcPr>
            <w:tcW w:w="0" w:type="auto"/>
            <w:vAlign w:val="center"/>
          </w:tcPr>
          <w:p w14:paraId="20EF5504" w14:textId="77777777" w:rsidR="00B36339" w:rsidRPr="00D25B59" w:rsidRDefault="00B36339" w:rsidP="00B36339">
            <w:pPr>
              <w:pStyle w:val="ListParagraph"/>
              <w:numPr>
                <w:ilvl w:val="0"/>
                <w:numId w:val="9"/>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Small sample size.</w:t>
            </w:r>
          </w:p>
          <w:p w14:paraId="189D36B3" w14:textId="77777777" w:rsidR="00B36339" w:rsidRPr="00D25B59" w:rsidRDefault="00B36339" w:rsidP="00B36339">
            <w:pPr>
              <w:pStyle w:val="ListParagraph"/>
              <w:numPr>
                <w:ilvl w:val="0"/>
                <w:numId w:val="9"/>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Confidence intervals were extremely large</w:t>
            </w:r>
            <w:r>
              <w:rPr>
                <w:rFonts w:ascii="Times New Roman" w:hAnsi="Times New Roman" w:cs="Times New Roman"/>
              </w:rPr>
              <w:t xml:space="preserve"> (some </w:t>
            </w:r>
            <w:r w:rsidRPr="00D25B59">
              <w:rPr>
                <w:rFonts w:ascii="Times New Roman" w:hAnsi="Times New Roman" w:cs="Times New Roman"/>
              </w:rPr>
              <w:t>reaching an upper bound of infinity</w:t>
            </w:r>
            <w:r>
              <w:rPr>
                <w:rFonts w:ascii="Times New Roman" w:hAnsi="Times New Roman" w:cs="Times New Roman"/>
              </w:rPr>
              <w:t xml:space="preserve">). </w:t>
            </w:r>
          </w:p>
        </w:tc>
      </w:tr>
      <w:tr w:rsidR="00B36339" w:rsidRPr="00D25B59" w14:paraId="11C281F2"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04E6B7F4"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Jha et al., 2012,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VJVClUvg","properties":{"unsorted":false,"formattedCitation":"[51]","plainCitation":"[51]","noteIndex":0},"citationItems":[{"id":351,"uris":["http://zotero.org/users/local/knW7qVji/items/8A7687C9"],"itemData":{"id":351,"type":"article-journal","abstract":"Intestinal infections are a significant cause of morbidity and mortality in people living with HIV/AIDS (PLWHA) especially in developing countries. The present study was conducted to assess the clinical and microbiological spectrum in HIV/AIDS cases with diarrhea and to correlate the occurrence of such pathogens with stool characters, HIV seropositivity status, and CD4 counts. Stools from 154 HIV seropositive subjects and 50 HIV negative controls were examined by direct microscopy, fecal cultures, and serological tests (\n              Clostridium difficile\n              Toxin A,\n              Cryptosporidium\n              antigen, and\n              Entamoeba histolytica\n              antigen ELISA). CD4 T cell enumeration was done using FACS count (Becton Dickinson). The study showed a male preponderance (112 males and 42 females). Weakness, abdominal pain, and anorexia were the most common symptoms. Coccidian parasites were the most common cause of diarrhea in HIV seropositive cases.\n              C. parvum\n              was seen in 60.42% while\n              Isospora belli\n              in 9.03%. Amongst the bacterial pathogens\n              C. difficile\n              was detected in 18.06%, diarrheagenic\n              Escherichia coli\n              in 11.11%, and\n              Shigella\n              spp. in 2.78%. Pathogen isolation rates were more in HIV seropositive cases and subjects with low CD4 T lymphocyte counts. Regular monitoring of CD4 T lymphocyte counts and screening for enteric pathogens will help improve the quality of life for PLWHA.","container-title":"Journal of Pathogens","DOI":"10.1155/2012/971958","ISSN":"2090-3057, 2090-3065","journalAbbreviation":"Journal of Pathogens","language":"en","license":"http://creativecommons.org/licenses/by/3.0/","page":"1-7","source":"DOI.org (Crossref)","title":"Clinical and Microbiological Profile of HIV/AIDS Cases with Diarrhea in North India","volume":"2012","author":[{"family":"Jha","given":"Arun Kumar"},{"family":"Uppal","given":"Beena"},{"family":"Chadha","given":"Sanjim"},{"family":"Bhalla","given":"Preena"},{"family":"Ghosh","given":"Roumi"},{"family":"Aggarwal","given":"Prabhav"},{"family":"Dewan","given":"Richa"}],"issued":{"date-parts":[["2012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[51]</w:t>
            </w:r>
            <w:r w:rsidRPr="00D25B59">
              <w:rPr>
                <w:rFonts w:ascii="Times New Roman" w:hAnsi="Times New Roman" w:cs="Times New Roman"/>
              </w:rPr>
              <w:fldChar w:fldCharType="end"/>
            </w:r>
          </w:p>
        </w:tc>
        <w:tc>
          <w:tcPr>
            <w:tcW w:w="0" w:type="auto"/>
            <w:vAlign w:val="center"/>
          </w:tcPr>
          <w:p w14:paraId="222BB8F9"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0263FE2E"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511AD665"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Low</w:t>
            </w:r>
          </w:p>
        </w:tc>
        <w:tc>
          <w:tcPr>
            <w:tcW w:w="0" w:type="auto"/>
            <w:vAlign w:val="center"/>
          </w:tcPr>
          <w:p w14:paraId="0D9FB691" w14:textId="77777777" w:rsidR="00B36339" w:rsidRPr="00D25B59" w:rsidRDefault="00B36339" w:rsidP="00B36339">
            <w:pPr>
              <w:pStyle w:val="ListParagraph"/>
              <w:numPr>
                <w:ilvl w:val="0"/>
                <w:numId w:val="10"/>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Sample recruitment differed for the e</w:t>
            </w:r>
            <w:r w:rsidRPr="00D25B59">
              <w:rPr>
                <w:rFonts w:ascii="Times New Roman" w:hAnsi="Times New Roman" w:cs="Times New Roman"/>
              </w:rPr>
              <w:t>xposed and unexposed groups</w:t>
            </w:r>
            <w:r>
              <w:rPr>
                <w:rFonts w:ascii="Times New Roman" w:hAnsi="Times New Roman" w:cs="Times New Roman"/>
              </w:rPr>
              <w:t xml:space="preserve">. </w:t>
            </w:r>
          </w:p>
          <w:p w14:paraId="432B82EF" w14:textId="77777777" w:rsidR="00B36339" w:rsidRPr="00D25B59" w:rsidRDefault="00B36339" w:rsidP="00B36339">
            <w:pPr>
              <w:pStyle w:val="ListParagraph"/>
              <w:numPr>
                <w:ilvl w:val="0"/>
                <w:numId w:val="10"/>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Limited justification </w:t>
            </w:r>
            <w:r>
              <w:rPr>
                <w:rFonts w:ascii="Times New Roman" w:hAnsi="Times New Roman" w:cs="Times New Roman"/>
              </w:rPr>
              <w:t xml:space="preserve">provided </w:t>
            </w:r>
            <w:r w:rsidRPr="00D25B59">
              <w:rPr>
                <w:rFonts w:ascii="Times New Roman" w:hAnsi="Times New Roman" w:cs="Times New Roman"/>
              </w:rPr>
              <w:t>for methods and setting.</w:t>
            </w:r>
          </w:p>
          <w:p w14:paraId="774AF5BE" w14:textId="77777777" w:rsidR="00B36339" w:rsidRPr="00D25B59" w:rsidRDefault="00B36339" w:rsidP="00B36339">
            <w:pPr>
              <w:pStyle w:val="ListParagraph"/>
              <w:numPr>
                <w:ilvl w:val="0"/>
                <w:numId w:val="10"/>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No </w:t>
            </w:r>
            <w:r w:rsidRPr="00D25B59">
              <w:rPr>
                <w:rFonts w:ascii="Times New Roman" w:hAnsi="Times New Roman" w:cs="Times New Roman"/>
              </w:rPr>
              <w:t>power calculation</w:t>
            </w:r>
            <w:r>
              <w:rPr>
                <w:rFonts w:ascii="Times New Roman" w:hAnsi="Times New Roman" w:cs="Times New Roman"/>
              </w:rPr>
              <w:t>,</w:t>
            </w:r>
            <w:r w:rsidRPr="00D25B59">
              <w:rPr>
                <w:rFonts w:ascii="Times New Roman" w:hAnsi="Times New Roman" w:cs="Times New Roman"/>
              </w:rPr>
              <w:t xml:space="preserve"> confidence intervals, </w:t>
            </w:r>
            <w:r>
              <w:rPr>
                <w:rFonts w:ascii="Times New Roman" w:hAnsi="Times New Roman" w:cs="Times New Roman"/>
              </w:rPr>
              <w:t xml:space="preserve">or adjustment for confounders. </w:t>
            </w:r>
          </w:p>
        </w:tc>
      </w:tr>
      <w:tr w:rsidR="00B36339" w:rsidRPr="00D25B59" w14:paraId="6CEAAD3E"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FFE76B"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Keddy et al., 2012,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HQIbxLZC","properties":{"unsorted":false,"formattedCitation":"[38]","plainCitation":"[38]","noteIndex":0},"citationItems":[{"id":358,"uris":["http://zotero.org/users/local/knW7qVji/items/SK7P64X7"],"itemData":{"id":358,"type":"article-journal","container-title":"Clin Infec Dis","DOI":"10.1093/cid/cis224","ISSN":"1058-4838, 1537-6591","issue":"10","journalAbbreviation":"Clinical Infectious Diseases","language":"en","page":"1448-1454","source":"DOI.org (Crossref)","title":"Systemic Shigellosis in South Africa","volume":"54","author":[{"family":"Keddy","given":"K. H."},{"family":"Sooka","given":"A."},{"family":"Crowther-Gibson","given":"P."},{"family":"Quan","given":"V."},{"family":"Meiring","given":"S."},{"family":"Cohen","given":"C."},{"family":"Nana","given":"T."},{"family":"Sriruttan","given":"C."},{"family":"Seetharam","given":"S."},{"family":"Hoosen","given":"A."},{"family":"Naicker","given":"P."},{"family":"Elliott","given":"E."},{"family":"Haffejee","given":"S."},{"family":"Whitelaw","given":"A."},{"family":"Klugman","given":"K. P."},{"literal":"for the Group for Enteric, Respiratory, and Meningeal Disease Surveillance in South Africa (GERMS-SA)"}],"issued":{"date-parts":[["2012",5,15]]}}}],"schema":"https://github.com/citation-style-language/schema/raw/master/csl-citation.json"}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[38]</w:t>
            </w:r>
            <w:r w:rsidRPr="00D25B59">
              <w:rPr>
                <w:rFonts w:ascii="Times New Roman" w:hAnsi="Times New Roman" w:cs="Times New Roman"/>
              </w:rPr>
              <w:fldChar w:fldCharType="end"/>
            </w:r>
          </w:p>
        </w:tc>
        <w:tc>
          <w:tcPr>
            <w:tcW w:w="0" w:type="auto"/>
            <w:vAlign w:val="center"/>
          </w:tcPr>
          <w:p w14:paraId="0D5DF12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67F9339E"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5E3E150E"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Moderate</w:t>
            </w:r>
          </w:p>
        </w:tc>
        <w:tc>
          <w:tcPr>
            <w:tcW w:w="0" w:type="auto"/>
            <w:vAlign w:val="center"/>
          </w:tcPr>
          <w:p w14:paraId="0EBAA011" w14:textId="77777777" w:rsidR="00B36339" w:rsidRDefault="00B36339" w:rsidP="00B36339">
            <w:pPr>
              <w:pStyle w:val="ListParagraph"/>
              <w:numPr>
                <w:ilvl w:val="0"/>
                <w:numId w:val="1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Sample recruitment </w:t>
            </w:r>
            <w:r>
              <w:rPr>
                <w:rFonts w:ascii="Times New Roman" w:hAnsi="Times New Roman" w:cs="Times New Roman"/>
              </w:rPr>
              <w:t>was inconsistent increased risk of selection bias.</w:t>
            </w:r>
          </w:p>
          <w:p w14:paraId="289B67D2" w14:textId="77777777" w:rsidR="00B36339" w:rsidRPr="00902A88" w:rsidRDefault="00B36339" w:rsidP="00B36339">
            <w:pPr>
              <w:pStyle w:val="ListParagraph"/>
              <w:numPr>
                <w:ilvl w:val="0"/>
                <w:numId w:val="1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w:t>
            </w:r>
            <w:r w:rsidRPr="00D25B59">
              <w:rPr>
                <w:rFonts w:ascii="Times New Roman" w:hAnsi="Times New Roman" w:cs="Times New Roman"/>
              </w:rPr>
              <w:t>nsufficient sample coverage</w:t>
            </w:r>
            <w:r>
              <w:rPr>
                <w:rFonts w:ascii="Times New Roman" w:hAnsi="Times New Roman" w:cs="Times New Roman"/>
              </w:rPr>
              <w:t xml:space="preserve"> increased risk of </w:t>
            </w:r>
            <w:r w:rsidRPr="00D25B59">
              <w:rPr>
                <w:rFonts w:ascii="Times New Roman" w:hAnsi="Times New Roman" w:cs="Times New Roman"/>
              </w:rPr>
              <w:t>selection bias</w:t>
            </w:r>
            <w:r>
              <w:rPr>
                <w:rFonts w:ascii="Times New Roman" w:hAnsi="Times New Roman" w:cs="Times New Roman"/>
              </w:rPr>
              <w:t xml:space="preserve">. </w:t>
            </w:r>
          </w:p>
        </w:tc>
      </w:tr>
      <w:tr w:rsidR="00B36339" w:rsidRPr="00D25B59" w14:paraId="5E97DAAA"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02050815" w14:textId="77777777" w:rsidR="00B36339" w:rsidRPr="00D25B59" w:rsidRDefault="00B36339" w:rsidP="003712C7">
            <w:pPr>
              <w:spacing w:before="60" w:after="60"/>
              <w:jc w:val="center"/>
              <w:rPr>
                <w:rFonts w:ascii="Times New Roman" w:hAnsi="Times New Roman" w:cs="Times New Roman"/>
              </w:rPr>
            </w:pPr>
            <w:proofErr w:type="spellStart"/>
            <w:r w:rsidRPr="00D25B59">
              <w:rPr>
                <w:rFonts w:ascii="Times New Roman" w:hAnsi="Times New Roman" w:cs="Times New Roman"/>
                <w:color w:val="2D374B"/>
                <w:shd w:val="clear" w:color="auto" w:fill="FFFFFF"/>
              </w:rPr>
              <w:t>Mingjun</w:t>
            </w:r>
            <w:proofErr w:type="spellEnd"/>
            <w:r w:rsidRPr="00D25B59">
              <w:rPr>
                <w:rFonts w:ascii="Times New Roman" w:hAnsi="Times New Roman" w:cs="Times New Roman"/>
                <w:color w:val="2D374B"/>
                <w:shd w:val="clear" w:color="auto" w:fill="FFFFFF"/>
              </w:rPr>
              <w:t xml:space="preserve"> et al. 2022, </w:t>
            </w:r>
            <w:r w:rsidRPr="00D25B59">
              <w:rPr>
                <w:rFonts w:ascii="Times New Roman" w:hAnsi="Times New Roman" w:cs="Times New Roman"/>
                <w:color w:val="2D374B"/>
                <w:shd w:val="clear" w:color="auto" w:fill="FFFFFF"/>
              </w:rPr>
              <w:fldChar w:fldCharType="begin"/>
            </w:r>
            <w:r>
              <w:rPr>
                <w:rFonts w:ascii="Times New Roman" w:hAnsi="Times New Roman" w:cs="Times New Roman"/>
                <w:color w:val="2D374B"/>
                <w:shd w:val="clear" w:color="auto" w:fill="FFFFFF"/>
              </w:rPr>
              <w:instrText xml:space="preserve"> ADDIN ZOTERO_ITEM CSL_CITATION {"citationID":"cNCppUjb","properties":{"unsorted":false,"formattedCitation":"[53]","plainCitation":"[53]","noteIndex":0},"citationItems":[{"id":361,"uris":["http://zotero.org/users/local/knW7qVji/items/25X8I5UN"],"itemData":{"id":361,"type":"article-journal","container-title":"Bioengineered","DOI":"10.1080/21655979.2021.2019174","ISSN":"2165-5979, 2165-5987","issue":"2","journalAbbreviation":"Bioengineered","language":"en","page":"4085-4099","source":"DOI.org (Crossref)","title":"16S rDNA sequencing analyzes differences in intestinal flora of human immunodeficiency virus (HIV) patients and association with immune activation","volume":"13","author":[{"family":"Mingjun","given":"Zhang"},{"family":"Fei","given":"Mo"},{"family":"Zhousong","given":"Xu"},{"family":"Wei","given":"Xu"},{"family":"Jian","given":"Xu"},{"family":"Yuanxue","given":"Yi"},{"family":"Youfeng","given":"Shen"},{"family":"Zhongping","given":"Chen"},{"family":"Yiqin","given":"Long"},{"family":"Xiaohong","given":"Zhao"},{"family":"Ying","given":"Cheng"},{"family":"Zhenbing","given":"Wang"},{"family":"Zehu","given":"Deng"},{"family":"Lanjuan","given":"Li"}],"issued":{"date-parts":[["2022",2,1]]}}}],"schema":"https://github.com/citation-style-language/schema/raw/master/csl-citation.json"} </w:instrText>
            </w:r>
            <w:r w:rsidRPr="00D25B59">
              <w:rPr>
                <w:rFonts w:ascii="Times New Roman" w:hAnsi="Times New Roman" w:cs="Times New Roman"/>
                <w:color w:val="2D374B"/>
                <w:shd w:val="clear" w:color="auto" w:fill="FFFFFF"/>
              </w:rPr>
              <w:fldChar w:fldCharType="separate"/>
            </w:r>
            <w:r>
              <w:rPr>
                <w:rFonts w:ascii="Times New Roman" w:hAnsi="Times New Roman" w:cs="Times New Roman"/>
                <w:noProof/>
                <w:color w:val="2D374B"/>
                <w:shd w:val="clear" w:color="auto" w:fill="FFFFFF"/>
              </w:rPr>
              <w:t>[53]</w:t>
            </w:r>
            <w:r w:rsidRPr="00D25B59">
              <w:rPr>
                <w:rFonts w:ascii="Times New Roman" w:hAnsi="Times New Roman" w:cs="Times New Roman"/>
                <w:color w:val="2D374B"/>
                <w:shd w:val="clear" w:color="auto" w:fill="FFFFFF"/>
              </w:rPr>
              <w:fldChar w:fldCharType="end"/>
            </w:r>
          </w:p>
        </w:tc>
        <w:tc>
          <w:tcPr>
            <w:tcW w:w="0" w:type="auto"/>
            <w:vAlign w:val="center"/>
          </w:tcPr>
          <w:p w14:paraId="1613B7F7"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0D854A44"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4D7EBA6A"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11C258B1" w14:textId="77777777" w:rsidR="00B36339" w:rsidRPr="00D25B59" w:rsidRDefault="00B36339" w:rsidP="00B36339">
            <w:pPr>
              <w:pStyle w:val="ListParagraph"/>
              <w:numPr>
                <w:ilvl w:val="0"/>
                <w:numId w:val="11"/>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Strict inclusion criteria for unexposed group </w:t>
            </w:r>
            <w:r>
              <w:rPr>
                <w:rFonts w:ascii="Times New Roman" w:hAnsi="Times New Roman" w:cs="Times New Roman"/>
              </w:rPr>
              <w:t xml:space="preserve">increased risk of </w:t>
            </w:r>
            <w:r w:rsidRPr="00D25B59">
              <w:rPr>
                <w:rFonts w:ascii="Times New Roman" w:hAnsi="Times New Roman" w:cs="Times New Roman"/>
              </w:rPr>
              <w:t>selection bias.</w:t>
            </w:r>
          </w:p>
          <w:p w14:paraId="67D12C28" w14:textId="77777777" w:rsidR="00B36339" w:rsidRPr="00D25B59" w:rsidRDefault="00B36339" w:rsidP="00B36339">
            <w:pPr>
              <w:pStyle w:val="ListParagraph"/>
              <w:numPr>
                <w:ilvl w:val="0"/>
                <w:numId w:val="11"/>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Unclear how relative species abundance was measured.</w:t>
            </w:r>
          </w:p>
        </w:tc>
      </w:tr>
      <w:tr w:rsidR="00B36339" w:rsidRPr="00D25B59" w14:paraId="6FCEFEEE"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2AC8753"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Mitchell et al., 2021,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{"citationID":"UUydp0Fp","properties":{"unsorted":false,"formattedCitation":"[41]","plainCitation":"[41]","noteIndex":0},"citationItems":[{"id":363,"uris":["http://zotero.org/users/local/knW7qVji/items/5LJWR9U4"],"itemData":{"id":363,"type":"article-journal","abstract":"Within the last 2 decades there have been an increasing number of\n              Shigella\n              spp. outbreaks among men who have sex with men (MSM) worldwide. In 2015, Public Health England (PHE) introduced routine whole genome sequencing (WGS) for the national surveillance of\n              Shigella\n              spp.\n            \n          , \n            ABSTRACT\n            \n              The public health value of whole genome sequencing (WGS) for\n              Shigella\n              spp. in England has been limited by a lack of information on sexual identity and behavior. We combined WGS data with other data sources to better understand\n              Shigella flexneri\n              transmission in men who have sex with men (MSM). WGS data for all\n              S. flexneri\n              isolates referred to the national reference laboratory were linked to i) clinical and behavioral data collected in seven of 21 health regions in England using a standardized exposure questionnaire and, ii) national HIV surveillance data. We included 926\n              S. flexneri\n              isolates, of which 43.0% (\n              n\n               = 398) fell phylogenetically within two domestically circulating clades associated with genotypic markers of azithromycin resistance. Approximately one third of isolates in these clades were from people living with HIV, primarily acquired through sex between men. 182 (19.7%) isolates had linked questionnaire data; 88% (84/95) of MSM isolates fell phylogenetically within the domestically circulating clades, while 92% (72/78) of isolates from other cases fell within lineages linked with travel to high-risk regions. There was no evidence of sustained transmission between networks of MSM and the wider community. MSM were more likely to be admitted to hospital and receive antimicrobials. Our study emphasizes the importance of sex between men as a major route of transmission for\n              S. flexneri\n              . Combined WGS, epidemiological and clinical data provide unique insights that can inform contact tracing, clinical management and the delivery of targeted prevention activities. Future studies should investigate why MSM experience more severe clinical outcomes.\n            \n            \n              IMPORTANCE\n              Within the last 2 decades there have been an increasing number of\n              Shigella\n              spp. outbreaks among men who have sex with men (MSM) worldwide. In 2015, Public Health England (PHE) introduced routine whole genome sequencing (WGS) for the national surveillance of\n              Shigella\n              spp. However, the lack of information on sexual identity and behavior has hindered interpretation. Our study illustrates the power of linking WGS data with epidemiological, behavioral, and clinical data. We provide unique population-level insights into different transmission networks that can inform the delivery of appropriate public health interventions and patient management. Furthermore, we describe and compare clinical characteristics and outcomes of\n              S. flexneri\n              infection in MSM and other exposure groups. We found that MSM were more likely to be admitted to hospital and receive antimicrobials, indicating that their infections were potentially more severe. The exact reasons for this are unclear and require further exploration.","container-title":"Microbiology Spectrum","DOI":"10.1128/Spectrum.01213-21","ISSN":"2165-0497","issue":"3","journalAbbreviation":"Microbiol Spectr","language":"en","page":"e01213-21","source":"DOI.org (Crossref)","title":"Linkage of Whole Genome Sequencing, Epidemiological, and Clinical Data to Understand the Genetic Diversity and Clinical Outcomes of Shigella flexneri among Men Who Have Sex with Men in England","volume":"9","author":[{"family":"Mitchell","given":"Holly D."},{"family":"Thomson","given":"Nicholas R."},{"family":"Jenkins","given":"Claire"},{"family":"Dallman","given":"Timothy J."},{"family":"Painset","given":"Anaïs"},{"family":"Kirwan","given":"Peter"},{"family":"Delpech","given":"Valerie"},{"family":"Mikhail","given":"Amy F. W."},{"family":"Field","given":"Nigel"},{"family":"Hughes","given":"Gwenda"}],"editor":[{"family":"Chen","given":"Swaine L."}],"issued":{"date-parts":[["2021",12,22]]}}}],"schema":"https://github.com/citation-style-language/schema/raw/master/csl-citation.json"}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[41]</w:t>
            </w:r>
            <w:r w:rsidRPr="00D25B59">
              <w:rPr>
                <w:rFonts w:ascii="Times New Roman" w:hAnsi="Times New Roman" w:cs="Times New Roman"/>
              </w:rPr>
              <w:fldChar w:fldCharType="end"/>
            </w:r>
          </w:p>
        </w:tc>
        <w:tc>
          <w:tcPr>
            <w:tcW w:w="0" w:type="auto"/>
            <w:vAlign w:val="center"/>
          </w:tcPr>
          <w:p w14:paraId="2FD02D4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6065EA7D"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40E1AB41"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2C73C165" w14:textId="77777777" w:rsidR="00B36339" w:rsidRPr="00D25B59" w:rsidRDefault="00B36339" w:rsidP="00B36339">
            <w:pPr>
              <w:pStyle w:val="ListParagraph"/>
              <w:numPr>
                <w:ilvl w:val="0"/>
                <w:numId w:val="12"/>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w:t>
            </w:r>
            <w:r w:rsidRPr="00D25B59">
              <w:rPr>
                <w:rFonts w:ascii="Times New Roman" w:hAnsi="Times New Roman" w:cs="Times New Roman"/>
              </w:rPr>
              <w:t>nsufficient sample coverage</w:t>
            </w:r>
            <w:r>
              <w:rPr>
                <w:rFonts w:ascii="Times New Roman" w:hAnsi="Times New Roman" w:cs="Times New Roman"/>
              </w:rPr>
              <w:t xml:space="preserve"> increased risk of </w:t>
            </w:r>
            <w:r w:rsidRPr="00D25B59">
              <w:rPr>
                <w:rFonts w:ascii="Times New Roman" w:hAnsi="Times New Roman" w:cs="Times New Roman"/>
              </w:rPr>
              <w:t>selection bias</w:t>
            </w:r>
            <w:r>
              <w:rPr>
                <w:rFonts w:ascii="Times New Roman" w:hAnsi="Times New Roman" w:cs="Times New Roman"/>
              </w:rPr>
              <w:t>.</w:t>
            </w:r>
          </w:p>
        </w:tc>
      </w:tr>
      <w:tr w:rsidR="00B36339" w:rsidRPr="00D25B59" w14:paraId="5B99B744"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7316D5FC"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Ridpath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kXjKuiSS","properties":{"unsorted":false,"formattedCitation":"[42]","plainCitation":"[42]","noteIndex":0},"citationItems":[{"id":365,"uris":["http://zotero.org/users/local/knW7qVji/items/3B6SMBJM"],"itemData":{"id":365,"type":"article-journal","abstract":"Background\n              \n                Shigella\n                species, which cause acute diarrheal disease, are transmitted via fecal-oral and sexual contact. To better understand the overlapping populations affected by\n                Shigella\n                infections and sexually transmitted infections (STIs) in the United States, we examined the occurrence of reported STIs within 24 months among shigellosis case-patients.\n              \n            \n            \n              Methods\n              \n                Culture-confirmed\n                Shigella\n                cases diagnosed from 2007 to 2016 among residents of 6 US jurisdictions were matched to reports of STIs (chlamydia, gonorrhea, and all stages of syphilis) diagnosed 12 months before or after the shigellosis case. We examined epidemiologic characteristics and reported temporal trends of\n                Shigella\n                cases by sex and species.\n              \n            \n            \n              Results\n              From 2007 to 2016, 10,430 shigellosis cases were reported. The annual number of reported shigellosis cases across jurisdictions increased 70%, from 821 cases in 2007 to 1398 cases in 2016; males saw a larger increase compared with females. Twenty percent of male shigellosis case-patients had an STI reported in the reference period versus 4% of female case-patients. The percentage of male shigellosis case-patients with an STI increased from 11% (2007) to 28% (2016); the overall percentage among females remained low.\n            \n            \n              Conclusions\n              We highlight the substantial proportion of males with shigellosis who were diagnosed with STIs within 24 months and the benefit of matching data across programs. Sexually transmitted infection screening may be warranted for male shigellosis case-patients.","container-title":"Sexually Transmitted Diseases","DOI":"10.1097/OLQ.0000000000001641","ISSN":"1537-4521, 0148-5717","issue":"8","journalAbbreviation":"Sexual Trans Dis","language":"en","page":"576-581","source":"DOI.org (Crossref)","title":"Shigellosis Cases With Bacterial Sexually Transmitted Infections: Population-Based Data From 6 US Jurisdictions, 2007 to 2016","title-short":"Shigellosis Cases With Bacterial Sexually Transmitted Infections","volume":"49","author":[{"family":"Ridpath","given":"Alison D."},{"family":"Vanden Esschert","given":"Kayla L."},{"family":"Bragg","given":"Sarah"},{"family":"Campbell","given":"Stephanie"},{"family":"Convery","given":"Christine"},{"family":"Cope","given":"Anna"},{"family":"Devinney","given":"Katelynn"},{"family":"Diesel","given":"Jill C."},{"family":"Kikuchi","given":"Nicole"},{"family":"Lee","given":"Nicole"},{"family":"Lewis","given":"Felicia M.T."},{"family":"Matthias","given":"James"},{"family":"Pathela","given":"Preeti"},{"family":"Pugsley","given":"River"},{"family":"Sanderson Slutsker","given":"Jennifer"},{"family":"Schillinger","given":"Julia A."},{"family":"Thompson","given":"Corinne"},{"family":"Tingey","given":"Colleen"},{"family":"Wilson","given":"Janae"},{"family":"Newman","given":"Daniel R."},{"family":"Marsh","given":"Zachary A."},{"family":"Garcia-Williams","given":"Amanda G."},{"family":"Kirkcaldy","given":"Robert D."}],"issued":{"date-parts":[["2022",8]]}}}],"schema":"https://github.com/citation-style-language/schema/raw/master/csl-citation.json"}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[42]</w:t>
            </w:r>
            <w:r w:rsidRPr="00D25B59">
              <w:rPr>
                <w:rFonts w:ascii="Times New Roman" w:hAnsi="Times New Roman" w:cs="Times New Roman"/>
              </w:rPr>
              <w:fldChar w:fldCharType="end"/>
            </w:r>
          </w:p>
        </w:tc>
        <w:tc>
          <w:tcPr>
            <w:tcW w:w="0" w:type="auto"/>
            <w:vAlign w:val="center"/>
          </w:tcPr>
          <w:p w14:paraId="4E1C298B"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2972A339"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2DEC8080"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High</w:t>
            </w:r>
          </w:p>
        </w:tc>
        <w:tc>
          <w:tcPr>
            <w:tcW w:w="0" w:type="auto"/>
            <w:vAlign w:val="center"/>
          </w:tcPr>
          <w:p w14:paraId="650A6A37" w14:textId="77777777" w:rsidR="00B36339" w:rsidRPr="00D25B59" w:rsidRDefault="00B36339" w:rsidP="00B36339">
            <w:pPr>
              <w:pStyle w:val="ListParagraph"/>
              <w:numPr>
                <w:ilvl w:val="0"/>
                <w:numId w:val="12"/>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U</w:t>
            </w:r>
            <w:r w:rsidRPr="00D25B59">
              <w:rPr>
                <w:rFonts w:ascii="Times New Roman" w:hAnsi="Times New Roman" w:cs="Times New Roman"/>
              </w:rPr>
              <w:t xml:space="preserve">navailable </w:t>
            </w:r>
            <w:r>
              <w:rPr>
                <w:rFonts w:ascii="Times New Roman" w:hAnsi="Times New Roman" w:cs="Times New Roman"/>
              </w:rPr>
              <w:t xml:space="preserve">HIV data </w:t>
            </w:r>
            <w:r w:rsidRPr="00D25B59">
              <w:rPr>
                <w:rFonts w:ascii="Times New Roman" w:hAnsi="Times New Roman" w:cs="Times New Roman"/>
              </w:rPr>
              <w:t>for 2 study locations</w:t>
            </w:r>
            <w:r>
              <w:rPr>
                <w:rFonts w:ascii="Times New Roman" w:hAnsi="Times New Roman" w:cs="Times New Roman"/>
              </w:rPr>
              <w:t xml:space="preserve"> increased risk of selection bias. </w:t>
            </w:r>
          </w:p>
        </w:tc>
      </w:tr>
      <w:tr w:rsidR="00B36339" w:rsidRPr="00D25B59" w14:paraId="0A12106A"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188C23"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color w:val="2D374B"/>
                <w:shd w:val="clear" w:color="auto" w:fill="FFFFFF"/>
              </w:rPr>
              <w:t xml:space="preserve">San-Juan-Vergara et al., 2018, </w:t>
            </w:r>
            <w:r w:rsidRPr="00D25B59">
              <w:rPr>
                <w:rFonts w:ascii="Times New Roman" w:hAnsi="Times New Roman" w:cs="Times New Roman"/>
                <w:color w:val="2D374B"/>
                <w:shd w:val="clear" w:color="auto" w:fill="FFFFFF"/>
              </w:rPr>
              <w:fldChar w:fldCharType="begin"/>
            </w:r>
            <w:r>
              <w:rPr>
                <w:rFonts w:ascii="Times New Roman" w:hAnsi="Times New Roman" w:cs="Times New Roman"/>
                <w:color w:val="2D374B"/>
                <w:shd w:val="clear" w:color="auto" w:fill="FFFFFF"/>
              </w:rPr>
              <w:instrText xml:space="preserve"> ADDIN ZOTERO_ITEM CSL_CITATION {"citationID":"x9homzb4","properties":{"unsorted":false,"formattedCitation":"[56]","plainCitation":"[56]","noteIndex":0},"citationItems":[{"id":366,"uris":["http://zotero.org/users/local/knW7qVji/items/IK9ZXS5G"],"itemData":{"id":366,"type":"article-journal","abstract":"Abstract\n            \n              HIV infection has a tremendous impact on the immune system’s proper functioning. The mucosa-associated lymphoid tissue (MALT) is significantly disarrayed during HIV infection. Compositional changes in the gut microbiota might contribute to the mucosal barrier disruption, and consequently to microbial translocation. We performed an observational, cross-sectional study aimed at evaluating changes in the fecal microbiota of HIV-infected individuals from Colombia. We analyzed the fecal microbiota of 37 individuals via 16S rRNA gene sequencing; 25 HIV-infected patients and 12 control (non-infected) individuals, which were similar in body mass index, age, gender balance and socioeconomic status. To the best of our knowledge, no such studies have been conducted in Latin American countries. Given its compositional nature, microbiota data were normalized and transformed using Aitchison’s Centered Log-Ratio. Overall, a change in the network structure in HIV-infected patients was revealed by using the SPIEC-EASI MB tool. Genera such as\n              Blautia\n              ,\n              Dorea\n              ,\n              Yersinia\n              ,\n              Escherichia-Shigella\n              complex,\n              Staphylococcus\n              , and\n              Bacteroides\n              were highly relevant in HIV-infected individuals. Differential abundance analysis by both sparse Partial Least Square-Discriminant Analysis and Random Forest identified a greater abundance of Lachnospiraceae-OTU69,\n              Blautia\n              ,\n              Dorea\n              ,\n              Roseburia\n              , and Erysipelotrichaceae in HIV-infected individuals. We show here, for the first time, a predominantly Lachnospiraceae-based signature in HIV-infected individuals.","container-title":"Scientific Reports","DOI":"10.1038/s41598-018-22629-7","ISSN":"2045-2322","issue":"1","journalAbbreviation":"Sci Rep","language":"en","page":"4479","source":"DOI.org (Crossref)","title":"A Lachnospiraceae-dominated bacterial signature in the fecal microbiota of HIV-infected individuals from Colombia, South America","volume":"8","author":[{"family":"San-Juan-Vergara","given":"Homero"},{"family":"Zurek","given":"Eduardo"},{"family":"Ajami","given":"Nadim J."},{"family":"Mogollon","given":"Christian"},{"family":"Peña","given":"Mario"},{"family":"Portnoy","given":"Ivan"},{"family":"Vélez","given":"Jorge I."},{"family":"Cadena-Cruz","given":"Christian"},{"family":"Diaz-Olmos","given":"Yirys"},{"family":"Hurtado-Gómez","given":"Leidy"},{"family":"Sanchez-Sit","given":"Silvana"},{"family":"Hernández","given":"Danitza"},{"family":"Urruchurtu","given":"Irina"},{"family":"Di-Ruggiero","given":"Pierina"},{"family":"Guardo-García","given":"Ella"},{"family":"Torres","given":"Nury"},{"family":"Vidal-Orjuela","given":"Oscar"},{"family":"Viasus","given":"Diego"},{"family":"Petrosino","given":"Joseph F."},{"family":"Cervantes-Acosta","given":"Guillermo"}],"issued":{"date-parts":[["2018",3,14]]}}}],"schema":"https://github.com/citation-style-language/schema/raw/master/csl-citation.json"} </w:instrText>
            </w:r>
            <w:r w:rsidRPr="00D25B59">
              <w:rPr>
                <w:rFonts w:ascii="Times New Roman" w:hAnsi="Times New Roman" w:cs="Times New Roman"/>
                <w:color w:val="2D374B"/>
                <w:shd w:val="clear" w:color="auto" w:fill="FFFFFF"/>
              </w:rPr>
              <w:fldChar w:fldCharType="separate"/>
            </w:r>
            <w:r>
              <w:rPr>
                <w:rFonts w:ascii="Times New Roman" w:hAnsi="Times New Roman" w:cs="Times New Roman"/>
                <w:noProof/>
                <w:color w:val="2D374B"/>
                <w:shd w:val="clear" w:color="auto" w:fill="FFFFFF"/>
              </w:rPr>
              <w:t>[56]</w:t>
            </w:r>
            <w:r w:rsidRPr="00D25B59">
              <w:rPr>
                <w:rFonts w:ascii="Times New Roman" w:hAnsi="Times New Roman" w:cs="Times New Roman"/>
                <w:color w:val="2D374B"/>
                <w:shd w:val="clear" w:color="auto" w:fill="FFFFFF"/>
              </w:rPr>
              <w:fldChar w:fldCharType="end"/>
            </w:r>
          </w:p>
        </w:tc>
        <w:tc>
          <w:tcPr>
            <w:tcW w:w="0" w:type="auto"/>
            <w:vAlign w:val="center"/>
          </w:tcPr>
          <w:p w14:paraId="4FC4EBC9"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50966C63"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35C90129"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High</w:t>
            </w:r>
          </w:p>
        </w:tc>
        <w:tc>
          <w:tcPr>
            <w:tcW w:w="0" w:type="auto"/>
            <w:vAlign w:val="center"/>
          </w:tcPr>
          <w:p w14:paraId="7B3E4AA6" w14:textId="77777777" w:rsidR="00B36339" w:rsidRPr="00D25B59" w:rsidRDefault="00B36339" w:rsidP="00B36339">
            <w:pPr>
              <w:pStyle w:val="ListParagraph"/>
              <w:numPr>
                <w:ilvl w:val="0"/>
                <w:numId w:val="12"/>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w:t>
            </w:r>
            <w:r w:rsidRPr="00D25B59">
              <w:rPr>
                <w:rFonts w:ascii="Times New Roman" w:hAnsi="Times New Roman" w:cs="Times New Roman"/>
              </w:rPr>
              <w:t xml:space="preserve">recruitment </w:t>
            </w:r>
            <w:r>
              <w:rPr>
                <w:rFonts w:ascii="Times New Roman" w:hAnsi="Times New Roman" w:cs="Times New Roman"/>
              </w:rPr>
              <w:t xml:space="preserve">of exposed group </w:t>
            </w:r>
            <w:r w:rsidRPr="00D25B59">
              <w:rPr>
                <w:rFonts w:ascii="Times New Roman" w:hAnsi="Times New Roman" w:cs="Times New Roman"/>
              </w:rPr>
              <w:t>conducted at healthcare centres</w:t>
            </w:r>
            <w:r>
              <w:rPr>
                <w:rFonts w:ascii="Times New Roman" w:hAnsi="Times New Roman" w:cs="Times New Roman"/>
              </w:rPr>
              <w:t xml:space="preserve"> increased risk of </w:t>
            </w:r>
            <w:r w:rsidRPr="00D25B59">
              <w:rPr>
                <w:rFonts w:ascii="Times New Roman" w:hAnsi="Times New Roman" w:cs="Times New Roman"/>
              </w:rPr>
              <w:t>selection bias.</w:t>
            </w:r>
          </w:p>
          <w:p w14:paraId="1FC2AA75" w14:textId="77777777" w:rsidR="00B36339" w:rsidRPr="00D25B59" w:rsidRDefault="00B36339" w:rsidP="00B36339">
            <w:pPr>
              <w:pStyle w:val="ListParagraph"/>
              <w:numPr>
                <w:ilvl w:val="0"/>
                <w:numId w:val="12"/>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recruitment of unexposed group </w:t>
            </w:r>
            <w:r w:rsidRPr="00D25B59">
              <w:rPr>
                <w:rFonts w:ascii="Times New Roman" w:hAnsi="Times New Roman" w:cs="Times New Roman"/>
              </w:rPr>
              <w:t>conducted at blood</w:t>
            </w:r>
            <w:r>
              <w:rPr>
                <w:rFonts w:ascii="Times New Roman" w:hAnsi="Times New Roman" w:cs="Times New Roman"/>
              </w:rPr>
              <w:t xml:space="preserve"> </w:t>
            </w:r>
            <w:r w:rsidRPr="00D25B59">
              <w:rPr>
                <w:rFonts w:ascii="Times New Roman" w:hAnsi="Times New Roman" w:cs="Times New Roman"/>
              </w:rPr>
              <w:t>bank</w:t>
            </w:r>
            <w:r>
              <w:rPr>
                <w:rFonts w:ascii="Times New Roman" w:hAnsi="Times New Roman" w:cs="Times New Roman"/>
              </w:rPr>
              <w:t xml:space="preserve"> increased risk of </w:t>
            </w:r>
            <w:r w:rsidRPr="00D25B59">
              <w:rPr>
                <w:rFonts w:ascii="Times New Roman" w:hAnsi="Times New Roman" w:cs="Times New Roman"/>
              </w:rPr>
              <w:t>health</w:t>
            </w:r>
            <w:r>
              <w:rPr>
                <w:rFonts w:ascii="Times New Roman" w:hAnsi="Times New Roman" w:cs="Times New Roman"/>
              </w:rPr>
              <w:t>y</w:t>
            </w:r>
            <w:r w:rsidRPr="00D25B59">
              <w:rPr>
                <w:rFonts w:ascii="Times New Roman" w:hAnsi="Times New Roman" w:cs="Times New Roman"/>
              </w:rPr>
              <w:t xml:space="preserve"> donor bias.</w:t>
            </w:r>
          </w:p>
        </w:tc>
      </w:tr>
      <w:tr w:rsidR="00B36339" w:rsidRPr="00D25B59" w14:paraId="0694BBF6"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720C780A"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Tsai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q5DdR0Kp","properties":{"unsorted":false,"formattedCitation":"[17]","plainCitation":"[17]","noteIndex":0},"citationItems":[{"id":368,"uris":["http://zotero.org/users/local/knW7qVji/items/WTPXK9B5"],"itemData":{"id":368,"type":"article-journal","container-title":"Emerging Microbes &amp; Infections","DOI":"10.1080/22221751.2022.2031309","ISSN":"2222-1751","issue":"1","journalAbbreviation":"Emerging Microbes &amp; Infections","language":"en","page":"498-506","source":"DOI.org (Crossref)","title":"Changing epidemiology of shigellosis in Taiwan, 2010-2019: an emerging threat to HIV-infected patients and men who have sex with men","title-short":"Changing epidemiology of shigellosis in Taiwan, 2010-2019","volume":"11","author":[{"family":"Tsai","given":"Chin-Shiang"},{"family":"Lin","given":"Kuan-Yin"},{"family":"Liou","given":"Bo-Huang"},{"family":"Chiou","given":"Chien-Shun"},{"family":"Lin","given":"Yi-Chun"},{"family":"Lee","given":"Yuan-Ti"},{"family":"Yang","given":"Chia-Jui"},{"family":"Tang","given":"Hung-Jen"},{"family":"Liao","given":"Ying-Shu"},{"family":"Liu","given":"Chun-Eng"},{"family":"Lee","given":"Chen-Hsiang"},{"family":"Lu","given":"Po-Liang"},{"family":"Huang","given":"Sung-Hsi"},{"family":"Hung","given":"Chien-Ching"},{"family":"Ko","given":"Wen-Chien"},{"literal":"on behalf of the Taiwan HIV Study Group"}],"issued":{"date-parts":[["2022",12,31]]}}}],"schema":"https://github.com/citation-style-language/schema/raw/master/csl-citation.json"}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[17]</w:t>
            </w:r>
            <w:r w:rsidRPr="00D25B59">
              <w:rPr>
                <w:rFonts w:ascii="Times New Roman" w:hAnsi="Times New Roman" w:cs="Times New Roman"/>
              </w:rPr>
              <w:fldChar w:fldCharType="end"/>
            </w:r>
          </w:p>
        </w:tc>
        <w:tc>
          <w:tcPr>
            <w:tcW w:w="0" w:type="auto"/>
            <w:vAlign w:val="center"/>
          </w:tcPr>
          <w:p w14:paraId="6366070D"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5C295B75"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39A67A43"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High</w:t>
            </w:r>
          </w:p>
        </w:tc>
        <w:tc>
          <w:tcPr>
            <w:tcW w:w="0" w:type="auto"/>
            <w:vAlign w:val="center"/>
          </w:tcPr>
          <w:p w14:paraId="42AD1F40" w14:textId="77777777" w:rsidR="00B36339" w:rsidRPr="00D25B59" w:rsidRDefault="00B36339" w:rsidP="00B36339">
            <w:pPr>
              <w:pStyle w:val="ListParagraph"/>
              <w:numPr>
                <w:ilvl w:val="0"/>
                <w:numId w:val="13"/>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recruitment from large hospitals increased risk of selection bias. </w:t>
            </w:r>
          </w:p>
        </w:tc>
      </w:tr>
      <w:tr w:rsidR="00B36339" w:rsidRPr="00D25B59" w14:paraId="54B1F8EF"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FB7A73"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lastRenderedPageBreak/>
              <w:t xml:space="preserve">Tian et al., 2024,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83I8AyNA","properties":{"unsorted":false,"formattedCitation":"[54]","plainCitation":"[54]","noteIndex":0},"citationItems":[{"id":370,"uris":["http://zotero.org/users/local/knW7qVji/items/W8NVRQYD"],"itemData":{"id":370,"type":"article-journal","abstract":"ABSTRACT\n            \n              \n              \n                The gut microbiome has a pivotal function in human immunodeficiency virus (HIV). However, the associated alterations in the gut microbiome-host interaction are unknown. Herein, we aimed to investigate the gut microbiota and fecal metabolites in people living with HIV (PLWH). We collected stool samples from 70 PLWH and 34 healthy controls (HCs) and carried out 16S rRNA gene sequencing and analyzed the metabolites using liquid chromatography-mass spectrometry.\n                Firmicutes\n                ,\n                Proteobacteria\n                ,\n                Actinobacteriota\n                , and\n                Bacteroidota\n                were the most abundant phyla in both groups. Among genera, the level of\n                Escherichia\n                -\n                Shigella\n                was upregulated significantly in the PLWH group, whereas in the HC group,\n                Bacteroides\n                spp. were upregulated. Prediction of microbial function indicated significant reductions in alanine, aspartate, glutamate, and histidine metabolism. Furthermore, a comparison of the fecal metabolites between the HC and PLWH groups identified 38 differentially abundant metabolites in four differentially enriched human metabolic pathways. According to Spearman correlation analysis, there are close relationships between four differentially abundant microbiota members and five differentially abundant fecal metabolites, which might influence particular human metabolic pathways. Our findings provide a basis for further experimental investigation of the contribution of the gut microbiota and its associated metabolites to HIV/AIDS, providing a novel perspective for the further study of HIV/AIDS.\n              \n              \n                IMPORTANCE\n                \n                  Growing evidence demonstrates that the gut microbiota is associated with HIV. This study investigated changes in the gut microbiota and fecal metabolites in PLWH. We identified 38 differentially abundant metabolites in four differentially enriched human metabolic pathways. Moreover, close relationships were noted between the four differentially abundant microbiota members and five differentially abundant fecal metabolites, which might influence particular human metabolic pathways. Thus, to benefit PLWH, potential pathobionts could be reduced (e.g., g_\n                  Enterococcus\n                  ); probiotics could be increased (e.g., g_\n                  Faecalibacterium\n                  and g_\n                  Agathobacter\n                  ); or certain metabolites (e.g., N-acetyl-L-phenylalanine and trehalose) could be reduced by changes in diet or the use of nutritional supplements. Our results provide insights into the interaction between the gut microbiota and the host, identifying possible targets that might be beneficial for PLWH.\n                \n              \n            \n          , \n            \n              Growing evidence demonstrates that the gut microbiota is associated with HIV. This study investigated changes in the gut microbiota and fecal metabolites in PLWH. We identified 38 differentially abundant metabolites in four differentially enriched human metabolic pathways. Moreover, close relationships were noted between the four differentially abundant microbiota members and five differentially abundant fecal metabolites, which might influence particular human metabolic pathways. Thus, to benefit PLWH, potential pathobionts could be reduced (e.g., g_\n              Enterococcus\n              ); probiotics could be increased (e.g., g_\n              Faecalibacterium\n              and g_\n              Agathobacter\n              ); or certain metabolites (e.g., N-acetyl-L-phenylalanine and trehalose) could be reduced by changes in diet or the use of nutritional supplements. Our results provide insights into the interaction between the gut microbiota and the host, identifying possible targets that might be beneficial for PLWH.","container-title":"Microbiology Spectrum","DOI":"10.1128/spectrum.00238-24","ISSN":"2165-0497","issue":"11","journalAbbreviation":"Microbiol Spectr","language":"en","page":"e00238-24","source":"DOI.org (Crossref)","title":"Analysis of the gut microbiota and fecal metabolites in people living with HIV","volume":"12","author":[{"family":"Tian","given":"Xuebin"},{"family":"Xie","given":"Yiwen"},{"family":"Yu","given":"Lifeng"},{"family":"Yao","given":"Peng"},{"family":"Dong","given":"Mingqing"},{"family":"Jin","given":"Changzhong"},{"family":"Wu","given":"Nanping"}],"editor":[{"family":"Khare","given":"Sangeeta"}],"issued":{"date-parts":[["2024",11,5]]}}}],"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[54]</w:t>
            </w:r>
            <w:r w:rsidRPr="00D25B59">
              <w:rPr>
                <w:rFonts w:ascii="Times New Roman" w:hAnsi="Times New Roman" w:cs="Times New Roman"/>
              </w:rPr>
              <w:fldChar w:fldCharType="end"/>
            </w:r>
          </w:p>
        </w:tc>
        <w:tc>
          <w:tcPr>
            <w:tcW w:w="0" w:type="auto"/>
            <w:vAlign w:val="center"/>
          </w:tcPr>
          <w:p w14:paraId="54955C73"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01089D5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4288EC3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19DB037A" w14:textId="77777777" w:rsidR="00B36339" w:rsidRPr="00D25B59" w:rsidRDefault="00B36339" w:rsidP="00B36339">
            <w:pPr>
              <w:pStyle w:val="ListParagraph"/>
              <w:numPr>
                <w:ilvl w:val="0"/>
                <w:numId w:val="13"/>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Aimed to identify “risk factors” when cross-sectional studies cannot imply temporality.</w:t>
            </w:r>
          </w:p>
          <w:p w14:paraId="02212A2E" w14:textId="77777777" w:rsidR="00B36339" w:rsidRPr="00D25B59" w:rsidRDefault="00B36339" w:rsidP="00B36339">
            <w:pPr>
              <w:pStyle w:val="ListParagraph"/>
              <w:numPr>
                <w:ilvl w:val="0"/>
                <w:numId w:val="13"/>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recruitment of </w:t>
            </w:r>
            <w:r w:rsidRPr="00D25B59">
              <w:rPr>
                <w:rFonts w:ascii="Times New Roman" w:hAnsi="Times New Roman" w:cs="Times New Roman"/>
              </w:rPr>
              <w:t xml:space="preserve">unexposed group is not </w:t>
            </w:r>
            <w:r>
              <w:rPr>
                <w:rFonts w:ascii="Times New Roman" w:hAnsi="Times New Roman" w:cs="Times New Roman"/>
              </w:rPr>
              <w:t xml:space="preserve">sufficiently </w:t>
            </w:r>
            <w:r w:rsidRPr="00D25B59">
              <w:rPr>
                <w:rFonts w:ascii="Times New Roman" w:hAnsi="Times New Roman" w:cs="Times New Roman"/>
              </w:rPr>
              <w:t>described.</w:t>
            </w:r>
          </w:p>
          <w:p w14:paraId="4D5BC56E" w14:textId="77777777" w:rsidR="00B36339" w:rsidRPr="00D25B59" w:rsidRDefault="00B36339" w:rsidP="00B36339">
            <w:pPr>
              <w:pStyle w:val="ListParagraph"/>
              <w:numPr>
                <w:ilvl w:val="0"/>
                <w:numId w:val="13"/>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D</w:t>
            </w:r>
            <w:r>
              <w:rPr>
                <w:rFonts w:ascii="Times New Roman" w:hAnsi="Times New Roman" w:cs="Times New Roman"/>
              </w:rPr>
              <w:t xml:space="preserve">ata analysis did not adjust for </w:t>
            </w:r>
            <w:r w:rsidRPr="00D25B59">
              <w:rPr>
                <w:rFonts w:ascii="Times New Roman" w:hAnsi="Times New Roman" w:cs="Times New Roman"/>
              </w:rPr>
              <w:t>ART status.</w:t>
            </w:r>
          </w:p>
        </w:tc>
      </w:tr>
      <w:tr w:rsidR="00B36339" w:rsidRPr="00D25B59" w14:paraId="6D7A03EB"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4AA7CFDA"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Wilmer et al., 2015,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Vp10aiK1","properties":{"unsorted":false,"formattedCitation":"[16]","plainCitation":"[16]","noteIndex":0},"citationItems":[{"id":372,"uris":["http://zotero.org/users/local/knW7qVji/items/G2CGH4EN"],"itemData":{"id":372,"type":"article-journal","abstract":"Objectives\n              \n                Outbreaks of shigellosis have been documented in men who have sex with men (\n                MSM\n                ), associated with interpersonal transmission and underlying\n                HIV\n                infection. We observed a rise in\n                \n                  S\n                  higella flexneri\n                \n                isolates identified in a downtown tertiary‐care hospital laboratory located within the city centre community health area (\n                CHA\n                ‐1) of\n                V\n                ancouver,\n                C\n                anada. The objectives of this study were to evaluate clinical outcomes of shigellosis cases among MSM admitted to hospital and to evaluate trends in\n                Shigella\n                cases within Vancouver, Canada.\n              \n            \n            \n              Methods\n              \n                Adult rates of shigellosis were analysed by gender and health region, from 2005 to 2011, followed by retrospective chart review of all hospital laboratory‐identified\n                \n                  S\n                  . flexneri\n                \n                cases from 2008 to 2012. Serotyping and pulsed‐field gel electrophoresis (\n                PFGE\n                ) were performed on these isolates.\n              \n            \n            \n              Results\n              \n                Although shigellosis rates in men within\n                CHA\n                ‐1 did not change from 2005 to 2011 (range 33.4–68.5 per 100 000;\n                P\n                 = 0.74), they were significantly higher than in other regions within the city of\n                V\n                ancouver (\n                P\n                 ≤ 0.001) and the province of\n                B\n                ritish\n                C\n                olumbia (\n                P\n                 ≤ 0.001).\n                \n                  S\n                  higella flexneri\n                \n                rates in men within\n                CHA\n                ‐1 increased significantly (range 2.3–51.4 per 100 000;\n                P\n                 &lt; 0.001), starting in 2008, and were higher than in other regions within Vancouver (\n                P\n                 ≤ 0.01). Seventy‐nine isolates of\n                \n                  S\n                  . flexneri\n                \n                from 72 patients were identified by a single hospital laboratory. All patients were male and predominantly\n                MSM\n                (91.7%) and\n                HIV\n                ‐infected (86.1%), with most (92.6%) demonstrating\n                CD4\n                counts ≥ 200 cells/μL. In total, 38.0% required hospitalization. Most (87.3%) had\n                \n                  S\n                  . flexneri\n                \n                serotype 1 infection, with 72.9% of these representing a single\n                PFGE\n                pattern.\n              \n            \n            \n              Conclusions\n              \n                We identified high levels of transmission of a primarily clonal strain of\n                \n                  S\n                  . flexneri\n                \n                serotype 1 in our local\n                MSM\n                population, resulting in a substantial burden of illness and health care resource use secondary to hospital admissions.","container-title":"HIV Medicine","DOI":"10.1111/hiv.12191","ISSN":"1464-2662, 1468-1293","issue":"3","journalAbbreviation":"HIV Medicine","language":"en","license":"http://onlinelibrary.wiley.com/termsAndConditions#vor","page":"168-175","source":"DOI.org (Crossref)","title":"Shigella flexneri serotype 1 infections in men who have sex with men in Vancouver, Canada","title-short":"&lt;i&gt; &lt;span style=\"font-variant&lt;/i&gt;","volume":"16","author":[{"family":"Wilmer","given":"A"},{"family":"Romney","given":"Mg"},{"family":"Gustafson","given":"R"},{"family":"Sandhu","given":"J"},{"family":"Chu","given":"T"},{"family":"Ng","given":"C"},{"family":"Hoang","given":"L"},{"family":"Champagne","given":"S"},{"family":"Hull","given":"Mw"}],"issued":{"date-parts":[["2015",3]]}}}],"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[16]</w:t>
            </w:r>
            <w:r w:rsidRPr="00D25B59">
              <w:rPr>
                <w:rFonts w:ascii="Times New Roman" w:hAnsi="Times New Roman" w:cs="Times New Roman"/>
              </w:rPr>
              <w:fldChar w:fldCharType="end"/>
            </w:r>
          </w:p>
        </w:tc>
        <w:tc>
          <w:tcPr>
            <w:tcW w:w="0" w:type="auto"/>
            <w:vAlign w:val="center"/>
          </w:tcPr>
          <w:p w14:paraId="22DDAEAC"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2D82B31C"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0A1DFC9C"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3B70B26E" w14:textId="77777777" w:rsidR="00B36339" w:rsidRPr="00D25B59" w:rsidRDefault="00B36339" w:rsidP="00B36339">
            <w:pPr>
              <w:pStyle w:val="ListParagraph"/>
              <w:numPr>
                <w:ilvl w:val="0"/>
                <w:numId w:val="14"/>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w:t>
            </w:r>
            <w:r w:rsidRPr="00D25B59">
              <w:rPr>
                <w:rFonts w:ascii="Times New Roman" w:hAnsi="Times New Roman" w:cs="Times New Roman"/>
              </w:rPr>
              <w:t>nsufficient sample coverage</w:t>
            </w:r>
            <w:r>
              <w:rPr>
                <w:rFonts w:ascii="Times New Roman" w:hAnsi="Times New Roman" w:cs="Times New Roman"/>
              </w:rPr>
              <w:t xml:space="preserve"> increased risk of </w:t>
            </w:r>
            <w:r w:rsidRPr="00D25B59">
              <w:rPr>
                <w:rFonts w:ascii="Times New Roman" w:hAnsi="Times New Roman" w:cs="Times New Roman"/>
              </w:rPr>
              <w:t>selection bias</w:t>
            </w:r>
          </w:p>
        </w:tc>
      </w:tr>
      <w:tr w:rsidR="00B36339" w:rsidRPr="00D25B59" w14:paraId="784EFE4A"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CF54607"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Wu et al., 201</w:t>
            </w:r>
            <w:r>
              <w:rPr>
                <w:rFonts w:ascii="Times New Roman" w:hAnsi="Times New Roman" w:cs="Times New Roman"/>
              </w:rPr>
              <w:t>9</w:t>
            </w:r>
            <w:r w:rsidRPr="00D25B59">
              <w:rPr>
                <w:rFonts w:ascii="Times New Roman" w:hAnsi="Times New Roman" w:cs="Times New Roman"/>
              </w:rPr>
              <w:t xml:space="preserve">,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U9tJkHuc","properties":{"unsorted":false,"formattedCitation":"[47]","plainCitation":"[47]","noteIndex":0},"citationItems":[{"id":374,"uris":["http://zotero.org/users/local/knW7qVji/items/CBLTYHZM"],"itemData":{"id":374,"type":"article-journal","abstract":"Objectives\n              Outbreaks of shigellosis among men who have sex with men (MSM) have been reported since the late 1990s. HIV infection is an important risk factor. Since 2014, the global shigellosis epidemic has intensified. Whether chemsex (the use of crystal methamphetamine, γ-hydroxybutyrate or mephedrone to enhance sex) is a new risk factor has not been previously examined.\n            \n            \n              Methods\n              \n                We conducted a population-based, case–control study in Taiwan. Acute shigellosis cases diagnosed during the 2015 outbreak among MSM living with HIV were compared with those without shigellosis. CD4\n                +\n                counts, plasma viral load (pVL), gonorrhoea, syphilis and amoebiasis records were obtained from the Notifiable Disease Surveillance System database. We invited cases/controls to provide information on illicit drug use and sexual behaviours, using a structured questionnaire.\n              \n            \n            \n              Results\n              Seventy-five shigellosis cases were compared with 225 controls. High pVL (&gt;100 000 copies/mL; adjusted OR (aOR): 4.9, 95% CI 1.4 to 16.9), gonorrhoea (aOR: 29.4, 95% CI 2.3 to 340.2) and syphilis (aOR: 4.3, 95% CI 1.6 to 11.6) were independent risk factors of shigellosis. Twenty shigellosis cases and 59 controls completed the questionnaire. Oral-to-anal sex (aOR: 15.5, 95% CI 3.6 to 66.7), chemsex (aOR: 5.6, 95% CI 1.4 to 22.7) and poppers use (aOR: 10.9, 95% CI 1.9 to 64.2) within 12 months were independent behavioural risk factors of shigellosis.\n            \n            \n              Conclusions\n              Chemsex is a new risk factor for shigellosis among MSM living with HIV, as identified in the 2015–2016 outbreak. Additional risk factors include poppers use, sexual risk behaviours and high pVL. Further studies on chemsex among MSM, which is a rising public health concern, are urgently required.","container-title":"Sexually Transmitted Infections","DOI":"10.1136/sextrans-2017-053410","ISSN":"1368-4973, 1472-3263","issue":"1","journalAbbreviation":"Sex Transm Infect","language":"en","page":"67-70","source":"DOI.org (Crossref)","title":"Shigellosis outbreak among MSM living with HIV: a case–control study in Taiwan, 2015–2016","title-short":"Shigellosis outbreak among MSM living with HIV","volume":"95","author":[{"family":"Wu","given":"Hao-Hsin"},{"family":"Shen","given":"Yi-Ting"},{"family":"Chiou","given":"Chien-Shun"},{"family":"Fang","given":"Chi-Tai"},{"family":"Lo","given":"Yi-Chun"}],"issued":{"date-parts":[["2019",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[47]</w:t>
            </w:r>
            <w:r w:rsidRPr="00D25B59">
              <w:rPr>
                <w:rFonts w:ascii="Times New Roman" w:hAnsi="Times New Roman" w:cs="Times New Roman"/>
              </w:rPr>
              <w:fldChar w:fldCharType="end"/>
            </w:r>
          </w:p>
        </w:tc>
        <w:tc>
          <w:tcPr>
            <w:tcW w:w="0" w:type="auto"/>
            <w:vAlign w:val="center"/>
          </w:tcPr>
          <w:p w14:paraId="688C7DE4"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Case-control</w:t>
            </w:r>
          </w:p>
        </w:tc>
        <w:tc>
          <w:tcPr>
            <w:tcW w:w="0" w:type="auto"/>
            <w:vAlign w:val="center"/>
          </w:tcPr>
          <w:p w14:paraId="70C67DB3"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09D12F1F"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39096BBD" w14:textId="77777777" w:rsidR="00B36339" w:rsidRPr="00D25B59" w:rsidRDefault="00B36339" w:rsidP="00B36339">
            <w:pPr>
              <w:pStyle w:val="ListParagraph"/>
              <w:numPr>
                <w:ilvl w:val="0"/>
                <w:numId w:val="14"/>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Contact rates differed between cases and controls </w:t>
            </w:r>
            <w:r>
              <w:rPr>
                <w:rFonts w:ascii="Times New Roman" w:hAnsi="Times New Roman" w:cs="Times New Roman"/>
              </w:rPr>
              <w:t xml:space="preserve">and increased risk of </w:t>
            </w:r>
            <w:r w:rsidRPr="00D25B59">
              <w:rPr>
                <w:rFonts w:ascii="Times New Roman" w:hAnsi="Times New Roman" w:cs="Times New Roman"/>
              </w:rPr>
              <w:t>nonresponse bias.</w:t>
            </w:r>
          </w:p>
          <w:p w14:paraId="39770355" w14:textId="77777777" w:rsidR="00B36339" w:rsidRPr="00D25B59" w:rsidRDefault="00B36339" w:rsidP="00B36339">
            <w:pPr>
              <w:pStyle w:val="ListParagraph"/>
              <w:numPr>
                <w:ilvl w:val="0"/>
                <w:numId w:val="14"/>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Incomplete behavioural data collected via interviews increased risk of selection and information bias. </w:t>
            </w:r>
          </w:p>
          <w:p w14:paraId="25C7AD45" w14:textId="77777777" w:rsidR="00B36339" w:rsidRPr="00D25B59" w:rsidRDefault="00B36339" w:rsidP="00B36339">
            <w:pPr>
              <w:pStyle w:val="ListParagraph"/>
              <w:numPr>
                <w:ilvl w:val="0"/>
                <w:numId w:val="14"/>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Some confidence intervals were extremely </w:t>
            </w:r>
            <w:r>
              <w:rPr>
                <w:rFonts w:ascii="Times New Roman" w:hAnsi="Times New Roman" w:cs="Times New Roman"/>
              </w:rPr>
              <w:t xml:space="preserve">large. </w:t>
            </w:r>
          </w:p>
        </w:tc>
      </w:tr>
      <w:tr w:rsidR="00B36339" w:rsidRPr="00D25B59" w14:paraId="13582553"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097E4F01" w14:textId="77777777" w:rsidR="00B36339" w:rsidRPr="00D25B59" w:rsidRDefault="00B36339" w:rsidP="003712C7">
            <w:pPr>
              <w:spacing w:before="60" w:after="60"/>
              <w:jc w:val="center"/>
              <w:rPr>
                <w:rFonts w:ascii="Times New Roman" w:hAnsi="Times New Roman" w:cs="Times New Roman"/>
              </w:rPr>
            </w:pPr>
            <w:proofErr w:type="spellStart"/>
            <w:r w:rsidRPr="00D25B59">
              <w:rPr>
                <w:rFonts w:ascii="Times New Roman" w:hAnsi="Times New Roman" w:cs="Times New Roman"/>
              </w:rPr>
              <w:t>Xie</w:t>
            </w:r>
            <w:proofErr w:type="spellEnd"/>
            <w:r w:rsidRPr="00D25B59">
              <w:rPr>
                <w:rFonts w:ascii="Times New Roman" w:hAnsi="Times New Roman" w:cs="Times New Roman"/>
              </w:rPr>
              <w:t xml:space="preserve"> et al., 2021,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e0SyAqVp","properties":{"unsorted":false,"formattedCitation":"[59]","plainCitation":"[59]","noteIndex":0},"citationItems":[{"id":375,"uris":["http://zotero.org/users/local/knW7qVji/items/YGQWBBLV"],"itemData":{"id":375,"type":"article-journal","abstract":"Abstract\n            \n              Background\n              Although gut microbiota dysbiosis has been reported in HIV infected individuals recently, the relationship between the gut microbiota and immune activation in patients with different immune responses to highly active antiretroviral therapy (HAART) is still not well understood. Gut microbiota and immune activation were studied in 36 non-HIV-infected subjects (healthy controls) and 58 HIV-infected individuals, including 28 immunological responders (IR) and 30 immunological non-responders (INR) (≥500 and &lt; 200 CD4+ T-cell counts/μl after 2 years of HIV-1 viral suppression respectively) without comorbidities.\n            \n            \n              Results\n              \n                Metagenome sequencing revealed that HIV-infected immunological responders and immunological non-responders could not recover completely from the gut microbiota dysbiosis. At a 97% similarity level, the relative abundances of\n                Fusobacterium, Ruminococcus gnavus\n                and\n                Megamonas\n                were greater, whereas\n                Faecalibacterium, Alistipes, Bifidobacterium, Eubacterium rectale\n                and\n                Roseburia\n                were more depleted in the IR and INR groups than those in the healthy controls.\n                Ruminococcaceae\n                and\n                Alistipes\n                were positively correlated with nadir and current CD4+ T-cell counts, but negatively correlated with CD8 + CD57+ T-cell counts\n                .\n                Inflammation markers and translocation biomarkers (LPS) levels were positively correlated with the abundances of genera\n                Ruminococcus\n                and\n                Fusobacterium\n                but were negatively correlated with the genus\n                Faecalibacterium\n                . The relative abundances of\n                Escherichia-Shigella\n                and\n                Blautia\n                were significantly higher in the IR than those in the INR group.\n                Escherichia-Shigella\n                were negatively correlated with the CD4/CD8 ratio but positively correlated with the amount of\n                C\n                D8 + CD57+ T-cells.\n                Roseburia\n                and\n                Blautia\n                were negatively associated with nadir CD4+ T-cell and positively associated with CD8 + CD57+ T-cell counts.\n              \n            \n            \n              Conclusions\n              Gut microbiota dysbiosis may be one of the factors contributing to different immune responses and treatment outcomes to HAART.","container-title":"BMC Microbiology","DOI":"10.1186/s12866-020-02074-1","ISSN":"1471-2180","issue":"1","journalAbbreviation":"BMC Microbiol","language":"en","page":"11","source":"DOI.org (Crossref)","title":"Altered gut microbiota correlate with different immune responses to HAART in HIV-infected individuals","volume":"21","author":[{"family":"Xie","given":"Yirui"},{"family":"Sun","given":"Jia"},{"family":"Wei","given":"Li"},{"family":"Jiang","given":"Haiyin"},{"family":"Hu","given":"Caiqin"},{"family":"Yang","given":"Jiezuan"},{"family":"Huang","given":"Ying"},{"family":"Ruan","given":"Bing"},{"family":"Zhu","given":"Biao"}],"issued":{"date-parts":[["2021",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[59]</w:t>
            </w:r>
            <w:r w:rsidRPr="00D25B59">
              <w:rPr>
                <w:rFonts w:ascii="Times New Roman" w:hAnsi="Times New Roman" w:cs="Times New Roman"/>
              </w:rPr>
              <w:fldChar w:fldCharType="end"/>
            </w:r>
          </w:p>
        </w:tc>
        <w:tc>
          <w:tcPr>
            <w:tcW w:w="0" w:type="auto"/>
            <w:vAlign w:val="center"/>
          </w:tcPr>
          <w:p w14:paraId="4DA97F0D"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0" w:type="auto"/>
            <w:vAlign w:val="center"/>
          </w:tcPr>
          <w:p w14:paraId="7A7BFD92"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01BBC0CE"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1AE04E91" w14:textId="77777777" w:rsidR="00B36339" w:rsidRPr="00D25B59" w:rsidRDefault="00B36339" w:rsidP="00B36339">
            <w:pPr>
              <w:pStyle w:val="ListParagraph"/>
              <w:numPr>
                <w:ilvl w:val="0"/>
                <w:numId w:val="15"/>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Sample recruitment </w:t>
            </w:r>
            <w:r>
              <w:rPr>
                <w:rFonts w:ascii="Times New Roman" w:hAnsi="Times New Roman" w:cs="Times New Roman"/>
              </w:rPr>
              <w:t xml:space="preserve">conducted </w:t>
            </w:r>
            <w:r w:rsidRPr="00D25B59">
              <w:rPr>
                <w:rFonts w:ascii="Times New Roman" w:hAnsi="Times New Roman" w:cs="Times New Roman"/>
              </w:rPr>
              <w:t>at an HIV clinic</w:t>
            </w:r>
            <w:r>
              <w:rPr>
                <w:rFonts w:ascii="Times New Roman" w:hAnsi="Times New Roman" w:cs="Times New Roman"/>
              </w:rPr>
              <w:t xml:space="preserve"> increased risk of selection bias. </w:t>
            </w:r>
          </w:p>
          <w:p w14:paraId="2A32DF34" w14:textId="77777777" w:rsidR="00B36339" w:rsidRPr="00D25B59" w:rsidRDefault="00B36339" w:rsidP="00B36339">
            <w:pPr>
              <w:pStyle w:val="ListParagraph"/>
              <w:numPr>
                <w:ilvl w:val="0"/>
                <w:numId w:val="15"/>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No power calculation was performed with a limited sample size.</w:t>
            </w:r>
          </w:p>
          <w:p w14:paraId="7CA9A627" w14:textId="77777777" w:rsidR="00B36339" w:rsidRPr="00D25B59" w:rsidRDefault="00B36339" w:rsidP="00B36339">
            <w:pPr>
              <w:pStyle w:val="ListParagraph"/>
              <w:numPr>
                <w:ilvl w:val="0"/>
                <w:numId w:val="15"/>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Limited discussion regarding conflicting findings.</w:t>
            </w:r>
          </w:p>
        </w:tc>
      </w:tr>
      <w:tr w:rsidR="00B36339" w:rsidRPr="00D25B59" w14:paraId="6ABECF4C"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9C9E12"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Baer et al., 1999,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bz4wkFIU","properties":{"unsorted":false,"formattedCitation":"[46]","plainCitation":"[46]","noteIndex":0},"citationItems":[{"id":377,"uris":["http://zotero.org/users/local/knW7qVji/items/L25ZBSEA"],"itemData":{"id":377,"type":"article-journal","container-title":"Emerging Infectious Diseases","DOI":"10.3201/eid0506.990614","ISSN":"1080-6040, 1080-6059","issue":"6","journalAbbreviation":"Emerg. Infect. Dis.","page":"820-823","source":"DOI.org (Crossref)","title":"HIV Infection as a Risk Factor for Shigellosis1","volume":"5","author":[{"family":"Baer","given":"Jefferson T."},{"family":"Vugia","given":"Duc J."},{"family":"Reingold","given":"Arthur L."},{"family":"Aragon","given":"Tomas"},{"family":"Angulo","given":"Frederick J."},{"family":"Bradford","given":"Williamson Z."}],"issued":{"date-parts":[["1999",12]]}}}],"schema":"https://github.com/citation-style-language/schema/raw/master/csl-citation.json"}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[46]</w:t>
            </w:r>
            <w:r w:rsidRPr="00D25B59">
              <w:rPr>
                <w:rFonts w:ascii="Times New Roman" w:hAnsi="Times New Roman" w:cs="Times New Roman"/>
              </w:rPr>
              <w:fldChar w:fldCharType="end"/>
            </w:r>
          </w:p>
        </w:tc>
        <w:tc>
          <w:tcPr>
            <w:tcW w:w="0" w:type="auto"/>
            <w:vAlign w:val="center"/>
          </w:tcPr>
          <w:p w14:paraId="0E68E5DE"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69473A81"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6C9C644A"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46C06DA2" w14:textId="77777777" w:rsidR="00B36339" w:rsidRDefault="00B36339" w:rsidP="00B36339">
            <w:pPr>
              <w:pStyle w:val="ListParagraph"/>
              <w:numPr>
                <w:ilvl w:val="0"/>
                <w:numId w:val="16"/>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Insufficient sample coverage increased risk of selection bias. </w:t>
            </w:r>
          </w:p>
          <w:p w14:paraId="5F3AB857" w14:textId="77777777" w:rsidR="00B36339" w:rsidRPr="00D25B59" w:rsidRDefault="00B36339" w:rsidP="00B36339">
            <w:pPr>
              <w:pStyle w:val="ListParagraph"/>
              <w:numPr>
                <w:ilvl w:val="0"/>
                <w:numId w:val="16"/>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Inconsistent methods of data collection between all participants increased risk of selection bias. </w:t>
            </w:r>
          </w:p>
        </w:tc>
      </w:tr>
      <w:tr w:rsidR="00B36339" w:rsidRPr="00D25B59" w14:paraId="25A7BC62"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352393D1"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Eikmeier et al., 2020,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lRVXSAql","properties":{"unsorted":false,"formattedCitation":"[40]","plainCitation":"[40]","noteIndex":0},"citationItems":[{"id":379,"uris":["http://zotero.org/users/local/knW7qVji/items/PCJW7KV5"],"itemData":{"id":379,"type":"article-journal","container-title":"Emerging Infectious Diseases","DOI":"10.3201/eid2604.191031","ISSN":"1080-6040, 1080-6059","issue":"4","journalAbbreviation":"Emerg. Infect. Dis.","page":"667-674","source":"DOI.org (Crossref)","title":"Decreased Susceptibility to Azithromycin in Clinical &lt;i&gt;Shigella&lt;/i&gt; Isolates Associated with HIV and Sexually Transmitted Bacterial Diseases, Minnesota, USA, 2012–2015","volume":"26","author":[{"family":"Eikmeier","given":"Dana"},{"family":"Talley","given":"Pamela"},{"family":"Bowen","given":"Anna"},{"family":"Leano","given":"Fe"},{"family":"Dobbins","given":"Ginette"},{"family":"Jawahir","given":"Selina"},{"family":"Gross","given":"Annastasia"},{"family":"Huspeni","given":"Dawn"},{"family":"La Pointe","given":"Allison"},{"family":"Meyer","given":"Stephanie"},{"family":"Smith","given":"Kirk"}],"issued":{"date-parts":[["2020",4]]}}}],"schema":"https://github.com/citation-style-language/schema/raw/master/csl-citation.json"}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[40]</w:t>
            </w:r>
            <w:r w:rsidRPr="00D25B59">
              <w:rPr>
                <w:rFonts w:ascii="Times New Roman" w:hAnsi="Times New Roman" w:cs="Times New Roman"/>
              </w:rPr>
              <w:fldChar w:fldCharType="end"/>
            </w:r>
          </w:p>
        </w:tc>
        <w:tc>
          <w:tcPr>
            <w:tcW w:w="0" w:type="auto"/>
            <w:vAlign w:val="center"/>
          </w:tcPr>
          <w:p w14:paraId="30EA8069"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2F4CFA90"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3735258E"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0CEE77C1" w14:textId="77777777" w:rsidR="00B36339" w:rsidRDefault="00B36339" w:rsidP="00B36339">
            <w:pPr>
              <w:pStyle w:val="ListParagraph"/>
              <w:numPr>
                <w:ilvl w:val="0"/>
                <w:numId w:val="17"/>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Insufficient sample coverage increased risk of selection bias. </w:t>
            </w:r>
          </w:p>
          <w:p w14:paraId="3374DF50" w14:textId="77777777" w:rsidR="00B36339" w:rsidRPr="00D25B59" w:rsidRDefault="00B36339" w:rsidP="00B36339">
            <w:pPr>
              <w:pStyle w:val="ListParagraph"/>
              <w:numPr>
                <w:ilvl w:val="0"/>
                <w:numId w:val="17"/>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Susceptibility testing was not performed for all </w:t>
            </w:r>
            <w:r w:rsidRPr="00D25B59">
              <w:rPr>
                <w:rFonts w:ascii="Times New Roman" w:hAnsi="Times New Roman" w:cs="Times New Roman"/>
                <w:i/>
                <w:iCs/>
              </w:rPr>
              <w:t>Shigella spp.</w:t>
            </w:r>
            <w:r w:rsidRPr="00D25B59">
              <w:rPr>
                <w:rFonts w:ascii="Times New Roman" w:hAnsi="Times New Roman" w:cs="Times New Roman"/>
              </w:rPr>
              <w:t xml:space="preserve"> isolates.</w:t>
            </w:r>
          </w:p>
        </w:tc>
      </w:tr>
      <w:tr w:rsidR="00B36339" w:rsidRPr="00D25B59" w14:paraId="295332A7"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EF2B78C"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Gaudreau et al., 2014,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agixMCgw","properties":{"unsorted":false,"formattedCitation":"[43]","plainCitation":"[43]","noteIndex":0},"citationItems":[{"id":381,"uris":["http://zotero.org/users/local/knW7qVji/items/LF8C9N7X"],"itemData":{"id":381,"type":"article-journal","container-title":"Emerging Infectious Diseases","DOI":"10.3201/eid2005.130966","ISSN":"1080-6040, 1080-6059","issue":"5","journalAbbreviation":"Emerg. Infect. Dis.","page":"854-856","source":"DOI.org (Crossref)","title":"&lt;i&gt;Shigella&lt;/i&gt; spp. with Reduced Azithromycin Susceptibility, Quebec, Canada, 2012–2013","volume":"20","author":[{"family":"Gaudreau","given":"Christiane"},{"family":"Barkati","given":"Sapha"},{"family":"Leduc","given":"Jean-Michel"},{"family":"Pilon","given":"Pierre A."},{"family":"Favreau","given":"Julie"},{"family":"Bekal","given":"Sadjia"}],"issued":{"date-parts":[["2014",5]]}}}],"schema":"https://github.com/citation-style-language/schema/raw/master/csl-citation.json"}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[43]</w:t>
            </w:r>
            <w:r w:rsidRPr="00D25B59">
              <w:rPr>
                <w:rFonts w:ascii="Times New Roman" w:hAnsi="Times New Roman" w:cs="Times New Roman"/>
              </w:rPr>
              <w:fldChar w:fldCharType="end"/>
            </w:r>
          </w:p>
        </w:tc>
        <w:tc>
          <w:tcPr>
            <w:tcW w:w="0" w:type="auto"/>
            <w:vAlign w:val="center"/>
          </w:tcPr>
          <w:p w14:paraId="30783553"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0EA2853A"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0BDDADE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52655AB9" w14:textId="77777777" w:rsidR="00B36339" w:rsidRPr="00D25B59" w:rsidRDefault="00B36339" w:rsidP="00B36339">
            <w:pPr>
              <w:pStyle w:val="ListParagraph"/>
              <w:numPr>
                <w:ilvl w:val="0"/>
                <w:numId w:val="18"/>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Sample frame was not representative of the target population.</w:t>
            </w:r>
          </w:p>
          <w:p w14:paraId="155642F3" w14:textId="77777777" w:rsidR="00B36339" w:rsidRPr="00D25B59" w:rsidRDefault="00B36339" w:rsidP="00B36339">
            <w:pPr>
              <w:pStyle w:val="ListParagraph"/>
              <w:numPr>
                <w:ilvl w:val="0"/>
                <w:numId w:val="18"/>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lastRenderedPageBreak/>
              <w:t>Sample size and statistical analyses were extremely limited.</w:t>
            </w:r>
          </w:p>
        </w:tc>
      </w:tr>
      <w:tr w:rsidR="00B36339" w:rsidRPr="00D25B59" w14:paraId="4A152488"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77CB0A5B"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lastRenderedPageBreak/>
              <w:t xml:space="preserve">Li et al., 2023,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iqpStpf9","properties":{"unsorted":false,"formattedCitation":"[55]","plainCitation":"[55]","noteIndex":0},"citationItems":[{"id":383,"uris":["http://zotero.org/users/local/knW7qVji/items/FFUFT9K7"],"itemData":{"id":383,"type":"article-journal","abstract":"ABSTRACT\n            \n              Human immunodeficiency virus (HIV) infection leads to severe deficiency in host immunity by depletion of CD4\n              +\n              T-cells, resulting in an imbalance between the human microbiome and host immune response. Alterations in both gut and oral microbiomes have been observed in people living with HIV (PLWH). However, the impact of an altered gut and oral microbiome on HIV disease progression and the relationship between them in PLWH have not been explored. In this longitudinal study, we enrolled acute HIV-infected men who have sex with men (MSM) (\n              n\n              = 15), chronic HIV-infected MSM (\n              n\n              = 15), and HIV-uninfected MSM controls (\n              n\n              = 15). We collected anal and throat swab samples at recruitment (W0) from all participants and at 12 wk after antiretroviral therapy (ART) (W12) from the patients and performed 16S rRNA gene sequencing of genomic DNAs extracted from these swabs. In HIV-infected individuals with CD4 T-cell counts &lt; 350 cells/µL, the increase in abundance of\n              Streptococcus\n              in the oral microbiome was inversely correlated with that of\n              Streptococcus\n              in the gut microbiome (\n              r\n              = −0.490,\n              P\n              = 0.039). In addition, the lower CD4\n              +\n              T-cell counts (&lt;200 cells/µL) were associated with the higher abundance of\n              Escherichia–Shigella\n              and the lower abundance of\n              Methylobacterium–Methylorubrum\n              of the gut microbiome in HIV-infected individuals. We demonstrate the alteration of gut microbiome resulting from HIV infection and ART and the relationship between the gut and oral microbiome in PLWH and controls. These findings highlight the need for a better understanding of the interactions between the oral and gut microbiome and its potential role in HIV disease progression.\n            \n            \n              IMPORTANCE\n              Our longitudinal integrated study has shown the marked alterations in the gut and oral microbiome resulting from acute and chronic HIV infection and from antiretroviral therapy. Importantly, the relationship between oral and gut microbiomes in people living with acute and chronic HIV infection and “healthy” controls has also been explored. These findings might contribute to a better understanding of the interactions between the oral and gut microbiomes and its potential role in HIV disease progression.\n            \n          , \n            Our longitudinal integrated study has shown the marked alterations in the gut and oral microbiome resulting from acute and chronic HIV infection and from antiretroviral therapy. Importantly, the relationship between oral and gut microbiomes in people living with acute and chronic HIV infection and “healthy” controls has also been explored. These findings might contribute to a better understanding of the interactions between the oral and gut microbiomes and its potential role in HIV disease progression.","container-title":"Microbiology Spectrum","DOI":"10.1128/spectrum.01064-23","ISSN":"2165-0497","issue":"6","journalAbbreviation":"Microbiol Spectr","language":"en","page":"e01064-23","source":"DOI.org (Crossref)","title":"Integrated analysis of gut and oral microbiome in men who have sex with men with HIV Infection","volume":"11","author":[{"family":"Li","given":"Shuang"},{"family":"Su","given":"Bin"},{"family":"Wu","given":"Hao"},{"family":"He","given":"Qiushui"},{"family":"Zhang","given":"Tong"}],"editor":[{"family":"Jacobs","given":"Jonathan L."}],"issued":{"date-parts":[["2023",12,12]]}}}],"schema":"https://github.com/citation-style-language/schema/raw/master/csl-citation.json"}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[55]</w:t>
            </w:r>
            <w:r w:rsidRPr="00D25B59">
              <w:rPr>
                <w:rFonts w:ascii="Times New Roman" w:hAnsi="Times New Roman" w:cs="Times New Roman"/>
              </w:rPr>
              <w:fldChar w:fldCharType="end"/>
            </w:r>
          </w:p>
        </w:tc>
        <w:tc>
          <w:tcPr>
            <w:tcW w:w="0" w:type="auto"/>
            <w:vAlign w:val="center"/>
          </w:tcPr>
          <w:p w14:paraId="43592F28"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Cohort study</w:t>
            </w:r>
          </w:p>
        </w:tc>
        <w:tc>
          <w:tcPr>
            <w:tcW w:w="0" w:type="auto"/>
            <w:vAlign w:val="center"/>
          </w:tcPr>
          <w:p w14:paraId="4F72F32A"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CASP checklist</w:t>
            </w:r>
          </w:p>
        </w:tc>
        <w:tc>
          <w:tcPr>
            <w:tcW w:w="0" w:type="auto"/>
            <w:vAlign w:val="center"/>
          </w:tcPr>
          <w:p w14:paraId="07E75FBD"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Moderate</w:t>
            </w:r>
          </w:p>
        </w:tc>
        <w:tc>
          <w:tcPr>
            <w:tcW w:w="0" w:type="auto"/>
            <w:vAlign w:val="center"/>
          </w:tcPr>
          <w:p w14:paraId="52508218" w14:textId="77777777" w:rsidR="00B36339" w:rsidRDefault="00B36339" w:rsidP="00B36339">
            <w:pPr>
              <w:pStyle w:val="ListParagraph"/>
              <w:numPr>
                <w:ilvl w:val="0"/>
                <w:numId w:val="19"/>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recruitment conducted at a hospital increased risk of selection bias. </w:t>
            </w:r>
          </w:p>
          <w:p w14:paraId="759BA18A" w14:textId="77777777" w:rsidR="00B36339" w:rsidRDefault="00B36339" w:rsidP="00B36339">
            <w:pPr>
              <w:pStyle w:val="ListParagraph"/>
              <w:numPr>
                <w:ilvl w:val="0"/>
                <w:numId w:val="19"/>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Data analysis was insufficiently described and did not adjust </w:t>
            </w:r>
            <w:r w:rsidRPr="00D25B59">
              <w:rPr>
                <w:rFonts w:ascii="Times New Roman" w:hAnsi="Times New Roman" w:cs="Times New Roman"/>
              </w:rPr>
              <w:t>for confounders</w:t>
            </w:r>
            <w:r>
              <w:rPr>
                <w:rFonts w:ascii="Times New Roman" w:hAnsi="Times New Roman" w:cs="Times New Roman"/>
              </w:rPr>
              <w:t xml:space="preserve">. </w:t>
            </w:r>
          </w:p>
          <w:p w14:paraId="6E912EA1" w14:textId="77777777" w:rsidR="00B36339" w:rsidRPr="00D25B59" w:rsidRDefault="00B36339" w:rsidP="00B36339">
            <w:pPr>
              <w:pStyle w:val="ListParagraph"/>
              <w:numPr>
                <w:ilvl w:val="0"/>
                <w:numId w:val="19"/>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Follow-up time may not have been </w:t>
            </w:r>
            <w:proofErr w:type="gramStart"/>
            <w:r w:rsidRPr="00D25B59">
              <w:rPr>
                <w:rFonts w:ascii="Times New Roman" w:hAnsi="Times New Roman" w:cs="Times New Roman"/>
              </w:rPr>
              <w:t>sufficient</w:t>
            </w:r>
            <w:r>
              <w:rPr>
                <w:rFonts w:ascii="Times New Roman" w:hAnsi="Times New Roman" w:cs="Times New Roman"/>
              </w:rPr>
              <w:t>ly</w:t>
            </w:r>
            <w:r w:rsidRPr="00D25B59">
              <w:rPr>
                <w:rFonts w:ascii="Times New Roman" w:hAnsi="Times New Roman" w:cs="Times New Roman"/>
              </w:rPr>
              <w:t xml:space="preserve"> adequate</w:t>
            </w:r>
            <w:proofErr w:type="gramEnd"/>
            <w:r w:rsidRPr="00D25B59">
              <w:rPr>
                <w:rFonts w:ascii="Times New Roman" w:hAnsi="Times New Roman" w:cs="Times New Roman"/>
              </w:rPr>
              <w:t xml:space="preserve"> </w:t>
            </w:r>
            <w:r>
              <w:rPr>
                <w:rFonts w:ascii="Times New Roman" w:hAnsi="Times New Roman" w:cs="Times New Roman"/>
              </w:rPr>
              <w:t xml:space="preserve">to measure </w:t>
            </w:r>
            <w:r w:rsidRPr="00D25B59">
              <w:rPr>
                <w:rFonts w:ascii="Times New Roman" w:hAnsi="Times New Roman" w:cs="Times New Roman"/>
              </w:rPr>
              <w:t>microbiome changes.</w:t>
            </w:r>
          </w:p>
          <w:p w14:paraId="52B6CE4C" w14:textId="77777777" w:rsidR="00B36339" w:rsidRPr="00D25B59" w:rsidRDefault="00B36339" w:rsidP="00B36339">
            <w:pPr>
              <w:pStyle w:val="ListParagraph"/>
              <w:numPr>
                <w:ilvl w:val="0"/>
                <w:numId w:val="19"/>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Confidence intervals were not reported.</w:t>
            </w:r>
          </w:p>
        </w:tc>
      </w:tr>
      <w:tr w:rsidR="00B36339" w:rsidRPr="00D25B59" w14:paraId="64E981B1"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82756F7"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Mohan et al., 2018,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ROyiicpD","properties":{"unsorted":false,"formattedCitation":"[15]","plainCitation":"[15]","noteIndex":0},"citationItems":[{"id":265,"uris":["http://zotero.org/users/local/knW7qVji/items/9UXAAP6B","http://zotero.org/users/local/knW7qVji/items/ETKTIAZH"],"itemData":{"id":265,"type":"article-journal","abstract":"Background\n              \n                Evidence suggests that sexual transmission between men has replaced foreign travel as the predominant mode of\n                Shigella\n                transmission in England. However, sexuality and HIV status are not routinely recorded for laboratory-reported\n                Shigella,\n                and the role of HIV in the\n                Shigella\n                epidemic is not well understood.\n              \n            \n            \n              Methods\n              \n                The Modular Open Laboratory Information System containing all\n                Shigella\n                cases reported to Public Health England (PHE) and the PHE HIV and AIDS Reporting System holding all adults living with diagnosed HIV in England were matched using a combination of Soundex code, date of birth and gender.\n              \n            \n            \n              Results\n              \n                From 2004 to 2015, 88 664 patients were living with HIV, and 10 269\n                Shigella\n                cases were reported in England; 9% (873/10 269) of\n                Shigella\n                cases were diagnosed with HIV, of which 93% (815/873) were in men.\n                Shigella\n                cases without reported travel history were more likely to be living with HIV than those who had travelled (14% (751/5427) vs 3% (134/4854); p&lt;0.01). From 2004 to 2015, the incidence of\n                Shigella\n                in men with HIV rose from 47/100 000 to 226/100 000 (p&lt;0.01) peaking in 2014 at 265/100 000, but remained low in women throughout the study period (0–24/100 000). Among\n                Shigella\n                cases without travel and with HIV, 91% (657/720) were men who have sex with men (MSM). HIV preceded\n                Shigella\n                diagnosis in 86% (610/720), and 65% (237/362) had an undetectable viral load (&lt;50 copies/mL).\n              \n            \n            \n              Discussion\n              We observed a sustained increase in the national rate of shigellosis in MSM with HIV, who may experience more serious clinical disease. Sexual history, HIV status and STI risk might require sensitive investigation in men presenting with gastroenteritis.","container-title":"Sexually Transmitted Infections","DOI":"10.1136/sextrans-2016-052962","ISSN":"1368-4973, 1472-3263","issue":"1","journalAbbreviation":"Sex Transm Infect","language":"en","page":"67-71","source":"DOI.org (Crossref)","title":"What is the overlap between HIV and shigellosis epidemics in England: further evidence of MSM transmission?","title-short":"What is the overlap between HIV and shigellosis epidemics in England","volume":"94","author":[{"family":"Mohan","given":"Keerthi"},{"family":"Hibbert","given":"Matthew"},{"family":"Rooney","given":"Graeme"},{"family":"Canvin","given":"Malcolm"},{"family":"Childs","given":"Tristan"},{"family":"Jenkins","given":"Claire"},{"family":"Simms","given":"Ian"},{"family":"Kirwan","given":"Peter"},{"family":"Delpech","given":"Valerie"},{"family":"Yin","given":"Zheng"},{"family":"Hughes","given":"Gwenda"},{"family":"Field","given":"Nigel"}],"issued":{"date-parts":[["2018",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[15]</w:t>
            </w:r>
            <w:r w:rsidRPr="00D25B59">
              <w:rPr>
                <w:rFonts w:ascii="Times New Roman" w:hAnsi="Times New Roman" w:cs="Times New Roman"/>
              </w:rPr>
              <w:fldChar w:fldCharType="end"/>
            </w:r>
          </w:p>
        </w:tc>
        <w:tc>
          <w:tcPr>
            <w:tcW w:w="0" w:type="auto"/>
            <w:vAlign w:val="center"/>
          </w:tcPr>
          <w:p w14:paraId="0840083E"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1B88E314"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6D7C44B7"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High</w:t>
            </w:r>
          </w:p>
        </w:tc>
        <w:tc>
          <w:tcPr>
            <w:tcW w:w="0" w:type="auto"/>
            <w:vAlign w:val="center"/>
          </w:tcPr>
          <w:p w14:paraId="53650123" w14:textId="77777777" w:rsidR="00B36339" w:rsidRPr="00D25B59" w:rsidRDefault="00B36339" w:rsidP="00B36339">
            <w:pPr>
              <w:pStyle w:val="ListParagraph"/>
              <w:numPr>
                <w:ilvl w:val="0"/>
                <w:numId w:val="20"/>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Shigellosis cases excluded </w:t>
            </w:r>
            <w:r>
              <w:rPr>
                <w:rFonts w:ascii="Times New Roman" w:hAnsi="Times New Roman" w:cs="Times New Roman"/>
              </w:rPr>
              <w:t xml:space="preserve">due to missing data introduced the risk of selection bias. </w:t>
            </w:r>
          </w:p>
        </w:tc>
      </w:tr>
      <w:tr w:rsidR="00B36339" w:rsidRPr="00D25B59" w14:paraId="5756CC69"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6D21454E"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Charles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kBsSICQZ","properties":{"unsorted":false,"formattedCitation":"[50]","plainCitation":"[50]","noteIndex":0},"citationItems":[{"id":387,"uris":["http://zotero.org/users/local/knW7qVji/items/VP4BPFZH"],"itemData":{"id":387,"type":"article-journal","container-title":"The Lancet Infectious Diseases","DOI":"10.1016/S1473-3099(22)00370-X","ISSN":"14733099","issue":"10","journalAbbreviation":"The Lancet Infectious Diseases","language":"en","page":"1503-1510","source":"DOI.org (Crossref)","title":"Outbreak of sexually transmitted, extensively drug-resistant Shigella sonnei in the UK, 2021–22: a descriptive epidemiological study","title-short":"Outbreak of sexually transmitted, extensively drug-resistant Shigella sonnei in the UK, 2021–22","volume":"22","author":[{"family":"Charles","given":"Hannah"},{"family":"Prochazka","given":"Mateo"},{"family":"Thorley","given":"Katie"},{"family":"Crewdson","given":"Adam"},{"family":"Greig","given":"David R"},{"family":"Jenkins","given":"Claire"},{"family":"Painset","given":"Anais"},{"family":"Fifer","given":"Helen"},{"family":"Browning","given":"Lynda"},{"family":"Cabrey","given":"Paul"},{"family":"Smith","given":"Robert"},{"family":"Richardson","given":"Daniel"},{"family":"Waters","given":"Laura"},{"family":"Sinka","given":"Katy"},{"family":"Godbole","given":"Gauri"},{"family":"Corkin","given":"Helen"},{"family":"Abrahams","given":"Asha"},{"family":"LeBlond","given":"Holly"},{"family":"Lo","given":"Janice"},{"family":"Holgate","given":"Amelia"},{"family":"Saunders","given":"John"},{"family":"Plahe","given":"Gunveer"},{"family":"Vusirikala","given":"Amoolya"},{"family":"Green","given":"Freddy"},{"family":"King","given":"Mike"},{"family":"Tewolde","given":"Rediat"},{"family":"Jajja","given":"Andrew"}],"issued":{"date-parts":[["2022",10]]}}}],"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[50]</w:t>
            </w:r>
            <w:r w:rsidRPr="00D25B59">
              <w:rPr>
                <w:rFonts w:ascii="Times New Roman" w:hAnsi="Times New Roman" w:cs="Times New Roman"/>
              </w:rPr>
              <w:fldChar w:fldCharType="end"/>
            </w:r>
          </w:p>
        </w:tc>
        <w:tc>
          <w:tcPr>
            <w:tcW w:w="0" w:type="auto"/>
            <w:vAlign w:val="center"/>
          </w:tcPr>
          <w:p w14:paraId="306CB1A8"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54E8384C"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6BC49346"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Moderate</w:t>
            </w:r>
          </w:p>
        </w:tc>
        <w:tc>
          <w:tcPr>
            <w:tcW w:w="0" w:type="auto"/>
            <w:vAlign w:val="center"/>
          </w:tcPr>
          <w:p w14:paraId="6F52D232" w14:textId="77777777" w:rsidR="00B36339" w:rsidRPr="00EE544D" w:rsidRDefault="00B36339" w:rsidP="00B36339">
            <w:pPr>
              <w:pStyle w:val="ListParagraph"/>
              <w:numPr>
                <w:ilvl w:val="0"/>
                <w:numId w:val="20"/>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Insufficient sample coverage increased risk of selection bias. </w:t>
            </w:r>
          </w:p>
        </w:tc>
      </w:tr>
      <w:tr w:rsidR="00B36339" w:rsidRPr="00D25B59" w14:paraId="53BCE1EA"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ECC8EA" w14:textId="77777777" w:rsidR="00B36339" w:rsidRPr="00D25B59" w:rsidRDefault="00B36339" w:rsidP="003712C7">
            <w:pPr>
              <w:spacing w:before="60" w:after="60"/>
              <w:jc w:val="center"/>
              <w:rPr>
                <w:rFonts w:ascii="Times New Roman" w:hAnsi="Times New Roman" w:cs="Times New Roman"/>
              </w:rPr>
            </w:pPr>
            <w:bookmarkStart w:id="0" w:name="_Hlk234259725"/>
            <w:r w:rsidRPr="00D25B59">
              <w:rPr>
                <w:rFonts w:ascii="Times New Roman" w:hAnsi="Times New Roman" w:cs="Times New Roman"/>
              </w:rPr>
              <w:t xml:space="preserve">Morgan et al., 2006,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CzI9LfMG","properties":{"unsorted":false,"formattedCitation":"[13]","plainCitation":"[13]","noteIndex":0},"citationItems":[{"id":263,"uris":["http://zotero.org/users/local/knW7qVji/items/KBE9QFY9","http://zotero.org/users/local/knW7qVji/items/M7FAXQLH"],"itemData":{"id":263,"type":"article-journal","container-title":"Emerging Infectious Diseases","DOI":"10.3201/eid1209.060282","ISSN":"10806040","issue":"7","journalAbbreviation":"Emerg. Infect. Dis.","page":"1458-1460","source":"DOI.org (Crossref)","title":"&lt;i&gt;Shigella sonnei&lt;/i&gt; Outbreak among Homosexual Men, London","volume":"12","author":[{"family":"Morgna","given":"Oliver"},{"family":"Crook","given":"Paul"},{"family":"Cheasty","given":"Tom"},{"family":"Jiggle","given":"Brian"},{"family":"Giraudon","given":"Isabelle"},{"family":"Hughes","given":"Harriett"},{"family":"Jones","given":"Stephen-Morris"},{"family":"Maguire","given":"Helen"}],"issued":{"date-parts":[["2006",9]]}}}],"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[13]</w:t>
            </w:r>
            <w:r w:rsidRPr="00D25B59">
              <w:rPr>
                <w:rFonts w:ascii="Times New Roman" w:hAnsi="Times New Roman" w:cs="Times New Roman"/>
              </w:rPr>
              <w:fldChar w:fldCharType="end"/>
            </w:r>
            <w:bookmarkEnd w:id="0"/>
          </w:p>
        </w:tc>
        <w:tc>
          <w:tcPr>
            <w:tcW w:w="0" w:type="auto"/>
            <w:vAlign w:val="center"/>
          </w:tcPr>
          <w:p w14:paraId="11E47AA6"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0541EA48"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4CC57391" w14:textId="77777777" w:rsidR="00B36339" w:rsidRPr="00D25B59" w:rsidRDefault="00B36339"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Low</w:t>
            </w:r>
          </w:p>
        </w:tc>
        <w:tc>
          <w:tcPr>
            <w:tcW w:w="0" w:type="auto"/>
            <w:vAlign w:val="center"/>
          </w:tcPr>
          <w:p w14:paraId="4DEF7058" w14:textId="77777777" w:rsidR="00B36339" w:rsidRDefault="00B36339" w:rsidP="00B36339">
            <w:pPr>
              <w:pStyle w:val="ListParagraph"/>
              <w:numPr>
                <w:ilvl w:val="0"/>
                <w:numId w:val="2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Sample and setting were insufficiently described.  </w:t>
            </w:r>
          </w:p>
          <w:p w14:paraId="75B5C4AB" w14:textId="77777777" w:rsidR="00B36339" w:rsidRDefault="00B36339" w:rsidP="00B36339">
            <w:pPr>
              <w:pStyle w:val="ListParagraph"/>
              <w:numPr>
                <w:ilvl w:val="0"/>
                <w:numId w:val="2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Insufficient sample coverage increased risk of selection bias. </w:t>
            </w:r>
          </w:p>
          <w:p w14:paraId="5946D91E" w14:textId="77777777" w:rsidR="00B36339" w:rsidRDefault="00B36339" w:rsidP="00B36339">
            <w:pPr>
              <w:pStyle w:val="ListParagraph"/>
              <w:numPr>
                <w:ilvl w:val="0"/>
                <w:numId w:val="2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Methods of condition identification were unclear. </w:t>
            </w:r>
          </w:p>
          <w:p w14:paraId="0E043DA0" w14:textId="77777777" w:rsidR="00B36339" w:rsidRPr="00D25B59" w:rsidRDefault="00B36339" w:rsidP="00B36339">
            <w:pPr>
              <w:pStyle w:val="ListParagraph"/>
              <w:numPr>
                <w:ilvl w:val="0"/>
                <w:numId w:val="21"/>
              </w:numPr>
              <w:spacing w:before="60" w:after="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Statistical analysis was purely descriptive. </w:t>
            </w:r>
          </w:p>
        </w:tc>
      </w:tr>
      <w:tr w:rsidR="00B36339" w:rsidRPr="00D25B59" w14:paraId="50CE79DC" w14:textId="77777777" w:rsidTr="003712C7">
        <w:tc>
          <w:tcPr>
            <w:cnfStyle w:val="001000000000" w:firstRow="0" w:lastRow="0" w:firstColumn="1" w:lastColumn="0" w:oddVBand="0" w:evenVBand="0" w:oddHBand="0" w:evenHBand="0" w:firstRowFirstColumn="0" w:firstRowLastColumn="0" w:lastRowFirstColumn="0" w:lastRowLastColumn="0"/>
            <w:tcW w:w="0" w:type="auto"/>
            <w:vAlign w:val="center"/>
          </w:tcPr>
          <w:p w14:paraId="1033B018" w14:textId="77777777" w:rsidR="00B36339" w:rsidRPr="00D25B59" w:rsidRDefault="00B36339" w:rsidP="003712C7">
            <w:pPr>
              <w:spacing w:before="60" w:after="60"/>
              <w:jc w:val="center"/>
              <w:rPr>
                <w:rFonts w:ascii="Times New Roman" w:hAnsi="Times New Roman" w:cs="Times New Roman"/>
              </w:rPr>
            </w:pPr>
            <w:r w:rsidRPr="00D25B59">
              <w:rPr>
                <w:rFonts w:ascii="Times New Roman" w:hAnsi="Times New Roman" w:cs="Times New Roman"/>
              </w:rPr>
              <w:t xml:space="preserve">Cresswell et al., 2015,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r7uIK1BJ","properties":{"unsorted":false,"formattedCitation":"[44]","plainCitation":"[44]","noteIndex":0},"citationItems":[{"id":390,"uris":["http://zotero.org/users/local/knW7qVji/items/DX689FZV"],"itemData":{"id":390,"type":"article-journal","container-title":"Sexual Trans Dis","DOI":"10.1097/OLQ.0000000000000295","ISSN":"0148-5717","issue":"6","language":"en","page":"344","source":"DOI.org (Crossref)","title":"Shigella flexneri: A Cause of Significant Morbidity and Associated With Sexually Transmitted Infections in Men Who Have Sex With Men","title-short":"Shigella flexneri","volume":"42","author":[{"family":"Cresswell","given":"Fiona Valarie"},{"family":"Ross","given":"Sophie"},{"family":"Booth","given":"Tristan"},{"family":"Pinto-Sander","given":"Nicolas"},{"family":"Alexander","given":"Eliza"},{"family":"Bradley","given":"Jasmine"},{"family":"Paul","given":"John"},{"family":"Richardson","given":"Daniel"}],"issued":{"date-parts":[["2015",6]]}}}],"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[44]</w:t>
            </w:r>
            <w:r w:rsidRPr="00D25B59">
              <w:rPr>
                <w:rFonts w:ascii="Times New Roman" w:hAnsi="Times New Roman" w:cs="Times New Roman"/>
              </w:rPr>
              <w:fldChar w:fldCharType="end"/>
            </w:r>
          </w:p>
        </w:tc>
        <w:tc>
          <w:tcPr>
            <w:tcW w:w="0" w:type="auto"/>
            <w:vAlign w:val="center"/>
          </w:tcPr>
          <w:p w14:paraId="29F73348"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0" w:type="auto"/>
            <w:vAlign w:val="center"/>
          </w:tcPr>
          <w:p w14:paraId="0B770B3B"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JBI checklist</w:t>
            </w:r>
          </w:p>
        </w:tc>
        <w:tc>
          <w:tcPr>
            <w:tcW w:w="0" w:type="auto"/>
            <w:vAlign w:val="center"/>
          </w:tcPr>
          <w:p w14:paraId="70F68124" w14:textId="77777777" w:rsidR="00B36339" w:rsidRPr="00D25B59" w:rsidRDefault="00B36339"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Low</w:t>
            </w:r>
          </w:p>
        </w:tc>
        <w:tc>
          <w:tcPr>
            <w:tcW w:w="0" w:type="auto"/>
            <w:vAlign w:val="center"/>
          </w:tcPr>
          <w:p w14:paraId="3BC53073" w14:textId="77777777" w:rsidR="00B36339" w:rsidRPr="00827B42" w:rsidRDefault="00B36339" w:rsidP="00B36339">
            <w:pPr>
              <w:pStyle w:val="ListParagraph"/>
              <w:numPr>
                <w:ilvl w:val="0"/>
                <w:numId w:val="21"/>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w:t>
            </w:r>
            <w:r w:rsidRPr="00D25B59">
              <w:rPr>
                <w:rFonts w:ascii="Times New Roman" w:hAnsi="Times New Roman" w:cs="Times New Roman"/>
              </w:rPr>
              <w:t xml:space="preserve">ample </w:t>
            </w:r>
            <w:proofErr w:type="gramStart"/>
            <w:r w:rsidRPr="00D25B59">
              <w:rPr>
                <w:rFonts w:ascii="Times New Roman" w:hAnsi="Times New Roman" w:cs="Times New Roman"/>
              </w:rPr>
              <w:t>size</w:t>
            </w:r>
            <w:proofErr w:type="gramEnd"/>
            <w:r w:rsidRPr="00D25B59">
              <w:rPr>
                <w:rFonts w:ascii="Times New Roman" w:hAnsi="Times New Roman" w:cs="Times New Roman"/>
              </w:rPr>
              <w:t xml:space="preserve"> w</w:t>
            </w:r>
            <w:r>
              <w:rPr>
                <w:rFonts w:ascii="Times New Roman" w:hAnsi="Times New Roman" w:cs="Times New Roman"/>
              </w:rPr>
              <w:t>ere extremely</w:t>
            </w:r>
            <w:r w:rsidRPr="00D25B59">
              <w:rPr>
                <w:rFonts w:ascii="Times New Roman" w:hAnsi="Times New Roman" w:cs="Times New Roman"/>
              </w:rPr>
              <w:t xml:space="preserve"> limited.</w:t>
            </w:r>
          </w:p>
          <w:p w14:paraId="16E074AF" w14:textId="77777777" w:rsidR="00B36339" w:rsidRPr="00D25B59" w:rsidRDefault="00B36339" w:rsidP="00B36339">
            <w:pPr>
              <w:pStyle w:val="ListParagraph"/>
              <w:numPr>
                <w:ilvl w:val="0"/>
                <w:numId w:val="21"/>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Insufficient sample </w:t>
            </w:r>
            <w:r w:rsidRPr="00D25B59">
              <w:rPr>
                <w:rFonts w:ascii="Times New Roman" w:hAnsi="Times New Roman" w:cs="Times New Roman"/>
              </w:rPr>
              <w:t xml:space="preserve">coverage </w:t>
            </w:r>
            <w:r>
              <w:rPr>
                <w:rFonts w:ascii="Times New Roman" w:hAnsi="Times New Roman" w:cs="Times New Roman"/>
              </w:rPr>
              <w:t xml:space="preserve">increased risk of selection bias. </w:t>
            </w:r>
          </w:p>
          <w:p w14:paraId="3BE92D4C" w14:textId="77777777" w:rsidR="00B36339" w:rsidRDefault="00B36339" w:rsidP="00B36339">
            <w:pPr>
              <w:pStyle w:val="ListParagraph"/>
              <w:numPr>
                <w:ilvl w:val="0"/>
                <w:numId w:val="21"/>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Methods of condition identification were unclear. </w:t>
            </w:r>
          </w:p>
          <w:p w14:paraId="7B7BA0A3" w14:textId="77777777" w:rsidR="00B36339" w:rsidRPr="00D25B59" w:rsidRDefault="00B36339" w:rsidP="00B36339">
            <w:pPr>
              <w:pStyle w:val="ListParagraph"/>
              <w:numPr>
                <w:ilvl w:val="0"/>
                <w:numId w:val="21"/>
              </w:numPr>
              <w:spacing w:before="60" w:after="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Data analysis was </w:t>
            </w:r>
            <w:r>
              <w:rPr>
                <w:rFonts w:ascii="Times New Roman" w:hAnsi="Times New Roman" w:cs="Times New Roman"/>
              </w:rPr>
              <w:t>in</w:t>
            </w:r>
            <w:r w:rsidRPr="00D25B59">
              <w:rPr>
                <w:rFonts w:ascii="Times New Roman" w:hAnsi="Times New Roman" w:cs="Times New Roman"/>
              </w:rPr>
              <w:t xml:space="preserve">sufficiently rigorous </w:t>
            </w:r>
            <w:r>
              <w:rPr>
                <w:rFonts w:ascii="Times New Roman" w:hAnsi="Times New Roman" w:cs="Times New Roman"/>
              </w:rPr>
              <w:t>and descriptive.</w:t>
            </w:r>
          </w:p>
        </w:tc>
      </w:tr>
    </w:tbl>
    <w:p w14:paraId="1C25D54D" w14:textId="77777777" w:rsidR="00B36339" w:rsidRDefault="00B36339" w:rsidP="00B36339">
      <w:pPr>
        <w:rPr>
          <w:rFonts w:ascii="Segoe UI" w:eastAsia="Times New Roman" w:hAnsi="Segoe UI" w:cs="Segoe UI"/>
          <w:sz w:val="18"/>
          <w:szCs w:val="18"/>
          <w:lang w:eastAsia="en-GB"/>
        </w:rPr>
        <w:sectPr w:rsidR="00B36339" w:rsidSect="00B36339">
          <w:pgSz w:w="16838" w:h="11906" w:orient="landscape"/>
          <w:pgMar w:top="1440" w:right="1440" w:bottom="1440" w:left="1440" w:header="708" w:footer="708" w:gutter="0"/>
          <w:cols w:space="708"/>
          <w:titlePg/>
          <w:docGrid w:linePitch="360"/>
        </w:sectPr>
      </w:pPr>
    </w:p>
    <w:p w14:paraId="0704A263" w14:textId="77777777" w:rsidR="00520D64" w:rsidRDefault="00520D64"/>
    <w:sectPr w:rsidR="00520D64" w:rsidSect="00B3633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E47"/>
    <w:multiLevelType w:val="hybridMultilevel"/>
    <w:tmpl w:val="6D7CC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D34DE"/>
    <w:multiLevelType w:val="hybridMultilevel"/>
    <w:tmpl w:val="BAF4A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94F58"/>
    <w:multiLevelType w:val="hybridMultilevel"/>
    <w:tmpl w:val="39C0D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5A7E11"/>
    <w:multiLevelType w:val="hybridMultilevel"/>
    <w:tmpl w:val="398AC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B68E6"/>
    <w:multiLevelType w:val="hybridMultilevel"/>
    <w:tmpl w:val="5106E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AA3E73"/>
    <w:multiLevelType w:val="hybridMultilevel"/>
    <w:tmpl w:val="8564B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571DC"/>
    <w:multiLevelType w:val="hybridMultilevel"/>
    <w:tmpl w:val="3AE4D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B556AA"/>
    <w:multiLevelType w:val="hybridMultilevel"/>
    <w:tmpl w:val="85B26CB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8" w15:restartNumberingAfterBreak="0">
    <w:nsid w:val="3D5369AF"/>
    <w:multiLevelType w:val="hybridMultilevel"/>
    <w:tmpl w:val="559CD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D1F39"/>
    <w:multiLevelType w:val="hybridMultilevel"/>
    <w:tmpl w:val="ED66E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016B5"/>
    <w:multiLevelType w:val="hybridMultilevel"/>
    <w:tmpl w:val="C422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AF6448"/>
    <w:multiLevelType w:val="hybridMultilevel"/>
    <w:tmpl w:val="CCE6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C26EE8"/>
    <w:multiLevelType w:val="hybridMultilevel"/>
    <w:tmpl w:val="161A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31330"/>
    <w:multiLevelType w:val="hybridMultilevel"/>
    <w:tmpl w:val="B13C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B1122F"/>
    <w:multiLevelType w:val="hybridMultilevel"/>
    <w:tmpl w:val="4EF4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E5D8E"/>
    <w:multiLevelType w:val="hybridMultilevel"/>
    <w:tmpl w:val="BBD0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32773"/>
    <w:multiLevelType w:val="hybridMultilevel"/>
    <w:tmpl w:val="310C1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FB4FCE"/>
    <w:multiLevelType w:val="hybridMultilevel"/>
    <w:tmpl w:val="965CD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E11CB6"/>
    <w:multiLevelType w:val="hybridMultilevel"/>
    <w:tmpl w:val="6A4A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F02EC7"/>
    <w:multiLevelType w:val="hybridMultilevel"/>
    <w:tmpl w:val="FB92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0B5223"/>
    <w:multiLevelType w:val="hybridMultilevel"/>
    <w:tmpl w:val="AB82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47201">
    <w:abstractNumId w:val="20"/>
  </w:num>
  <w:num w:numId="2" w16cid:durableId="1932425380">
    <w:abstractNumId w:val="2"/>
  </w:num>
  <w:num w:numId="3" w16cid:durableId="162474642">
    <w:abstractNumId w:val="12"/>
  </w:num>
  <w:num w:numId="4" w16cid:durableId="1640529559">
    <w:abstractNumId w:val="10"/>
  </w:num>
  <w:num w:numId="5" w16cid:durableId="985931503">
    <w:abstractNumId w:val="18"/>
  </w:num>
  <w:num w:numId="6" w16cid:durableId="712776336">
    <w:abstractNumId w:val="8"/>
  </w:num>
  <w:num w:numId="7" w16cid:durableId="70081248">
    <w:abstractNumId w:val="1"/>
  </w:num>
  <w:num w:numId="8" w16cid:durableId="1546915552">
    <w:abstractNumId w:val="11"/>
  </w:num>
  <w:num w:numId="9" w16cid:durableId="1528367259">
    <w:abstractNumId w:val="13"/>
  </w:num>
  <w:num w:numId="10" w16cid:durableId="1032415381">
    <w:abstractNumId w:val="16"/>
  </w:num>
  <w:num w:numId="11" w16cid:durableId="635186035">
    <w:abstractNumId w:val="4"/>
  </w:num>
  <w:num w:numId="12" w16cid:durableId="1178080636">
    <w:abstractNumId w:val="14"/>
  </w:num>
  <w:num w:numId="13" w16cid:durableId="765616277">
    <w:abstractNumId w:val="19"/>
  </w:num>
  <w:num w:numId="14" w16cid:durableId="2103838784">
    <w:abstractNumId w:val="6"/>
  </w:num>
  <w:num w:numId="15" w16cid:durableId="1050573795">
    <w:abstractNumId w:val="0"/>
  </w:num>
  <w:num w:numId="16" w16cid:durableId="1538351904">
    <w:abstractNumId w:val="3"/>
  </w:num>
  <w:num w:numId="17" w16cid:durableId="1065566801">
    <w:abstractNumId w:val="17"/>
  </w:num>
  <w:num w:numId="18" w16cid:durableId="2126003015">
    <w:abstractNumId w:val="9"/>
  </w:num>
  <w:num w:numId="19" w16cid:durableId="1137989152">
    <w:abstractNumId w:val="15"/>
  </w:num>
  <w:num w:numId="20" w16cid:durableId="882135663">
    <w:abstractNumId w:val="5"/>
  </w:num>
  <w:num w:numId="21" w16cid:durableId="781075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339"/>
    <w:rsid w:val="00520D64"/>
    <w:rsid w:val="00B36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B2043A"/>
  <w15:chartTrackingRefBased/>
  <w15:docId w15:val="{29C74F7C-EB81-9141-BBF6-09B494E48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339"/>
  </w:style>
  <w:style w:type="paragraph" w:styleId="Heading1">
    <w:name w:val="heading 1"/>
    <w:basedOn w:val="Normal"/>
    <w:next w:val="Normal"/>
    <w:link w:val="Heading1Char"/>
    <w:uiPriority w:val="9"/>
    <w:qFormat/>
    <w:rsid w:val="00B36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3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3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3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3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3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3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3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3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3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3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3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3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3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3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3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339"/>
    <w:rPr>
      <w:rFonts w:eastAsiaTheme="majorEastAsia" w:cstheme="majorBidi"/>
      <w:color w:val="272727" w:themeColor="text1" w:themeTint="D8"/>
    </w:rPr>
  </w:style>
  <w:style w:type="paragraph" w:styleId="Title">
    <w:name w:val="Title"/>
    <w:basedOn w:val="Normal"/>
    <w:next w:val="Normal"/>
    <w:link w:val="TitleChar"/>
    <w:uiPriority w:val="10"/>
    <w:qFormat/>
    <w:rsid w:val="00B363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3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3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3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339"/>
    <w:pPr>
      <w:spacing w:before="160"/>
      <w:jc w:val="center"/>
    </w:pPr>
    <w:rPr>
      <w:i/>
      <w:iCs/>
      <w:color w:val="404040" w:themeColor="text1" w:themeTint="BF"/>
    </w:rPr>
  </w:style>
  <w:style w:type="character" w:customStyle="1" w:styleId="QuoteChar">
    <w:name w:val="Quote Char"/>
    <w:basedOn w:val="DefaultParagraphFont"/>
    <w:link w:val="Quote"/>
    <w:uiPriority w:val="29"/>
    <w:rsid w:val="00B36339"/>
    <w:rPr>
      <w:i/>
      <w:iCs/>
      <w:color w:val="404040" w:themeColor="text1" w:themeTint="BF"/>
    </w:rPr>
  </w:style>
  <w:style w:type="paragraph" w:styleId="ListParagraph">
    <w:name w:val="List Paragraph"/>
    <w:basedOn w:val="Normal"/>
    <w:uiPriority w:val="34"/>
    <w:qFormat/>
    <w:rsid w:val="00B36339"/>
    <w:pPr>
      <w:ind w:left="720"/>
      <w:contextualSpacing/>
    </w:pPr>
  </w:style>
  <w:style w:type="character" w:styleId="IntenseEmphasis">
    <w:name w:val="Intense Emphasis"/>
    <w:basedOn w:val="DefaultParagraphFont"/>
    <w:uiPriority w:val="21"/>
    <w:qFormat/>
    <w:rsid w:val="00B36339"/>
    <w:rPr>
      <w:i/>
      <w:iCs/>
      <w:color w:val="0F4761" w:themeColor="accent1" w:themeShade="BF"/>
    </w:rPr>
  </w:style>
  <w:style w:type="paragraph" w:styleId="IntenseQuote">
    <w:name w:val="Intense Quote"/>
    <w:basedOn w:val="Normal"/>
    <w:next w:val="Normal"/>
    <w:link w:val="IntenseQuoteChar"/>
    <w:uiPriority w:val="30"/>
    <w:qFormat/>
    <w:rsid w:val="00B36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339"/>
    <w:rPr>
      <w:i/>
      <w:iCs/>
      <w:color w:val="0F4761" w:themeColor="accent1" w:themeShade="BF"/>
    </w:rPr>
  </w:style>
  <w:style w:type="character" w:styleId="IntenseReference">
    <w:name w:val="Intense Reference"/>
    <w:basedOn w:val="DefaultParagraphFont"/>
    <w:uiPriority w:val="32"/>
    <w:qFormat/>
    <w:rsid w:val="00B36339"/>
    <w:rPr>
      <w:b/>
      <w:bCs/>
      <w:smallCaps/>
      <w:color w:val="0F4761" w:themeColor="accent1" w:themeShade="BF"/>
      <w:spacing w:val="5"/>
    </w:rPr>
  </w:style>
  <w:style w:type="table" w:styleId="PlainTable2">
    <w:name w:val="Plain Table 2"/>
    <w:basedOn w:val="TableNormal"/>
    <w:uiPriority w:val="42"/>
    <w:rsid w:val="00B363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11852</Words>
  <Characters>67563</Characters>
  <Application>Microsoft Office Word</Application>
  <DocSecurity>0</DocSecurity>
  <Lines>563</Lines>
  <Paragraphs>158</Paragraphs>
  <ScaleCrop>false</ScaleCrop>
  <Company/>
  <LinksUpToDate>false</LinksUpToDate>
  <CharactersWithSpaces>79257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Reithinger</dc:creator>
  <cp:keywords/>
  <dc:description/>
  <cp:lastModifiedBy>E.J. Reithinger</cp:lastModifiedBy>
  <cp:revision>1</cp:revision>
  <dcterms:created xsi:type="dcterms:W3CDTF">2026-09-23T10:22:00Z</dcterms:created>
  <dcterms:modified xsi:type="dcterms:W3CDTF">2026-09-23T10:22:00Z</dcterms:modified>
</cp:coreProperties>
</file>