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524DD">
      <w:pPr>
        <w:pStyle w:val="2"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additional-file-1-supplementary-tables"/>
      <w:r>
        <w:rPr>
          <w:rFonts w:hint="default" w:ascii="Times New Roman" w:hAnsi="Times New Roman" w:cs="Times New Roman"/>
          <w:sz w:val="24"/>
          <w:szCs w:val="24"/>
        </w:rPr>
        <w:t>Additional file</w:t>
      </w:r>
    </w:p>
    <w:p w14:paraId="47E2CDBB">
      <w:pPr>
        <w:pStyle w:val="26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Supplementary tables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and figures </w:t>
      </w:r>
      <w:r>
        <w:rPr>
          <w:rFonts w:hint="default" w:ascii="Times New Roman" w:hAnsi="Times New Roman" w:cs="Times New Roman"/>
          <w:sz w:val="24"/>
          <w:szCs w:val="24"/>
        </w:rPr>
        <w:t>for “Three-dimensional visualisation combined with intraoperative ultrasound in laparoscopic hepatectomy for complex hepatolithiasis: a propensity score-matched retrospective cohort study”.</w:t>
      </w:r>
    </w:p>
    <w:p w14:paraId="0C601749">
      <w:pPr>
        <w:pStyle w:val="26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Submission ID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24"/>
        </w:rPr>
        <w:t>17b0f3f1-4a95-4e92-bca3-d6813aade625</w:t>
      </w:r>
    </w:p>
    <w:p w14:paraId="53DA4BC6">
      <w:pPr>
        <w:pStyle w:val="4"/>
        <w:spacing w:line="360" w:lineRule="auto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bookmarkStart w:id="2" w:name="_GoBack"/>
      <w:bookmarkStart w:id="1" w:name="tables"/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Tables</w:t>
      </w:r>
      <w:bookmarkEnd w:id="1"/>
    </w:p>
    <w:bookmarkEnd w:id="2"/>
    <w:p w14:paraId="4CC6B23A">
      <w:pPr>
        <w:pStyle w:val="18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456A80F9">
      <w:pPr>
        <w:pStyle w:val="12"/>
        <w:keepNext w:val="0"/>
        <w:keepLines w:val="0"/>
        <w:framePr w:hSpace="180" w:wrap="around" w:vAnchor="text" w:hAnchor="page" w:xAlign="center" w:y="-27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rPr>
          <w:rFonts w:hint="default" w:ascii="Times New Roman" w:hAnsi="Times New Roman" w:cs="Times New Roman" w:eastAsiaTheme="minorEastAsia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>Table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 S 1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>. Stone distribution before and after PSM</w:t>
      </w:r>
    </w:p>
    <w:p w14:paraId="568F2D4B">
      <w:pPr>
        <w:pStyle w:val="18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tbl>
      <w:tblPr>
        <w:tblStyle w:val="20"/>
        <w:tblpPr w:leftFromText="180" w:rightFromText="180" w:vertAnchor="text" w:horzAnchor="page" w:tblpXSpec="center" w:tblpY="313"/>
        <w:tblOverlap w:val="never"/>
        <w:tblW w:w="9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155"/>
        <w:gridCol w:w="1140"/>
        <w:gridCol w:w="1095"/>
        <w:gridCol w:w="735"/>
        <w:gridCol w:w="1133"/>
        <w:gridCol w:w="1125"/>
        <w:gridCol w:w="1047"/>
        <w:gridCol w:w="808"/>
      </w:tblGrid>
      <w:tr w14:paraId="2C00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61E65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4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A6664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B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efore PSM</w:t>
            </w:r>
          </w:p>
        </w:tc>
        <w:tc>
          <w:tcPr>
            <w:tcW w:w="41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847BC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fter PSM</w:t>
            </w:r>
          </w:p>
        </w:tc>
      </w:tr>
      <w:tr w14:paraId="5066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49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4AEE6D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Stone distribution (n, %)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B3CA89F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Study group (n=84)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9B3549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Control group (n=96)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BA3565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SMD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EC33D0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 value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B5DD2ED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Study group (n=66)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181B1D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Control group (n=66)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748133B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SMD</w:t>
            </w:r>
          </w:p>
        </w:tc>
        <w:tc>
          <w:tcPr>
            <w:tcW w:w="8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7517623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 value</w:t>
            </w:r>
          </w:p>
        </w:tc>
      </w:tr>
      <w:tr w14:paraId="581B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527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Left lobe stones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8346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42 (50.0)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B475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43 (44.8)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D442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0.104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F6BBB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0.682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D2D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32 (48.5)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E907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33 (50.0)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781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0.030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5273B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0.991</w:t>
            </w:r>
          </w:p>
        </w:tc>
      </w:tr>
      <w:tr w14:paraId="52EB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5191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Right lobe stones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DD65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26 (31.0)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E2BB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30 (31.3)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1C13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F15B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0.485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AA42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22 (33.3)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5611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21 (31.8)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DA1A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0.032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9339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0.860</w:t>
            </w:r>
          </w:p>
        </w:tc>
      </w:tr>
      <w:tr w14:paraId="25DD2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0D63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Bilateral/diffuse stones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D833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 (9.5)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EAA2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 (10.4)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7EB1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0.030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462C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1.000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E2E8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 (9.1)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9B7D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 (9.1)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8619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7FB2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1.000</w:t>
            </w:r>
          </w:p>
        </w:tc>
      </w:tr>
      <w:tr w14:paraId="4AE10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49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324DE93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Concomitant common bile duct stones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346DE5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 (9.5)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AB48F58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13 (13.5)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BA157B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0.12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4AA288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0.846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CA359A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 (9.1)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BA242B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 (9.1)</w:t>
            </w:r>
          </w:p>
        </w:tc>
        <w:tc>
          <w:tcPr>
            <w:tcW w:w="104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EFDB0A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0.000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421AE9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1.000</w:t>
            </w:r>
          </w:p>
        </w:tc>
      </w:tr>
    </w:tbl>
    <w:p w14:paraId="16753351">
      <w:pPr>
        <w:pStyle w:val="12"/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</w:pPr>
    </w:p>
    <w:p w14:paraId="6A7C6B5C">
      <w:pPr>
        <w:pStyle w:val="12"/>
        <w:spacing w:line="360" w:lineRule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S 2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>. Comparison of intraoperative indicators after PSM</w:t>
      </w:r>
    </w:p>
    <w:tbl>
      <w:tblPr>
        <w:tblStyle w:val="20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1"/>
        <w:gridCol w:w="1990"/>
        <w:gridCol w:w="1930"/>
        <w:gridCol w:w="1710"/>
        <w:gridCol w:w="1020"/>
      </w:tblGrid>
      <w:tr w14:paraId="607E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61A11B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Variable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834F1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Study group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0F2DF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Control group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6E973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Statistical value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332E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</w:tr>
      <w:tr w14:paraId="27103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EDFA06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Operative time (min)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55BE9A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6.59±55.93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627FE24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238.48±73.55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897A93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2.51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563C2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0.012</w:t>
            </w:r>
          </w:p>
        </w:tc>
      </w:tr>
      <w:tr w14:paraId="7EC8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14:paraId="6CAC368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Intraoperative blood loss (mL)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392B5F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62.95±183.99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DAACC8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390.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61±299.06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73CAA5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2.429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D089B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0.015</w:t>
            </w:r>
          </w:p>
        </w:tc>
      </w:tr>
      <w:tr w14:paraId="2015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</w:tcPr>
          <w:p w14:paraId="42581773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Conversion to open surgery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2051476F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6/66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864F97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16/66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731B49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5.450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A05FA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0.019</w:t>
            </w:r>
          </w:p>
        </w:tc>
      </w:tr>
      <w:tr w14:paraId="57986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265F13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Intraoperative transfusion rate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6E6AC9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6/66</w:t>
            </w:r>
          </w:p>
        </w:tc>
        <w:tc>
          <w:tcPr>
            <w:tcW w:w="19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81F913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34/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66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9E42E7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4.400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991F8C8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0.03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</w:tr>
    </w:tbl>
    <w:p w14:paraId="144D915D">
      <w:pPr>
        <w:pStyle w:val="12"/>
        <w:spacing w:line="360" w:lineRule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</w:pPr>
    </w:p>
    <w:p w14:paraId="33EF900E">
      <w:pPr>
        <w:pStyle w:val="12"/>
        <w:spacing w:line="360" w:lineRule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S 3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>. Comparison of early postoperative liver function indicators</w:t>
      </w:r>
    </w:p>
    <w:tbl>
      <w:tblPr>
        <w:tblStyle w:val="20"/>
        <w:tblW w:w="90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1"/>
        <w:gridCol w:w="2110"/>
        <w:gridCol w:w="2070"/>
        <w:gridCol w:w="1260"/>
        <w:gridCol w:w="1150"/>
      </w:tblGrid>
      <w:tr w14:paraId="01F26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317482D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Variable</w:t>
            </w:r>
          </w:p>
        </w:tc>
        <w:tc>
          <w:tcPr>
            <w:tcW w:w="21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6223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Study group</w:t>
            </w:r>
          </w:p>
        </w:tc>
        <w:tc>
          <w:tcPr>
            <w:tcW w:w="20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77EA9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Control group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E065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Statistical value</w:t>
            </w:r>
          </w:p>
        </w:tc>
        <w:tc>
          <w:tcPr>
            <w:tcW w:w="11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90150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</w:tr>
      <w:tr w14:paraId="19B5A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  <w:tcBorders>
              <w:top w:val="single" w:color="auto" w:sz="4" w:space="0"/>
            </w:tcBorders>
          </w:tcPr>
          <w:p w14:paraId="13D71E2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Postoperative day 1</w:t>
            </w:r>
          </w:p>
        </w:tc>
        <w:tc>
          <w:tcPr>
            <w:tcW w:w="6590" w:type="dxa"/>
            <w:gridSpan w:val="4"/>
            <w:tcBorders>
              <w:top w:val="single" w:color="auto" w:sz="4" w:space="0"/>
            </w:tcBorders>
          </w:tcPr>
          <w:p w14:paraId="4AB1FA54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F70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</w:tcPr>
          <w:p w14:paraId="61BEAFEF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ALT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(U/L)</w:t>
            </w:r>
          </w:p>
        </w:tc>
        <w:tc>
          <w:tcPr>
            <w:tcW w:w="2110" w:type="dxa"/>
          </w:tcPr>
          <w:p w14:paraId="1577AD8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223.</w:t>
            </w: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62±218.12</w:t>
            </w:r>
          </w:p>
        </w:tc>
        <w:tc>
          <w:tcPr>
            <w:tcW w:w="2070" w:type="dxa"/>
          </w:tcPr>
          <w:p w14:paraId="4B30A3A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424.26±649.53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39DE711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4.319</w:t>
            </w:r>
          </w:p>
        </w:tc>
        <w:tc>
          <w:tcPr>
            <w:tcW w:w="1150" w:type="dxa"/>
          </w:tcPr>
          <w:p w14:paraId="5B586C3B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&lt;0.001</w:t>
            </w:r>
          </w:p>
        </w:tc>
      </w:tr>
      <w:tr w14:paraId="01E95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</w:tcPr>
          <w:p w14:paraId="38D31D3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AST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(U/L)</w:t>
            </w:r>
          </w:p>
        </w:tc>
        <w:tc>
          <w:tcPr>
            <w:tcW w:w="2110" w:type="dxa"/>
          </w:tcPr>
          <w:p w14:paraId="116A8E6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199.41±201.94</w:t>
            </w:r>
          </w:p>
        </w:tc>
        <w:tc>
          <w:tcPr>
            <w:tcW w:w="2070" w:type="dxa"/>
          </w:tcPr>
          <w:p w14:paraId="6F17C812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290.90±241.92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573C5F41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2.847</w:t>
            </w:r>
          </w:p>
        </w:tc>
        <w:tc>
          <w:tcPr>
            <w:tcW w:w="1150" w:type="dxa"/>
          </w:tcPr>
          <w:p w14:paraId="14BA8E1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0.004</w:t>
            </w:r>
          </w:p>
        </w:tc>
      </w:tr>
      <w:tr w14:paraId="7A7D4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</w:tcPr>
          <w:p w14:paraId="703E384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TBIL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(μmol/L)</w:t>
            </w:r>
          </w:p>
        </w:tc>
        <w:tc>
          <w:tcPr>
            <w:tcW w:w="2110" w:type="dxa"/>
          </w:tcPr>
          <w:p w14:paraId="0200C2EF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24.91±19.60</w:t>
            </w:r>
          </w:p>
        </w:tc>
        <w:tc>
          <w:tcPr>
            <w:tcW w:w="2070" w:type="dxa"/>
            <w:shd w:val="clear" w:color="auto" w:fill="auto"/>
            <w:vAlign w:val="top"/>
          </w:tcPr>
          <w:p w14:paraId="0E5D62E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34.06±24.90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429ECE38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2.337</w:t>
            </w:r>
          </w:p>
        </w:tc>
        <w:tc>
          <w:tcPr>
            <w:tcW w:w="1150" w:type="dxa"/>
          </w:tcPr>
          <w:p w14:paraId="71E7B21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0.019</w:t>
            </w:r>
          </w:p>
        </w:tc>
      </w:tr>
      <w:tr w14:paraId="70F0B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  <w:vAlign w:val="top"/>
          </w:tcPr>
          <w:p w14:paraId="65ED1036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Postoperative day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6590" w:type="dxa"/>
            <w:gridSpan w:val="4"/>
          </w:tcPr>
          <w:p w14:paraId="4BCDBBBF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474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  <w:vAlign w:val="top"/>
          </w:tcPr>
          <w:p w14:paraId="1E7D818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ALT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(U/L)</w:t>
            </w:r>
          </w:p>
        </w:tc>
        <w:tc>
          <w:tcPr>
            <w:tcW w:w="2110" w:type="dxa"/>
          </w:tcPr>
          <w:p w14:paraId="05310834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102.29±146.24</w:t>
            </w:r>
          </w:p>
        </w:tc>
        <w:tc>
          <w:tcPr>
            <w:tcW w:w="2070" w:type="dxa"/>
            <w:shd w:val="clear" w:color="auto" w:fill="auto"/>
            <w:vAlign w:val="top"/>
          </w:tcPr>
          <w:p w14:paraId="7225562D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128.14±132.32</w:t>
            </w:r>
          </w:p>
        </w:tc>
        <w:tc>
          <w:tcPr>
            <w:tcW w:w="1260" w:type="dxa"/>
          </w:tcPr>
          <w:p w14:paraId="6F842687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1.893</w:t>
            </w:r>
          </w:p>
        </w:tc>
        <w:tc>
          <w:tcPr>
            <w:tcW w:w="1150" w:type="dxa"/>
          </w:tcPr>
          <w:p w14:paraId="2058CB00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0.058</w:t>
            </w:r>
          </w:p>
        </w:tc>
      </w:tr>
      <w:tr w14:paraId="5A7F1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  <w:vAlign w:val="top"/>
          </w:tcPr>
          <w:p w14:paraId="0CB00848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AST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(U/L)</w:t>
            </w:r>
          </w:p>
        </w:tc>
        <w:tc>
          <w:tcPr>
            <w:tcW w:w="2110" w:type="dxa"/>
          </w:tcPr>
          <w:p w14:paraId="466D7F5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51.23±61.68</w:t>
            </w:r>
          </w:p>
        </w:tc>
        <w:tc>
          <w:tcPr>
            <w:tcW w:w="2070" w:type="dxa"/>
          </w:tcPr>
          <w:p w14:paraId="6ACCA1EC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84.73±94.26</w:t>
            </w:r>
          </w:p>
        </w:tc>
        <w:tc>
          <w:tcPr>
            <w:tcW w:w="1260" w:type="dxa"/>
          </w:tcPr>
          <w:p w14:paraId="1E346F9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1.937</w:t>
            </w:r>
          </w:p>
        </w:tc>
        <w:tc>
          <w:tcPr>
            <w:tcW w:w="1150" w:type="dxa"/>
          </w:tcPr>
          <w:p w14:paraId="52147DE9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0.053</w:t>
            </w:r>
          </w:p>
        </w:tc>
      </w:tr>
      <w:tr w14:paraId="5B6A9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01" w:type="dxa"/>
            <w:tcBorders>
              <w:bottom w:val="single" w:color="auto" w:sz="4" w:space="0"/>
            </w:tcBorders>
            <w:vAlign w:val="top"/>
          </w:tcPr>
          <w:p w14:paraId="3B49D235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TBIL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(μmol/L)</w:t>
            </w:r>
          </w:p>
        </w:tc>
        <w:tc>
          <w:tcPr>
            <w:tcW w:w="2110" w:type="dxa"/>
            <w:tcBorders>
              <w:bottom w:val="single" w:color="auto" w:sz="4" w:space="0"/>
            </w:tcBorders>
          </w:tcPr>
          <w:p w14:paraId="2108955B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19.32±16.65</w:t>
            </w:r>
          </w:p>
        </w:tc>
        <w:tc>
          <w:tcPr>
            <w:tcW w:w="2070" w:type="dxa"/>
            <w:tcBorders>
              <w:bottom w:val="single" w:color="auto" w:sz="4" w:space="0"/>
            </w:tcBorders>
          </w:tcPr>
          <w:p w14:paraId="45C6EED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29.34±67.11</w:t>
            </w:r>
          </w:p>
        </w:tc>
        <w:tc>
          <w:tcPr>
            <w:tcW w:w="1260" w:type="dxa"/>
            <w:tcBorders>
              <w:bottom w:val="single" w:color="auto" w:sz="4" w:space="0"/>
            </w:tcBorders>
          </w:tcPr>
          <w:p w14:paraId="07F580BA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1.447</w:t>
            </w:r>
          </w:p>
        </w:tc>
        <w:tc>
          <w:tcPr>
            <w:tcW w:w="1150" w:type="dxa"/>
            <w:tcBorders>
              <w:bottom w:val="single" w:color="auto" w:sz="4" w:space="0"/>
            </w:tcBorders>
          </w:tcPr>
          <w:p w14:paraId="396D909E">
            <w:pPr>
              <w:pStyle w:val="18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0.148</w:t>
            </w:r>
          </w:p>
        </w:tc>
      </w:tr>
    </w:tbl>
    <w:p w14:paraId="27A9F6B2">
      <w:pPr>
        <w:pStyle w:val="12"/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>Note: ALT, alanine aminotransferase; AST, aspartate aminotransferase; TBIL, total bilirubin.</w:t>
      </w:r>
    </w:p>
    <w:p w14:paraId="503ADAF9"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</w:p>
    <w:p w14:paraId="2E33DC21">
      <w:pPr>
        <w:pStyle w:val="12"/>
        <w:spacing w:line="360" w:lineRule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S 5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>.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 xml:space="preserve"> Multivariable logistic regression analysis of postoperative complications</w:t>
      </w:r>
    </w:p>
    <w:tbl>
      <w:tblPr>
        <w:tblStyle w:val="2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1663"/>
        <w:gridCol w:w="1611"/>
        <w:gridCol w:w="1688"/>
        <w:gridCol w:w="1613"/>
      </w:tblGrid>
      <w:tr w14:paraId="2CF9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B8A332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F8A7C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Regression coefficient</w:t>
            </w:r>
          </w:p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E61F4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OR</w:t>
            </w:r>
          </w:p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77990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95% CI</w:t>
            </w:r>
          </w:p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07F8F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</w:tr>
      <w:tr w14:paraId="715B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3" w:type="dxa"/>
            <w:tcBorders>
              <w:top w:val="single" w:color="auto" w:sz="4" w:space="0"/>
            </w:tcBorders>
            <w:vAlign w:val="center"/>
          </w:tcPr>
          <w:p w14:paraId="2758ED2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Three-dimensional visualisation + ultrasound</w:t>
            </w: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 w14:paraId="19F053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−1.162</w:t>
            </w: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 w14:paraId="32ED2E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0.313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 w14:paraId="2173C58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0.107–0.915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 w14:paraId="25381D7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0.034</w:t>
            </w:r>
          </w:p>
        </w:tc>
      </w:tr>
      <w:tr w14:paraId="01A3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3" w:type="dxa"/>
            <w:tcBorders>
              <w:bottom w:val="single" w:color="auto" w:sz="4" w:space="0"/>
            </w:tcBorders>
            <w:vAlign w:val="center"/>
          </w:tcPr>
          <w:p w14:paraId="1E1CCD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Previous abdominal surgery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5D00AE2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1.850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37DDA14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6.361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vAlign w:val="center"/>
          </w:tcPr>
          <w:p w14:paraId="1530D8D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1.200–33.700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vAlign w:val="center"/>
          </w:tcPr>
          <w:p w14:paraId="4E7A51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2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0.028</w:t>
            </w:r>
          </w:p>
        </w:tc>
      </w:tr>
    </w:tbl>
    <w:p w14:paraId="49793F67">
      <w:pPr>
        <w:pStyle w:val="18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</w:p>
    <w:p w14:paraId="78C7C588">
      <w:pPr>
        <w:pStyle w:val="18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drawing>
          <wp:inline distT="0" distB="0" distL="114300" distR="114300">
            <wp:extent cx="4163060" cy="3369310"/>
            <wp:effectExtent l="0" t="0" r="12700" b="13970"/>
            <wp:docPr id="13" name="图片 13" descr="三维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三维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306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47495">
      <w:pPr>
        <w:pStyle w:val="12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S1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  <w:t>CT image showing atrophy of the left hepatic lobe. The left hepatic duct stones are poorly visualised within the atrophic parenchyma.</w:t>
      </w:r>
    </w:p>
    <w:p w14:paraId="1BF26CE4">
      <w:pPr>
        <w:pStyle w:val="12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S1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  <w:t>MRCP shows stone within the CBD.</w:t>
      </w:r>
    </w:p>
    <w:p w14:paraId="012CB62F">
      <w:pPr>
        <w:pStyle w:val="12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S1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  <w:t>MRCP shows stones within the LHD.</w:t>
      </w:r>
    </w:p>
    <w:p w14:paraId="491956ED">
      <w:pPr>
        <w:pStyle w:val="12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S1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zh-CN"/>
        </w:rPr>
        <w:t>Real-time IOUS guidance for determining the transection plane.</w:t>
      </w:r>
    </w:p>
    <w:p w14:paraId="32F01BBB">
      <w:pPr>
        <w:spacing w:line="360" w:lineRule="auto"/>
        <w:jc w:val="center"/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drawing>
          <wp:inline distT="0" distB="0" distL="114300" distR="114300">
            <wp:extent cx="2649220" cy="2286000"/>
            <wp:effectExtent l="0" t="0" r="2540" b="0"/>
            <wp:docPr id="14" name="图片 14" descr="Snipaste_2026-09-01_16-45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nipaste_2026-09-01_16-45-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258CF">
      <w:pPr>
        <w:pStyle w:val="12"/>
        <w:spacing w:line="360" w:lineRule="auto"/>
        <w:jc w:val="both"/>
        <w:rPr>
          <w:rFonts w:hint="default" w:ascii="Times New Roman" w:hAnsi="Times New Roman" w:cs="Times New Roman" w:eastAsiaTheme="minorEastAsia"/>
          <w:i w:val="0"/>
          <w:i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 2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>. Preoperative imaging-based 3D visualisation for planned laparoscopic left hemihepatectomy.</w:t>
      </w:r>
    </w:p>
    <w:p w14:paraId="39EE5A04">
      <w:pPr>
        <w:pStyle w:val="18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3337560" cy="1877695"/>
            <wp:effectExtent l="0" t="0" r="0" b="12065"/>
            <wp:docPr id="12" name="图片 12" descr="8月13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月13日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187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F903">
      <w:pPr>
        <w:pStyle w:val="12"/>
        <w:keepNext w:val="0"/>
        <w:keepLines w:val="0"/>
        <w:widowControl/>
        <w:suppressLineNumbers w:val="0"/>
        <w:shd w:val="clear"/>
        <w:spacing w:before="192" w:beforeAutospacing="0" w:after="192" w:afterAutospacing="0" w:line="360" w:lineRule="auto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 3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eastAsia="zh-CN"/>
        </w:rPr>
        <w:t>. After dissecting the ligamentum teres, the transection plane was corrected under IOUS guidance.</w:t>
      </w:r>
    </w:p>
    <w:p w14:paraId="43694FA2">
      <w:pPr>
        <w:pStyle w:val="3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36BE59B">
      <w:pPr>
        <w:keepNext w:val="0"/>
        <w:keepLines w:val="0"/>
        <w:widowControl/>
        <w:suppressLineNumbers w:val="0"/>
        <w:spacing w:before="0" w:beforeAutospacing="0" w:after="192" w:afterAutospacing="0" w:line="360" w:lineRule="auto"/>
        <w:ind w:left="0" w:right="0"/>
        <w:rPr>
          <w:rFonts w:hint="default" w:ascii="Times New Roman" w:hAnsi="Times New Roman" w:eastAsia="Helvetica" w:cs="Times New Roman"/>
          <w:i w:val="0"/>
          <w:iCs w:val="0"/>
          <w:caps w:val="0"/>
          <w:color w:val="222222"/>
          <w:spacing w:val="2"/>
          <w:sz w:val="24"/>
          <w:szCs w:val="24"/>
        </w:rPr>
      </w:pPr>
    </w:p>
    <w:p w14:paraId="100E4B89">
      <w:pPr>
        <w:pStyle w:val="3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D377174">
      <w:pPr>
        <w:pStyle w:val="3"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bookmarkEnd w:id="0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9F4792E"/>
    <w:rsid w:val="1F1645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21">
    <w:name w:val="Default Paragraph Font"/>
    <w:semiHidden/>
    <w:unhideWhenUsed/>
    <w:qFormat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Normal (Web)"/>
    <w:basedOn w:val="1"/>
    <w:qFormat/>
    <w:uiPriority w:val="0"/>
    <w:rPr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Hyperlink"/>
    <w:basedOn w:val="24"/>
    <w:uiPriority w:val="0"/>
    <w:rPr>
      <w:color w:val="4F81BD" w:themeColor="accent1"/>
    </w:rPr>
  </w:style>
  <w:style w:type="character" w:customStyle="1" w:styleId="24">
    <w:name w:val="Body Text Char"/>
    <w:basedOn w:val="21"/>
    <w:link w:val="3"/>
    <w:qFormat/>
    <w:uiPriority w:val="0"/>
  </w:style>
  <w:style w:type="character" w:styleId="25">
    <w:name w:val="footnote reference"/>
    <w:basedOn w:val="24"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paragraph" w:customStyle="1" w:styleId="28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paragraph" w:customStyle="1" w:styleId="32">
    <w:name w:val="Footnote Block Text"/>
    <w:unhideWhenUsed/>
    <w:qFormat/>
    <w:uiPriority w:val="9"/>
    <w:pPr>
      <w:spacing w:before="100" w:after="100"/>
      <w:ind w:left="480" w:right="480" w:firstLine="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table" w:customStyle="1" w:styleId="33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34">
    <w:name w:val="Definition Term"/>
    <w:basedOn w:val="1"/>
    <w:next w:val="35"/>
    <w:uiPriority w:val="0"/>
    <w:pPr>
      <w:keepNext/>
      <w:keepLines/>
      <w:spacing w:after="0"/>
    </w:pPr>
    <w:rPr>
      <w:b/>
    </w:rPr>
  </w:style>
  <w:style w:type="paragraph" w:customStyle="1" w:styleId="35">
    <w:name w:val="Definition"/>
    <w:basedOn w:val="1"/>
    <w:uiPriority w:val="0"/>
  </w:style>
  <w:style w:type="paragraph" w:customStyle="1" w:styleId="36">
    <w:name w:val="Table Caption"/>
    <w:basedOn w:val="12"/>
    <w:qFormat/>
    <w:uiPriority w:val="0"/>
    <w:pPr>
      <w:keepNext/>
    </w:pPr>
  </w:style>
  <w:style w:type="paragraph" w:customStyle="1" w:styleId="37">
    <w:name w:val="Image Caption"/>
    <w:basedOn w:val="12"/>
    <w:qFormat/>
    <w:uiPriority w:val="0"/>
  </w:style>
  <w:style w:type="paragraph" w:customStyle="1" w:styleId="38">
    <w:name w:val="Figure"/>
    <w:basedOn w:val="1"/>
    <w:qFormat/>
    <w:uiPriority w:val="0"/>
  </w:style>
  <w:style w:type="paragraph" w:customStyle="1" w:styleId="39">
    <w:name w:val="Captioned Figure"/>
    <w:basedOn w:val="38"/>
    <w:qFormat/>
    <w:uiPriority w:val="0"/>
    <w:pPr>
      <w:keepNext/>
    </w:pPr>
  </w:style>
  <w:style w:type="character" w:customStyle="1" w:styleId="40">
    <w:name w:val="Verbatim Char"/>
    <w:basedOn w:val="24"/>
    <w:link w:val="41"/>
    <w:uiPriority w:val="0"/>
    <w:rPr>
      <w:rFonts w:ascii="Consolas" w:hAnsi="Consolas"/>
      <w:sz w:val="22"/>
    </w:rPr>
  </w:style>
  <w:style w:type="paragraph" w:customStyle="1" w:styleId="41">
    <w:name w:val="Source Code"/>
    <w:basedOn w:val="1"/>
    <w:link w:val="40"/>
    <w:uiPriority w:val="0"/>
    <w:pPr>
      <w:wordWrap w:val="0"/>
    </w:pPr>
  </w:style>
  <w:style w:type="character" w:customStyle="1" w:styleId="42">
    <w:name w:val="Section Number"/>
    <w:basedOn w:val="24"/>
    <w:qFormat/>
    <w:uiPriority w:val="0"/>
  </w:style>
  <w:style w:type="paragraph" w:customStyle="1" w:styleId="4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44">
    <w:name w:val="KeywordTok"/>
    <w:basedOn w:val="40"/>
    <w:qFormat/>
    <w:uiPriority w:val="0"/>
    <w:rPr>
      <w:b/>
      <w:color w:val="007020"/>
    </w:rPr>
  </w:style>
  <w:style w:type="character" w:customStyle="1" w:styleId="45">
    <w:name w:val="DataTypeTok"/>
    <w:basedOn w:val="40"/>
    <w:uiPriority w:val="0"/>
    <w:rPr>
      <w:color w:val="902000"/>
    </w:rPr>
  </w:style>
  <w:style w:type="character" w:customStyle="1" w:styleId="46">
    <w:name w:val="DecValTok"/>
    <w:basedOn w:val="40"/>
    <w:qFormat/>
    <w:uiPriority w:val="0"/>
    <w:rPr>
      <w:color w:val="40A070"/>
    </w:rPr>
  </w:style>
  <w:style w:type="character" w:customStyle="1" w:styleId="47">
    <w:name w:val="BaseNTok"/>
    <w:basedOn w:val="40"/>
    <w:qFormat/>
    <w:uiPriority w:val="0"/>
    <w:rPr>
      <w:color w:val="40A070"/>
    </w:rPr>
  </w:style>
  <w:style w:type="character" w:customStyle="1" w:styleId="48">
    <w:name w:val="FloatTok"/>
    <w:basedOn w:val="40"/>
    <w:uiPriority w:val="0"/>
    <w:rPr>
      <w:color w:val="40A070"/>
    </w:rPr>
  </w:style>
  <w:style w:type="character" w:customStyle="1" w:styleId="49">
    <w:name w:val="ConstantTok"/>
    <w:basedOn w:val="40"/>
    <w:qFormat/>
    <w:uiPriority w:val="0"/>
    <w:rPr>
      <w:color w:val="880000"/>
    </w:rPr>
  </w:style>
  <w:style w:type="character" w:customStyle="1" w:styleId="50">
    <w:name w:val="CharTok"/>
    <w:basedOn w:val="40"/>
    <w:uiPriority w:val="0"/>
    <w:rPr>
      <w:color w:val="4070A0"/>
    </w:rPr>
  </w:style>
  <w:style w:type="character" w:customStyle="1" w:styleId="51">
    <w:name w:val="SpecialCharTok"/>
    <w:basedOn w:val="40"/>
    <w:qFormat/>
    <w:uiPriority w:val="0"/>
    <w:rPr>
      <w:color w:val="4070A0"/>
    </w:rPr>
  </w:style>
  <w:style w:type="character" w:customStyle="1" w:styleId="52">
    <w:name w:val="StringTok"/>
    <w:basedOn w:val="40"/>
    <w:uiPriority w:val="0"/>
    <w:rPr>
      <w:color w:val="4070A0"/>
    </w:rPr>
  </w:style>
  <w:style w:type="character" w:customStyle="1" w:styleId="53">
    <w:name w:val="VerbatimStringTok"/>
    <w:basedOn w:val="40"/>
    <w:qFormat/>
    <w:uiPriority w:val="0"/>
    <w:rPr>
      <w:color w:val="4070A0"/>
    </w:rPr>
  </w:style>
  <w:style w:type="character" w:customStyle="1" w:styleId="54">
    <w:name w:val="SpecialStringTok"/>
    <w:basedOn w:val="40"/>
    <w:qFormat/>
    <w:uiPriority w:val="0"/>
    <w:rPr>
      <w:color w:val="BB6688"/>
    </w:rPr>
  </w:style>
  <w:style w:type="character" w:customStyle="1" w:styleId="55">
    <w:name w:val="ImportTok"/>
    <w:basedOn w:val="40"/>
    <w:uiPriority w:val="0"/>
    <w:rPr>
      <w:b/>
      <w:color w:val="008000"/>
    </w:rPr>
  </w:style>
  <w:style w:type="character" w:customStyle="1" w:styleId="56">
    <w:name w:val="CommentTok"/>
    <w:basedOn w:val="40"/>
    <w:uiPriority w:val="0"/>
    <w:rPr>
      <w:i/>
      <w:color w:val="60A0B0"/>
    </w:rPr>
  </w:style>
  <w:style w:type="character" w:customStyle="1" w:styleId="57">
    <w:name w:val="DocumentationTok"/>
    <w:basedOn w:val="40"/>
    <w:uiPriority w:val="0"/>
    <w:rPr>
      <w:i/>
      <w:color w:val="BA2121"/>
    </w:rPr>
  </w:style>
  <w:style w:type="character" w:customStyle="1" w:styleId="58">
    <w:name w:val="AnnotationTok"/>
    <w:basedOn w:val="40"/>
    <w:uiPriority w:val="0"/>
    <w:rPr>
      <w:b/>
      <w:i/>
      <w:color w:val="60A0B0"/>
    </w:rPr>
  </w:style>
  <w:style w:type="character" w:customStyle="1" w:styleId="59">
    <w:name w:val="CommentVarTok"/>
    <w:basedOn w:val="40"/>
    <w:qFormat/>
    <w:uiPriority w:val="0"/>
    <w:rPr>
      <w:b/>
      <w:i/>
      <w:color w:val="60A0B0"/>
    </w:rPr>
  </w:style>
  <w:style w:type="character" w:customStyle="1" w:styleId="60">
    <w:name w:val="OtherTok"/>
    <w:basedOn w:val="40"/>
    <w:qFormat/>
    <w:uiPriority w:val="0"/>
    <w:rPr>
      <w:color w:val="007020"/>
    </w:rPr>
  </w:style>
  <w:style w:type="character" w:customStyle="1" w:styleId="61">
    <w:name w:val="FunctionTok"/>
    <w:basedOn w:val="40"/>
    <w:qFormat/>
    <w:uiPriority w:val="0"/>
    <w:rPr>
      <w:color w:val="06287E"/>
    </w:rPr>
  </w:style>
  <w:style w:type="character" w:customStyle="1" w:styleId="62">
    <w:name w:val="VariableTok"/>
    <w:basedOn w:val="40"/>
    <w:qFormat/>
    <w:uiPriority w:val="0"/>
    <w:rPr>
      <w:color w:val="19177C"/>
    </w:rPr>
  </w:style>
  <w:style w:type="character" w:customStyle="1" w:styleId="63">
    <w:name w:val="ControlFlowTok"/>
    <w:basedOn w:val="40"/>
    <w:uiPriority w:val="0"/>
    <w:rPr>
      <w:b/>
      <w:color w:val="007020"/>
    </w:rPr>
  </w:style>
  <w:style w:type="character" w:customStyle="1" w:styleId="64">
    <w:name w:val="OperatorTok"/>
    <w:basedOn w:val="40"/>
    <w:uiPriority w:val="0"/>
    <w:rPr>
      <w:color w:val="666666"/>
    </w:rPr>
  </w:style>
  <w:style w:type="character" w:customStyle="1" w:styleId="65">
    <w:name w:val="BuiltInTok"/>
    <w:basedOn w:val="40"/>
    <w:uiPriority w:val="0"/>
    <w:rPr>
      <w:color w:val="008000"/>
    </w:rPr>
  </w:style>
  <w:style w:type="character" w:customStyle="1" w:styleId="66">
    <w:name w:val="ExtensionTok"/>
    <w:basedOn w:val="40"/>
    <w:uiPriority w:val="0"/>
  </w:style>
  <w:style w:type="character" w:customStyle="1" w:styleId="67">
    <w:name w:val="PreprocessorTok"/>
    <w:basedOn w:val="40"/>
    <w:qFormat/>
    <w:uiPriority w:val="0"/>
    <w:rPr>
      <w:color w:val="BC7A00"/>
    </w:rPr>
  </w:style>
  <w:style w:type="character" w:customStyle="1" w:styleId="68">
    <w:name w:val="AttributeTok"/>
    <w:basedOn w:val="40"/>
    <w:qFormat/>
    <w:uiPriority w:val="0"/>
    <w:rPr>
      <w:color w:val="7D9029"/>
    </w:rPr>
  </w:style>
  <w:style w:type="character" w:customStyle="1" w:styleId="69">
    <w:name w:val="RegionMarkerTok"/>
    <w:basedOn w:val="40"/>
    <w:qFormat/>
    <w:uiPriority w:val="0"/>
  </w:style>
  <w:style w:type="character" w:customStyle="1" w:styleId="70">
    <w:name w:val="InformationTok"/>
    <w:basedOn w:val="40"/>
    <w:uiPriority w:val="0"/>
    <w:rPr>
      <w:b/>
      <w:i/>
      <w:color w:val="60A0B0"/>
    </w:rPr>
  </w:style>
  <w:style w:type="character" w:customStyle="1" w:styleId="71">
    <w:name w:val="WarningTok"/>
    <w:basedOn w:val="40"/>
    <w:qFormat/>
    <w:uiPriority w:val="0"/>
    <w:rPr>
      <w:b/>
      <w:i/>
      <w:color w:val="60A0B0"/>
    </w:rPr>
  </w:style>
  <w:style w:type="character" w:customStyle="1" w:styleId="72">
    <w:name w:val="AlertTok"/>
    <w:basedOn w:val="40"/>
    <w:qFormat/>
    <w:uiPriority w:val="0"/>
    <w:rPr>
      <w:b/>
      <w:color w:val="FF0000"/>
    </w:rPr>
  </w:style>
  <w:style w:type="character" w:customStyle="1" w:styleId="73">
    <w:name w:val="ErrorTok"/>
    <w:basedOn w:val="40"/>
    <w:uiPriority w:val="0"/>
    <w:rPr>
      <w:b/>
      <w:color w:val="FF0000"/>
    </w:rPr>
  </w:style>
  <w:style w:type="character" w:customStyle="1" w:styleId="74">
    <w:name w:val="NormalTok"/>
    <w:basedOn w:val="4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359</Words>
  <Characters>2198</Characters>
  <Lines>12</Lines>
  <Paragraphs>8</Paragraphs>
  <TotalTime>2</TotalTime>
  <ScaleCrop>false</ScaleCrop>
  <LinksUpToDate>false</LinksUpToDate>
  <CharactersWithSpaces>2418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2026-09-29T13:38:00Z</dcterms:created>
  <dc:creator>李梦杰</dc:creator>
  <cp:lastModifiedBy>李梦杰</cp:lastModifiedBy>
  <dcterms:modified xsi:type="dcterms:W3CDTF">2026-10-01T15:31:35Z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eyJoZGlkIjoiM2IzMzViOWZlZjA5NTA5MGE3Y2MxMzRmMGNkNzc0NTYiLCJ1c2VySWQiOiI5OTEyMjkwNzYifQ==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55C6CC34AE534E30989662359C24343F_12</vt:lpwstr>
  </property>
</Properties>
</file>