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8BF84" w14:textId="77777777" w:rsidR="008F189F" w:rsidRDefault="008F189F" w:rsidP="00AA33DD">
      <w:pPr>
        <w:spacing w:after="120" w:line="480" w:lineRule="auto"/>
        <w:rPr>
          <w:rFonts w:ascii="Arial" w:eastAsia="Arial" w:hAnsi="Arial" w:cs="Arial"/>
          <w:b/>
          <w:sz w:val="24"/>
          <w:szCs w:val="24"/>
        </w:rPr>
      </w:pPr>
      <w:r>
        <w:rPr>
          <w:rFonts w:ascii="Arial" w:eastAsia="Arial" w:hAnsi="Arial" w:cs="Arial"/>
          <w:b/>
          <w:sz w:val="24"/>
          <w:szCs w:val="24"/>
        </w:rPr>
        <w:t>High-throughput screening identifies proteasome inhibition as promising strategy for treatment of ALK mutant neuroblastoma</w:t>
      </w:r>
    </w:p>
    <w:p w14:paraId="7DC30CAD" w14:textId="6BA1C63F" w:rsidR="001C70E6" w:rsidRPr="00712035" w:rsidRDefault="001C70E6" w:rsidP="001C70E6">
      <w:pPr>
        <w:spacing w:after="120" w:line="360" w:lineRule="auto"/>
        <w:rPr>
          <w:rFonts w:ascii="Arial" w:eastAsia="Arial" w:hAnsi="Arial" w:cs="Arial"/>
          <w:sz w:val="24"/>
          <w:szCs w:val="24"/>
        </w:rPr>
      </w:pPr>
      <w:r w:rsidRPr="00712035">
        <w:rPr>
          <w:rFonts w:ascii="Arial" w:eastAsia="Arial" w:hAnsi="Arial" w:cs="Arial"/>
          <w:sz w:val="24"/>
          <w:szCs w:val="24"/>
        </w:rPr>
        <w:t>Johanna Jacobs</w:t>
      </w:r>
      <w:r w:rsidRPr="00712035">
        <w:rPr>
          <w:rFonts w:ascii="Arial" w:eastAsia="Arial" w:hAnsi="Arial" w:cs="Arial"/>
          <w:sz w:val="24"/>
          <w:szCs w:val="24"/>
          <w:vertAlign w:val="superscript"/>
        </w:rPr>
        <w:t>*</w:t>
      </w:r>
      <w:r w:rsidRPr="00712035">
        <w:rPr>
          <w:rFonts w:ascii="Arial" w:eastAsia="Arial" w:hAnsi="Arial" w:cs="Arial"/>
          <w:sz w:val="24"/>
          <w:szCs w:val="24"/>
        </w:rPr>
        <w:t xml:space="preserve">, Cassandra </w:t>
      </w:r>
      <w:r>
        <w:rPr>
          <w:rFonts w:ascii="Arial" w:eastAsia="Arial" w:hAnsi="Arial" w:cs="Arial"/>
          <w:sz w:val="24"/>
          <w:szCs w:val="24"/>
        </w:rPr>
        <w:t xml:space="preserve">Su Lyn </w:t>
      </w:r>
      <w:r w:rsidRPr="00712035">
        <w:rPr>
          <w:rFonts w:ascii="Arial" w:eastAsia="Arial" w:hAnsi="Arial" w:cs="Arial"/>
          <w:sz w:val="24"/>
          <w:szCs w:val="24"/>
        </w:rPr>
        <w:t>Ho</w:t>
      </w:r>
      <w:r w:rsidRPr="00712035">
        <w:rPr>
          <w:rFonts w:ascii="Arial" w:eastAsia="Arial" w:hAnsi="Arial" w:cs="Arial"/>
          <w:sz w:val="24"/>
          <w:szCs w:val="24"/>
          <w:vertAlign w:val="superscript"/>
        </w:rPr>
        <w:t>*</w:t>
      </w:r>
      <w:r w:rsidRPr="00712035">
        <w:rPr>
          <w:rFonts w:ascii="Arial" w:eastAsia="Arial" w:hAnsi="Arial" w:cs="Arial"/>
          <w:sz w:val="24"/>
          <w:szCs w:val="24"/>
        </w:rPr>
        <w:t>, David Pauck</w:t>
      </w:r>
      <w:r w:rsidRPr="00712035">
        <w:rPr>
          <w:rFonts w:ascii="Arial" w:eastAsia="Arial" w:hAnsi="Arial" w:cs="Arial"/>
          <w:sz w:val="24"/>
          <w:szCs w:val="24"/>
          <w:vertAlign w:val="superscript"/>
        </w:rPr>
        <w:t>*</w:t>
      </w:r>
      <w:r w:rsidRPr="00712035">
        <w:rPr>
          <w:rFonts w:ascii="Arial" w:eastAsia="Arial" w:hAnsi="Arial" w:cs="Arial"/>
          <w:sz w:val="24"/>
          <w:szCs w:val="24"/>
        </w:rPr>
        <w:t xml:space="preserve">, Viktoria Marquardt, Florian Wentzel, Mao Wenbin, Oscar Sattler, Michelle Bleimehl, Christina Hassiepen, Dominik Schöndorf, </w:t>
      </w:r>
      <w:r>
        <w:rPr>
          <w:rFonts w:ascii="Arial" w:eastAsia="Arial" w:hAnsi="Arial" w:cs="Arial"/>
          <w:sz w:val="24"/>
          <w:szCs w:val="24"/>
        </w:rPr>
        <w:t xml:space="preserve">Annabelle Wagner, Arne Simon, </w:t>
      </w:r>
      <w:r w:rsidRPr="00712035">
        <w:rPr>
          <w:rFonts w:ascii="Arial" w:eastAsia="Arial" w:hAnsi="Arial" w:cs="Arial"/>
          <w:sz w:val="24"/>
          <w:szCs w:val="24"/>
        </w:rPr>
        <w:t xml:space="preserve">Marie Neu, Arthur Wingerter, Jörg Faber, </w:t>
      </w:r>
      <w:r>
        <w:rPr>
          <w:rFonts w:ascii="Arial" w:eastAsia="Arial" w:hAnsi="Arial" w:cs="Arial"/>
          <w:sz w:val="24"/>
          <w:szCs w:val="24"/>
        </w:rPr>
        <w:t xml:space="preserve">Thorsten Simon, </w:t>
      </w:r>
      <w:r w:rsidRPr="002D584B">
        <w:rPr>
          <w:rFonts w:ascii="Arial" w:eastAsia="Arial" w:hAnsi="Arial" w:cs="Arial"/>
          <w:sz w:val="24"/>
          <w:szCs w:val="24"/>
        </w:rPr>
        <w:t>Boris Decarolis</w:t>
      </w:r>
      <w:r>
        <w:rPr>
          <w:rFonts w:ascii="Arial" w:eastAsia="Arial" w:hAnsi="Arial" w:cs="Arial"/>
          <w:sz w:val="24"/>
          <w:szCs w:val="24"/>
        </w:rPr>
        <w:t xml:space="preserve">, </w:t>
      </w:r>
      <w:r w:rsidRPr="002D584B">
        <w:rPr>
          <w:rFonts w:ascii="Arial" w:eastAsia="Arial" w:hAnsi="Arial" w:cs="Arial"/>
          <w:sz w:val="24"/>
          <w:szCs w:val="24"/>
        </w:rPr>
        <w:t>Matthias Fischer</w:t>
      </w:r>
      <w:r>
        <w:rPr>
          <w:rFonts w:ascii="Arial" w:eastAsia="Arial" w:hAnsi="Arial" w:cs="Arial"/>
          <w:sz w:val="24"/>
          <w:szCs w:val="24"/>
        </w:rPr>
        <w:t xml:space="preserve">, Thorsten Lehr, Norbert Graf, </w:t>
      </w:r>
      <w:r w:rsidRPr="00712035">
        <w:rPr>
          <w:rFonts w:ascii="Arial" w:eastAsia="Arial" w:hAnsi="Arial" w:cs="Arial"/>
          <w:sz w:val="24"/>
          <w:szCs w:val="24"/>
        </w:rPr>
        <w:t>Arndt Borkhardt, Nan Qin, Guido Reifenberger, Jasmin Bartl, Marc Remke</w:t>
      </w:r>
      <w:r w:rsidRPr="00712035">
        <w:rPr>
          <w:rFonts w:ascii="Arial" w:eastAsia="Arial" w:hAnsi="Arial" w:cs="Arial"/>
          <w:sz w:val="24"/>
          <w:szCs w:val="24"/>
          <w:vertAlign w:val="superscript"/>
        </w:rPr>
        <w:t>#</w:t>
      </w:r>
      <w:r w:rsidRPr="00712035">
        <w:rPr>
          <w:rFonts w:ascii="Arial" w:eastAsia="Arial" w:hAnsi="Arial" w:cs="Arial"/>
          <w:sz w:val="24"/>
          <w:szCs w:val="24"/>
        </w:rPr>
        <w:t>, Alexander Schramm</w:t>
      </w:r>
      <w:r>
        <w:rPr>
          <w:rFonts w:ascii="Arial" w:eastAsia="Arial" w:hAnsi="Arial" w:cs="Arial"/>
          <w:sz w:val="24"/>
          <w:szCs w:val="24"/>
          <w:vertAlign w:val="superscript"/>
        </w:rPr>
        <w:t>#</w:t>
      </w:r>
      <w:r w:rsidRPr="00712035">
        <w:rPr>
          <w:rFonts w:ascii="Arial" w:eastAsia="Arial" w:hAnsi="Arial" w:cs="Arial"/>
          <w:sz w:val="24"/>
          <w:szCs w:val="24"/>
        </w:rPr>
        <w:t>, Daniel Picard</w:t>
      </w:r>
      <w:r w:rsidRPr="00712035">
        <w:rPr>
          <w:rFonts w:ascii="Arial" w:eastAsia="Arial" w:hAnsi="Arial" w:cs="Arial"/>
          <w:sz w:val="24"/>
          <w:szCs w:val="24"/>
          <w:vertAlign w:val="superscript"/>
        </w:rPr>
        <w:t>#</w:t>
      </w:r>
    </w:p>
    <w:p w14:paraId="7E04B8FE" w14:textId="77777777" w:rsidR="001C70E6" w:rsidRDefault="001C70E6" w:rsidP="001C70E6">
      <w:pPr>
        <w:spacing w:after="120" w:line="360" w:lineRule="auto"/>
        <w:rPr>
          <w:rFonts w:ascii="Arial" w:eastAsia="Arial" w:hAnsi="Arial" w:cs="Arial"/>
          <w:sz w:val="24"/>
          <w:szCs w:val="24"/>
        </w:rPr>
      </w:pPr>
      <w:r>
        <w:rPr>
          <w:rFonts w:ascii="Arial" w:eastAsia="Arial" w:hAnsi="Arial" w:cs="Arial"/>
          <w:sz w:val="24"/>
          <w:szCs w:val="24"/>
        </w:rPr>
        <w:t>* shared first author</w:t>
      </w:r>
    </w:p>
    <w:p w14:paraId="1639DD2A" w14:textId="77777777" w:rsidR="001C70E6" w:rsidRDefault="001C70E6" w:rsidP="001C70E6">
      <w:pPr>
        <w:spacing w:after="120" w:line="360" w:lineRule="auto"/>
        <w:rPr>
          <w:rFonts w:ascii="Arial" w:eastAsia="Arial" w:hAnsi="Arial" w:cs="Arial"/>
          <w:sz w:val="24"/>
          <w:szCs w:val="24"/>
        </w:rPr>
      </w:pPr>
      <w:r>
        <w:rPr>
          <w:rFonts w:ascii="Arial" w:eastAsia="Arial" w:hAnsi="Arial" w:cs="Arial"/>
          <w:sz w:val="24"/>
          <w:szCs w:val="24"/>
        </w:rPr>
        <w:t># shared last author</w:t>
      </w:r>
    </w:p>
    <w:p w14:paraId="08249214" w14:textId="77777777" w:rsidR="001C70E6" w:rsidRDefault="001C70E6" w:rsidP="00AA33DD">
      <w:pPr>
        <w:spacing w:after="120" w:line="480" w:lineRule="auto"/>
      </w:pPr>
    </w:p>
    <w:p w14:paraId="5FD2700E" w14:textId="01785755" w:rsidR="00AA33DD" w:rsidRPr="008F1BA9" w:rsidRDefault="00AA33DD" w:rsidP="00AA33DD">
      <w:pPr>
        <w:spacing w:after="120" w:line="480" w:lineRule="auto"/>
        <w:rPr>
          <w:rFonts w:ascii="Arial" w:eastAsia="Arial" w:hAnsi="Arial" w:cs="Arial"/>
          <w:b/>
          <w:bCs/>
          <w:sz w:val="24"/>
          <w:szCs w:val="24"/>
        </w:rPr>
      </w:pPr>
      <w:r w:rsidRPr="008F1BA9">
        <w:rPr>
          <w:rFonts w:ascii="Arial" w:eastAsia="Arial" w:hAnsi="Arial" w:cs="Arial"/>
          <w:b/>
          <w:bCs/>
          <w:sz w:val="24"/>
          <w:szCs w:val="24"/>
        </w:rPr>
        <w:t xml:space="preserve">Figure </w:t>
      </w:r>
      <w:r>
        <w:rPr>
          <w:rFonts w:ascii="Arial" w:eastAsia="Arial" w:hAnsi="Arial" w:cs="Arial"/>
          <w:b/>
          <w:bCs/>
          <w:sz w:val="24"/>
          <w:szCs w:val="24"/>
        </w:rPr>
        <w:t xml:space="preserve">Supplemental </w:t>
      </w:r>
      <w:r w:rsidRPr="008F1BA9">
        <w:rPr>
          <w:rFonts w:ascii="Arial" w:eastAsia="Arial" w:hAnsi="Arial" w:cs="Arial"/>
          <w:b/>
          <w:bCs/>
          <w:sz w:val="24"/>
          <w:szCs w:val="24"/>
        </w:rPr>
        <w:t>Legends</w:t>
      </w:r>
    </w:p>
    <w:p w14:paraId="1CE4AB0A" w14:textId="396F8BB3" w:rsidR="00AA33DD" w:rsidRDefault="00AA33DD" w:rsidP="00AA33DD">
      <w:pPr>
        <w:spacing w:after="120" w:line="480" w:lineRule="auto"/>
        <w:rPr>
          <w:rFonts w:ascii="Arial" w:eastAsia="Arial" w:hAnsi="Arial" w:cs="Arial"/>
          <w:sz w:val="24"/>
          <w:szCs w:val="24"/>
        </w:rPr>
      </w:pPr>
      <w:r w:rsidRPr="00CC3521">
        <w:rPr>
          <w:rFonts w:ascii="Arial" w:eastAsia="Arial" w:hAnsi="Arial" w:cs="Arial"/>
          <w:b/>
          <w:bCs/>
          <w:sz w:val="24"/>
          <w:szCs w:val="24"/>
        </w:rPr>
        <w:t xml:space="preserve">Figure </w:t>
      </w:r>
      <w:r>
        <w:rPr>
          <w:rFonts w:ascii="Arial" w:eastAsia="Arial" w:hAnsi="Arial" w:cs="Arial"/>
          <w:b/>
          <w:bCs/>
          <w:sz w:val="24"/>
          <w:szCs w:val="24"/>
        </w:rPr>
        <w:t>S</w:t>
      </w:r>
      <w:r w:rsidRPr="00CC3521">
        <w:rPr>
          <w:rFonts w:ascii="Arial" w:eastAsia="Arial" w:hAnsi="Arial" w:cs="Arial"/>
          <w:b/>
          <w:bCs/>
          <w:sz w:val="24"/>
          <w:szCs w:val="24"/>
        </w:rPr>
        <w:t xml:space="preserve">1: </w:t>
      </w:r>
      <w:r>
        <w:rPr>
          <w:rFonts w:ascii="Arial" w:eastAsia="Arial" w:hAnsi="Arial" w:cs="Arial"/>
          <w:b/>
          <w:bCs/>
          <w:sz w:val="24"/>
          <w:szCs w:val="24"/>
        </w:rPr>
        <w:t>Dose</w:t>
      </w:r>
      <w:r w:rsidR="001C70E6">
        <w:rPr>
          <w:rFonts w:ascii="Arial" w:eastAsia="Arial" w:hAnsi="Arial" w:cs="Arial"/>
          <w:b/>
          <w:bCs/>
          <w:sz w:val="24"/>
          <w:szCs w:val="24"/>
        </w:rPr>
        <w:t>-</w:t>
      </w:r>
      <w:r>
        <w:rPr>
          <w:rFonts w:ascii="Arial" w:eastAsia="Arial" w:hAnsi="Arial" w:cs="Arial"/>
          <w:b/>
          <w:bCs/>
          <w:sz w:val="24"/>
          <w:szCs w:val="24"/>
        </w:rPr>
        <w:t xml:space="preserve">response curve of </w:t>
      </w:r>
      <w:r w:rsidR="001C70E6">
        <w:rPr>
          <w:rFonts w:ascii="Arial" w:eastAsia="Arial" w:hAnsi="Arial" w:cs="Arial"/>
          <w:b/>
          <w:bCs/>
          <w:sz w:val="24"/>
          <w:szCs w:val="24"/>
        </w:rPr>
        <w:t>ceritinib/</w:t>
      </w:r>
      <w:r>
        <w:rPr>
          <w:rFonts w:ascii="Arial" w:eastAsia="Arial" w:hAnsi="Arial" w:cs="Arial"/>
          <w:b/>
          <w:bCs/>
          <w:sz w:val="24"/>
          <w:szCs w:val="24"/>
        </w:rPr>
        <w:t>LKD378</w:t>
      </w:r>
      <w:r w:rsidRPr="00CC3521">
        <w:rPr>
          <w:rFonts w:ascii="Arial" w:eastAsia="Arial" w:hAnsi="Arial" w:cs="Arial"/>
          <w:b/>
          <w:bCs/>
          <w:sz w:val="24"/>
          <w:szCs w:val="24"/>
        </w:rPr>
        <w:t>.</w:t>
      </w:r>
      <w:r>
        <w:rPr>
          <w:rFonts w:ascii="Arial" w:eastAsia="Arial" w:hAnsi="Arial" w:cs="Arial"/>
          <w:sz w:val="24"/>
          <w:szCs w:val="24"/>
        </w:rPr>
        <w:t xml:space="preserve"> Dose</w:t>
      </w:r>
      <w:r w:rsidR="001C70E6">
        <w:rPr>
          <w:rFonts w:ascii="Arial" w:eastAsia="Arial" w:hAnsi="Arial" w:cs="Arial"/>
          <w:sz w:val="24"/>
          <w:szCs w:val="24"/>
        </w:rPr>
        <w:t>-</w:t>
      </w:r>
      <w:r>
        <w:rPr>
          <w:rFonts w:ascii="Arial" w:eastAsia="Arial" w:hAnsi="Arial" w:cs="Arial"/>
          <w:sz w:val="24"/>
          <w:szCs w:val="24"/>
        </w:rPr>
        <w:t xml:space="preserve">response curve of </w:t>
      </w:r>
      <w:r w:rsidR="001C70E6">
        <w:rPr>
          <w:rFonts w:ascii="Arial" w:eastAsia="Arial" w:hAnsi="Arial" w:cs="Arial"/>
          <w:sz w:val="24"/>
          <w:szCs w:val="24"/>
        </w:rPr>
        <w:t>ceritinib/</w:t>
      </w:r>
      <w:r>
        <w:rPr>
          <w:rFonts w:ascii="Arial" w:eastAsia="Arial" w:hAnsi="Arial" w:cs="Arial"/>
          <w:sz w:val="24"/>
          <w:szCs w:val="24"/>
        </w:rPr>
        <w:t xml:space="preserve">LDK378 showing cell viability compared to control on the y-axis and dose in nM along the x-axis. </w:t>
      </w:r>
      <w:r>
        <w:rPr>
          <w:rFonts w:ascii="Arial" w:eastAsia="Arial" w:hAnsi="Arial" w:cs="Arial"/>
          <w:i/>
          <w:iCs/>
          <w:sz w:val="24"/>
          <w:szCs w:val="24"/>
        </w:rPr>
        <w:t>ALK</w:t>
      </w:r>
      <w:r w:rsidR="001C70E6">
        <w:rPr>
          <w:rFonts w:ascii="Arial" w:eastAsia="Arial" w:hAnsi="Arial" w:cs="Arial"/>
          <w:sz w:val="24"/>
          <w:szCs w:val="24"/>
        </w:rPr>
        <w:t>-</w:t>
      </w:r>
      <w:r>
        <w:rPr>
          <w:rFonts w:ascii="Arial" w:eastAsia="Arial" w:hAnsi="Arial" w:cs="Arial"/>
          <w:sz w:val="24"/>
          <w:szCs w:val="24"/>
        </w:rPr>
        <w:t>mutat</w:t>
      </w:r>
      <w:r w:rsidR="001C70E6">
        <w:rPr>
          <w:rFonts w:ascii="Arial" w:eastAsia="Arial" w:hAnsi="Arial" w:cs="Arial"/>
          <w:sz w:val="24"/>
          <w:szCs w:val="24"/>
        </w:rPr>
        <w:t>ant</w:t>
      </w:r>
      <w:r>
        <w:rPr>
          <w:rFonts w:ascii="Arial" w:eastAsia="Arial" w:hAnsi="Arial" w:cs="Arial"/>
          <w:sz w:val="24"/>
          <w:szCs w:val="24"/>
        </w:rPr>
        <w:t xml:space="preserve"> samples are shown in green and wildtype samples are shown in grey.</w:t>
      </w:r>
    </w:p>
    <w:p w14:paraId="41A6841A" w14:textId="4CC100E4" w:rsidR="00AA33DD" w:rsidRDefault="00AA33DD" w:rsidP="00AA33DD">
      <w:pPr>
        <w:spacing w:after="120" w:line="480" w:lineRule="auto"/>
        <w:rPr>
          <w:rFonts w:ascii="Arial" w:eastAsia="Arial" w:hAnsi="Arial" w:cs="Arial"/>
          <w:sz w:val="24"/>
          <w:szCs w:val="24"/>
        </w:rPr>
      </w:pPr>
      <w:r w:rsidRPr="00CC3521">
        <w:rPr>
          <w:rFonts w:ascii="Arial" w:eastAsia="Arial" w:hAnsi="Arial" w:cs="Arial"/>
          <w:b/>
          <w:bCs/>
          <w:sz w:val="24"/>
          <w:szCs w:val="24"/>
        </w:rPr>
        <w:t xml:space="preserve">Figure </w:t>
      </w:r>
      <w:r>
        <w:rPr>
          <w:rFonts w:ascii="Arial" w:eastAsia="Arial" w:hAnsi="Arial" w:cs="Arial"/>
          <w:b/>
          <w:bCs/>
          <w:sz w:val="24"/>
          <w:szCs w:val="24"/>
        </w:rPr>
        <w:t>S</w:t>
      </w:r>
      <w:r w:rsidR="00AB0FD3">
        <w:rPr>
          <w:rFonts w:ascii="Arial" w:eastAsia="Arial" w:hAnsi="Arial" w:cs="Arial"/>
          <w:b/>
          <w:bCs/>
          <w:sz w:val="24"/>
          <w:szCs w:val="24"/>
        </w:rPr>
        <w:t>2</w:t>
      </w:r>
      <w:r w:rsidRPr="00CC3521">
        <w:rPr>
          <w:rFonts w:ascii="Arial" w:eastAsia="Arial" w:hAnsi="Arial" w:cs="Arial"/>
          <w:b/>
          <w:bCs/>
          <w:sz w:val="24"/>
          <w:szCs w:val="24"/>
        </w:rPr>
        <w:t xml:space="preserve">: </w:t>
      </w:r>
      <w:r>
        <w:rPr>
          <w:rFonts w:ascii="Arial" w:eastAsia="Arial" w:hAnsi="Arial" w:cs="Arial"/>
          <w:b/>
          <w:bCs/>
          <w:sz w:val="24"/>
          <w:szCs w:val="24"/>
        </w:rPr>
        <w:t xml:space="preserve">Effect of ixazomib </w:t>
      </w:r>
      <w:r w:rsidR="001C70E6">
        <w:rPr>
          <w:rFonts w:ascii="Arial" w:eastAsia="Arial" w:hAnsi="Arial" w:cs="Arial"/>
          <w:b/>
          <w:bCs/>
          <w:sz w:val="24"/>
          <w:szCs w:val="24"/>
        </w:rPr>
        <w:t>on</w:t>
      </w:r>
      <w:r>
        <w:rPr>
          <w:rFonts w:ascii="Arial" w:eastAsia="Arial" w:hAnsi="Arial" w:cs="Arial"/>
          <w:b/>
          <w:bCs/>
          <w:sz w:val="24"/>
          <w:szCs w:val="24"/>
        </w:rPr>
        <w:t xml:space="preserve"> cell viability</w:t>
      </w:r>
      <w:r w:rsidRPr="00CC3521">
        <w:rPr>
          <w:rFonts w:ascii="Arial" w:eastAsia="Arial" w:hAnsi="Arial" w:cs="Arial"/>
          <w:b/>
          <w:bCs/>
          <w:sz w:val="24"/>
          <w:szCs w:val="24"/>
        </w:rPr>
        <w:t>.</w:t>
      </w:r>
      <w:r>
        <w:rPr>
          <w:rFonts w:ascii="Arial" w:eastAsia="Arial" w:hAnsi="Arial" w:cs="Arial"/>
          <w:sz w:val="24"/>
          <w:szCs w:val="24"/>
        </w:rPr>
        <w:t xml:space="preserve"> Cell viability was assessed using crystal violet staining</w:t>
      </w:r>
      <w:r w:rsidR="00DA7775">
        <w:rPr>
          <w:rFonts w:ascii="Arial" w:eastAsia="Arial" w:hAnsi="Arial" w:cs="Arial"/>
          <w:sz w:val="24"/>
          <w:szCs w:val="24"/>
        </w:rPr>
        <w:t xml:space="preserve"> 72 hours post DMSO or ixazomib treatment. (Above) representative images and (Below) quantification of crystal violet staining. White bar indicates DMSO control and dark bar is ixazomib treatment (grey for wildtype and green for mutant</w:t>
      </w:r>
      <w:r w:rsidR="00DD1510">
        <w:rPr>
          <w:rFonts w:ascii="Arial" w:eastAsia="Arial" w:hAnsi="Arial" w:cs="Arial"/>
          <w:sz w:val="24"/>
          <w:szCs w:val="24"/>
        </w:rPr>
        <w:t>; n=3</w:t>
      </w:r>
      <w:r w:rsidR="00DA7775">
        <w:rPr>
          <w:rFonts w:ascii="Arial" w:eastAsia="Arial" w:hAnsi="Arial" w:cs="Arial"/>
          <w:sz w:val="24"/>
          <w:szCs w:val="24"/>
        </w:rPr>
        <w:t>).</w:t>
      </w:r>
    </w:p>
    <w:p w14:paraId="17A71280" w14:textId="54FAD289" w:rsidR="00AB0FD3" w:rsidRDefault="00AB0FD3" w:rsidP="00AB0FD3">
      <w:pPr>
        <w:spacing w:after="120" w:line="480" w:lineRule="auto"/>
        <w:rPr>
          <w:rFonts w:ascii="Arial" w:eastAsia="Arial" w:hAnsi="Arial" w:cs="Arial"/>
          <w:sz w:val="24"/>
          <w:szCs w:val="24"/>
        </w:rPr>
      </w:pPr>
      <w:r w:rsidRPr="00CC3521">
        <w:rPr>
          <w:rFonts w:ascii="Arial" w:eastAsia="Arial" w:hAnsi="Arial" w:cs="Arial"/>
          <w:b/>
          <w:bCs/>
          <w:sz w:val="24"/>
          <w:szCs w:val="24"/>
        </w:rPr>
        <w:t xml:space="preserve">Figure </w:t>
      </w:r>
      <w:r>
        <w:rPr>
          <w:rFonts w:ascii="Arial" w:eastAsia="Arial" w:hAnsi="Arial" w:cs="Arial"/>
          <w:b/>
          <w:bCs/>
          <w:sz w:val="24"/>
          <w:szCs w:val="24"/>
        </w:rPr>
        <w:t>S3</w:t>
      </w:r>
      <w:r w:rsidRPr="00CC3521">
        <w:rPr>
          <w:rFonts w:ascii="Arial" w:eastAsia="Arial" w:hAnsi="Arial" w:cs="Arial"/>
          <w:b/>
          <w:bCs/>
          <w:sz w:val="24"/>
          <w:szCs w:val="24"/>
        </w:rPr>
        <w:t xml:space="preserve">: </w:t>
      </w:r>
      <w:r>
        <w:rPr>
          <w:rFonts w:ascii="Arial" w:eastAsia="Arial" w:hAnsi="Arial" w:cs="Arial"/>
          <w:b/>
          <w:bCs/>
          <w:sz w:val="24"/>
          <w:szCs w:val="24"/>
        </w:rPr>
        <w:t>Cell death after ixazomib treatment</w:t>
      </w:r>
      <w:r w:rsidRPr="00CC3521">
        <w:rPr>
          <w:rFonts w:ascii="Arial" w:eastAsia="Arial" w:hAnsi="Arial" w:cs="Arial"/>
          <w:b/>
          <w:bCs/>
          <w:sz w:val="24"/>
          <w:szCs w:val="24"/>
        </w:rPr>
        <w:t>.</w:t>
      </w:r>
      <w:r>
        <w:rPr>
          <w:rFonts w:ascii="Arial" w:eastAsia="Arial" w:hAnsi="Arial" w:cs="Arial"/>
          <w:b/>
          <w:bCs/>
          <w:sz w:val="24"/>
          <w:szCs w:val="24"/>
        </w:rPr>
        <w:t xml:space="preserve"> A</w:t>
      </w:r>
      <w:r>
        <w:rPr>
          <w:rFonts w:ascii="Arial" w:eastAsia="Arial" w:hAnsi="Arial" w:cs="Arial"/>
          <w:sz w:val="24"/>
          <w:szCs w:val="24"/>
        </w:rPr>
        <w:t xml:space="preserve"> Dot plots of Annexin V/PI staining visualized 72 hours post DMSO or ixazomib treatment. Annexin V was visualized using the FITC channel and PI using the EDC channel. Quantification is </w:t>
      </w:r>
      <w:r w:rsidR="001C70E6">
        <w:rPr>
          <w:rFonts w:ascii="Arial" w:eastAsia="Arial" w:hAnsi="Arial" w:cs="Arial"/>
          <w:sz w:val="24"/>
          <w:szCs w:val="24"/>
        </w:rPr>
        <w:t>shown</w:t>
      </w:r>
      <w:r>
        <w:rPr>
          <w:rFonts w:ascii="Arial" w:eastAsia="Arial" w:hAnsi="Arial" w:cs="Arial"/>
          <w:sz w:val="24"/>
          <w:szCs w:val="24"/>
        </w:rPr>
        <w:t xml:space="preserve"> in </w:t>
      </w:r>
      <w:r w:rsidRPr="00AA33DD">
        <w:rPr>
          <w:rFonts w:ascii="Arial" w:eastAsia="Arial" w:hAnsi="Arial" w:cs="Arial"/>
          <w:b/>
          <w:bCs/>
          <w:sz w:val="24"/>
          <w:szCs w:val="24"/>
        </w:rPr>
        <w:t>Figure 2B</w:t>
      </w:r>
      <w:r>
        <w:rPr>
          <w:rFonts w:ascii="Arial" w:eastAsia="Arial" w:hAnsi="Arial" w:cs="Arial"/>
          <w:sz w:val="24"/>
          <w:szCs w:val="24"/>
        </w:rPr>
        <w:t xml:space="preserve">. </w:t>
      </w:r>
      <w:r w:rsidRPr="00AA33DD">
        <w:rPr>
          <w:rFonts w:ascii="Arial" w:eastAsia="Arial" w:hAnsi="Arial" w:cs="Arial"/>
          <w:b/>
          <w:sz w:val="24"/>
          <w:szCs w:val="24"/>
        </w:rPr>
        <w:t>B</w:t>
      </w:r>
      <w:r>
        <w:rPr>
          <w:rFonts w:ascii="Arial" w:eastAsia="Arial" w:hAnsi="Arial" w:cs="Arial"/>
          <w:sz w:val="24"/>
          <w:szCs w:val="24"/>
        </w:rPr>
        <w:t xml:space="preserve"> </w:t>
      </w:r>
      <w:r w:rsidRPr="00AA33DD">
        <w:rPr>
          <w:rFonts w:ascii="Arial" w:eastAsia="Arial" w:hAnsi="Arial" w:cs="Arial"/>
          <w:sz w:val="24"/>
          <w:szCs w:val="24"/>
        </w:rPr>
        <w:t xml:space="preserve">DNA damage was assessed 48 hours post treatment with </w:t>
      </w:r>
      <w:r w:rsidRPr="00AA33DD">
        <w:rPr>
          <w:rFonts w:ascii="Arial" w:eastAsia="Arial" w:hAnsi="Arial" w:cs="Arial"/>
          <w:sz w:val="24"/>
          <w:szCs w:val="24"/>
        </w:rPr>
        <w:lastRenderedPageBreak/>
        <w:t xml:space="preserve">DMSO or ixazomib. </w:t>
      </w:r>
      <w:r>
        <w:rPr>
          <w:rFonts w:ascii="Arial" w:eastAsia="Arial" w:hAnsi="Arial" w:cs="Arial"/>
          <w:sz w:val="24"/>
          <w:szCs w:val="24"/>
        </w:rPr>
        <w:t>I</w:t>
      </w:r>
      <w:r w:rsidRPr="00AA33DD">
        <w:rPr>
          <w:rFonts w:ascii="Arial" w:eastAsia="Arial" w:hAnsi="Arial" w:cs="Arial"/>
          <w:sz w:val="24"/>
          <w:szCs w:val="24"/>
        </w:rPr>
        <w:t>mages show fixation and staining of slides with DAPI, γH2A.X and Ki67</w:t>
      </w:r>
      <w:r w:rsidR="00DD1510">
        <w:rPr>
          <w:rFonts w:ascii="Arial" w:eastAsia="Arial" w:hAnsi="Arial" w:cs="Arial"/>
          <w:sz w:val="24"/>
          <w:szCs w:val="24"/>
        </w:rPr>
        <w:t xml:space="preserve"> (n=3)</w:t>
      </w:r>
      <w:r w:rsidRPr="00AA33DD">
        <w:rPr>
          <w:rFonts w:ascii="Arial" w:eastAsia="Arial" w:hAnsi="Arial" w:cs="Arial"/>
          <w:sz w:val="24"/>
          <w:szCs w:val="24"/>
        </w:rPr>
        <w:t>. Size bars indicate 20 µm.</w:t>
      </w:r>
      <w:r>
        <w:rPr>
          <w:rFonts w:ascii="Arial" w:eastAsia="Arial" w:hAnsi="Arial" w:cs="Arial"/>
          <w:sz w:val="24"/>
          <w:szCs w:val="24"/>
        </w:rPr>
        <w:t xml:space="preserve"> Quantification is </w:t>
      </w:r>
      <w:r w:rsidR="001C70E6">
        <w:rPr>
          <w:rFonts w:ascii="Arial" w:eastAsia="Arial" w:hAnsi="Arial" w:cs="Arial"/>
          <w:sz w:val="24"/>
          <w:szCs w:val="24"/>
        </w:rPr>
        <w:t>shown</w:t>
      </w:r>
      <w:r>
        <w:rPr>
          <w:rFonts w:ascii="Arial" w:eastAsia="Arial" w:hAnsi="Arial" w:cs="Arial"/>
          <w:sz w:val="24"/>
          <w:szCs w:val="24"/>
        </w:rPr>
        <w:t xml:space="preserve"> in </w:t>
      </w:r>
      <w:r w:rsidRPr="00AA33DD">
        <w:rPr>
          <w:rFonts w:ascii="Arial" w:eastAsia="Arial" w:hAnsi="Arial" w:cs="Arial"/>
          <w:b/>
          <w:bCs/>
          <w:sz w:val="24"/>
          <w:szCs w:val="24"/>
        </w:rPr>
        <w:t>Figure 2</w:t>
      </w:r>
      <w:r>
        <w:rPr>
          <w:rFonts w:ascii="Arial" w:eastAsia="Arial" w:hAnsi="Arial" w:cs="Arial"/>
          <w:b/>
          <w:bCs/>
          <w:sz w:val="24"/>
          <w:szCs w:val="24"/>
        </w:rPr>
        <w:t>D</w:t>
      </w:r>
      <w:r>
        <w:rPr>
          <w:rFonts w:ascii="Arial" w:eastAsia="Arial" w:hAnsi="Arial" w:cs="Arial"/>
          <w:sz w:val="24"/>
          <w:szCs w:val="24"/>
        </w:rPr>
        <w:t>.</w:t>
      </w:r>
    </w:p>
    <w:p w14:paraId="6AC4B6D6" w14:textId="77777777" w:rsidR="00AB0FD3" w:rsidRDefault="00AB0FD3" w:rsidP="00AA33DD">
      <w:pPr>
        <w:spacing w:after="120" w:line="480" w:lineRule="auto"/>
      </w:pPr>
    </w:p>
    <w:sectPr w:rsidR="00AB0FD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89F"/>
    <w:rsid w:val="001C70E6"/>
    <w:rsid w:val="008F189F"/>
    <w:rsid w:val="00A506CC"/>
    <w:rsid w:val="00AA33DD"/>
    <w:rsid w:val="00AB0FD3"/>
    <w:rsid w:val="00BE5136"/>
    <w:rsid w:val="00BF65F8"/>
    <w:rsid w:val="00C31F17"/>
    <w:rsid w:val="00DA7775"/>
    <w:rsid w:val="00DD1510"/>
    <w:rsid w:val="00DF1F4C"/>
    <w:rsid w:val="00E05A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5F4BE"/>
  <w15:chartTrackingRefBased/>
  <w15:docId w15:val="{D438D2A9-31B5-4C45-A180-D4F0BC38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89F"/>
    <w:pPr>
      <w:spacing w:line="259" w:lineRule="auto"/>
    </w:pPr>
    <w:rPr>
      <w:rFonts w:ascii="Calibri" w:eastAsia="Calibri" w:hAnsi="Calibri" w:cs="Calibri"/>
      <w:kern w:val="0"/>
      <w:sz w:val="22"/>
      <w:szCs w:val="22"/>
      <w:lang w:val="en-US" w:eastAsia="de-DE"/>
      <w14:ligatures w14:val="none"/>
    </w:rPr>
  </w:style>
  <w:style w:type="paragraph" w:styleId="Heading1">
    <w:name w:val="heading 1"/>
    <w:basedOn w:val="Normal"/>
    <w:next w:val="Normal"/>
    <w:link w:val="Heading1Char"/>
    <w:uiPriority w:val="9"/>
    <w:qFormat/>
    <w:rsid w:val="008F189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de-DE" w:eastAsia="en-US"/>
      <w14:ligatures w14:val="standardContextual"/>
    </w:rPr>
  </w:style>
  <w:style w:type="paragraph" w:styleId="Heading2">
    <w:name w:val="heading 2"/>
    <w:basedOn w:val="Normal"/>
    <w:next w:val="Normal"/>
    <w:link w:val="Heading2Char"/>
    <w:uiPriority w:val="9"/>
    <w:semiHidden/>
    <w:unhideWhenUsed/>
    <w:qFormat/>
    <w:rsid w:val="008F189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de-DE" w:eastAsia="en-US"/>
      <w14:ligatures w14:val="standardContextual"/>
    </w:rPr>
  </w:style>
  <w:style w:type="paragraph" w:styleId="Heading3">
    <w:name w:val="heading 3"/>
    <w:basedOn w:val="Normal"/>
    <w:next w:val="Normal"/>
    <w:link w:val="Heading3Char"/>
    <w:uiPriority w:val="9"/>
    <w:semiHidden/>
    <w:unhideWhenUsed/>
    <w:qFormat/>
    <w:rsid w:val="008F189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de-DE" w:eastAsia="en-US"/>
      <w14:ligatures w14:val="standardContextual"/>
    </w:rPr>
  </w:style>
  <w:style w:type="paragraph" w:styleId="Heading4">
    <w:name w:val="heading 4"/>
    <w:basedOn w:val="Normal"/>
    <w:next w:val="Normal"/>
    <w:link w:val="Heading4Char"/>
    <w:uiPriority w:val="9"/>
    <w:semiHidden/>
    <w:unhideWhenUsed/>
    <w:qFormat/>
    <w:rsid w:val="008F189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de-DE" w:eastAsia="en-US"/>
      <w14:ligatures w14:val="standardContextual"/>
    </w:rPr>
  </w:style>
  <w:style w:type="paragraph" w:styleId="Heading5">
    <w:name w:val="heading 5"/>
    <w:basedOn w:val="Normal"/>
    <w:next w:val="Normal"/>
    <w:link w:val="Heading5Char"/>
    <w:uiPriority w:val="9"/>
    <w:semiHidden/>
    <w:unhideWhenUsed/>
    <w:qFormat/>
    <w:rsid w:val="008F189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de-DE" w:eastAsia="en-US"/>
      <w14:ligatures w14:val="standardContextual"/>
    </w:rPr>
  </w:style>
  <w:style w:type="paragraph" w:styleId="Heading6">
    <w:name w:val="heading 6"/>
    <w:basedOn w:val="Normal"/>
    <w:next w:val="Normal"/>
    <w:link w:val="Heading6Char"/>
    <w:uiPriority w:val="9"/>
    <w:semiHidden/>
    <w:unhideWhenUsed/>
    <w:qFormat/>
    <w:rsid w:val="008F189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paragraph" w:styleId="Heading7">
    <w:name w:val="heading 7"/>
    <w:basedOn w:val="Normal"/>
    <w:next w:val="Normal"/>
    <w:link w:val="Heading7Char"/>
    <w:uiPriority w:val="9"/>
    <w:semiHidden/>
    <w:unhideWhenUsed/>
    <w:qFormat/>
    <w:rsid w:val="008F189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de-DE" w:eastAsia="en-US"/>
      <w14:ligatures w14:val="standardContextual"/>
    </w:rPr>
  </w:style>
  <w:style w:type="paragraph" w:styleId="Heading8">
    <w:name w:val="heading 8"/>
    <w:basedOn w:val="Normal"/>
    <w:next w:val="Normal"/>
    <w:link w:val="Heading8Char"/>
    <w:uiPriority w:val="9"/>
    <w:semiHidden/>
    <w:unhideWhenUsed/>
    <w:qFormat/>
    <w:rsid w:val="008F189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paragraph" w:styleId="Heading9">
    <w:name w:val="heading 9"/>
    <w:basedOn w:val="Normal"/>
    <w:next w:val="Normal"/>
    <w:link w:val="Heading9Char"/>
    <w:uiPriority w:val="9"/>
    <w:semiHidden/>
    <w:unhideWhenUsed/>
    <w:qFormat/>
    <w:rsid w:val="008F189F"/>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de-DE"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8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8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8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8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8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8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8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8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89F"/>
    <w:rPr>
      <w:rFonts w:eastAsiaTheme="majorEastAsia" w:cstheme="majorBidi"/>
      <w:color w:val="272727" w:themeColor="text1" w:themeTint="D8"/>
    </w:rPr>
  </w:style>
  <w:style w:type="paragraph" w:styleId="Title">
    <w:name w:val="Title"/>
    <w:basedOn w:val="Normal"/>
    <w:next w:val="Normal"/>
    <w:link w:val="TitleChar"/>
    <w:uiPriority w:val="10"/>
    <w:qFormat/>
    <w:rsid w:val="008F189F"/>
    <w:pPr>
      <w:spacing w:after="80" w:line="240" w:lineRule="auto"/>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leChar">
    <w:name w:val="Title Char"/>
    <w:basedOn w:val="DefaultParagraphFont"/>
    <w:link w:val="Title"/>
    <w:uiPriority w:val="10"/>
    <w:rsid w:val="008F18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89F"/>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ubtitleChar">
    <w:name w:val="Subtitle Char"/>
    <w:basedOn w:val="DefaultParagraphFont"/>
    <w:link w:val="Subtitle"/>
    <w:uiPriority w:val="11"/>
    <w:rsid w:val="008F18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89F"/>
    <w:pPr>
      <w:spacing w:before="160" w:line="278" w:lineRule="auto"/>
      <w:jc w:val="center"/>
    </w:pPr>
    <w:rPr>
      <w:rFonts w:asciiTheme="minorHAnsi" w:eastAsiaTheme="minorHAnsi" w:hAnsiTheme="minorHAnsi" w:cstheme="minorBidi"/>
      <w:i/>
      <w:iCs/>
      <w:color w:val="404040" w:themeColor="text1" w:themeTint="BF"/>
      <w:kern w:val="2"/>
      <w:sz w:val="24"/>
      <w:szCs w:val="24"/>
      <w:lang w:val="de-DE" w:eastAsia="en-US"/>
      <w14:ligatures w14:val="standardContextual"/>
    </w:rPr>
  </w:style>
  <w:style w:type="character" w:customStyle="1" w:styleId="QuoteChar">
    <w:name w:val="Quote Char"/>
    <w:basedOn w:val="DefaultParagraphFont"/>
    <w:link w:val="Quote"/>
    <w:uiPriority w:val="29"/>
    <w:rsid w:val="008F189F"/>
    <w:rPr>
      <w:i/>
      <w:iCs/>
      <w:color w:val="404040" w:themeColor="text1" w:themeTint="BF"/>
    </w:rPr>
  </w:style>
  <w:style w:type="paragraph" w:styleId="ListParagraph">
    <w:name w:val="List Paragraph"/>
    <w:basedOn w:val="Normal"/>
    <w:uiPriority w:val="34"/>
    <w:qFormat/>
    <w:rsid w:val="008F189F"/>
    <w:pPr>
      <w:spacing w:line="278" w:lineRule="auto"/>
      <w:ind w:left="720"/>
      <w:contextualSpacing/>
    </w:pPr>
    <w:rPr>
      <w:rFonts w:asciiTheme="minorHAnsi" w:eastAsiaTheme="minorHAnsi" w:hAnsiTheme="minorHAnsi" w:cstheme="minorBidi"/>
      <w:kern w:val="2"/>
      <w:sz w:val="24"/>
      <w:szCs w:val="24"/>
      <w:lang w:val="de-DE" w:eastAsia="en-US"/>
      <w14:ligatures w14:val="standardContextual"/>
    </w:rPr>
  </w:style>
  <w:style w:type="character" w:styleId="IntenseEmphasis">
    <w:name w:val="Intense Emphasis"/>
    <w:basedOn w:val="DefaultParagraphFont"/>
    <w:uiPriority w:val="21"/>
    <w:qFormat/>
    <w:rsid w:val="008F189F"/>
    <w:rPr>
      <w:i/>
      <w:iCs/>
      <w:color w:val="0F4761" w:themeColor="accent1" w:themeShade="BF"/>
    </w:rPr>
  </w:style>
  <w:style w:type="paragraph" w:styleId="IntenseQuote">
    <w:name w:val="Intense Quote"/>
    <w:basedOn w:val="Normal"/>
    <w:next w:val="Normal"/>
    <w:link w:val="IntenseQuoteChar"/>
    <w:uiPriority w:val="30"/>
    <w:qFormat/>
    <w:rsid w:val="008F189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de-DE" w:eastAsia="en-US"/>
      <w14:ligatures w14:val="standardContextual"/>
    </w:rPr>
  </w:style>
  <w:style w:type="character" w:customStyle="1" w:styleId="IntenseQuoteChar">
    <w:name w:val="Intense Quote Char"/>
    <w:basedOn w:val="DefaultParagraphFont"/>
    <w:link w:val="IntenseQuote"/>
    <w:uiPriority w:val="30"/>
    <w:rsid w:val="008F189F"/>
    <w:rPr>
      <w:i/>
      <w:iCs/>
      <w:color w:val="0F4761" w:themeColor="accent1" w:themeShade="BF"/>
    </w:rPr>
  </w:style>
  <w:style w:type="character" w:styleId="IntenseReference">
    <w:name w:val="Intense Reference"/>
    <w:basedOn w:val="DefaultParagraphFont"/>
    <w:uiPriority w:val="32"/>
    <w:qFormat/>
    <w:rsid w:val="008F18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Picard</dc:creator>
  <cp:keywords/>
  <dc:description/>
  <cp:lastModifiedBy>Daniel Picard</cp:lastModifiedBy>
  <cp:revision>5</cp:revision>
  <dcterms:created xsi:type="dcterms:W3CDTF">2026-06-16T11:35:00Z</dcterms:created>
  <dcterms:modified xsi:type="dcterms:W3CDTF">2026-09-24T10:09:00Z</dcterms:modified>
</cp:coreProperties>
</file>