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5.png" ContentType="image/png"/>
  <Override PartName="/word/media/image2.png" ContentType="image/png"/>
  <Override PartName="/word/media/image3.png" ContentType="image/png"/>
  <Override PartName="/word/media/image4.png" ContentType="image/png"/>
  <Override PartName="/word/media/image6.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eastAsia="等线 Light" w:cs="" w:cstheme="majorBidi" w:eastAsiaTheme="majorEastAsia"/>
          <w:bCs/>
          <w:i/>
          <w:i/>
          <w:iCs/>
          <w:color w:val="000000" w:themeColor="text1"/>
          <w:sz w:val="32"/>
          <w:szCs w:val="48"/>
          <w:lang w:val="en-US"/>
        </w:rPr>
      </w:pPr>
      <w:r>
        <w:rPr>
          <w:rFonts w:eastAsia="等线 Light" w:cs="" w:ascii="Times New Roman" w:hAnsi="Times New Roman" w:cstheme="majorBidi" w:eastAsiaTheme="majorEastAsia"/>
          <w:bCs/>
          <w:i/>
          <w:iCs/>
          <w:color w:val="000000" w:themeColor="text1"/>
          <w:sz w:val="32"/>
          <w:szCs w:val="48"/>
          <w:lang w:val="en-US"/>
        </w:rPr>
        <w:t>Supplementary information</w:t>
      </w:r>
    </w:p>
    <w:p>
      <w:pPr>
        <w:pStyle w:val="Normal"/>
        <w:jc w:val="center"/>
        <w:rPr>
          <w:rFonts w:ascii="Times New Roman" w:hAnsi="Times New Roman" w:eastAsia="MS Gothic" w:cs="Times New Roman"/>
          <w:b/>
          <w:b/>
          <w:color w:val="000000"/>
          <w:spacing w:val="-10"/>
          <w:kern w:val="0"/>
          <w:sz w:val="36"/>
          <w:szCs w:val="56"/>
          <w:lang w:val="en-US" w:eastAsia="ja-JP"/>
          <w14:ligatures w14:val="none"/>
        </w:rPr>
      </w:pPr>
      <w:r>
        <w:rPr>
          <w:rFonts w:eastAsia="MS Gothic" w:cs="Times New Roman" w:ascii="Times New Roman" w:hAnsi="Times New Roman"/>
          <w:b/>
          <w:color w:val="000000"/>
          <w:spacing w:val="-10"/>
          <w:kern w:val="0"/>
          <w:sz w:val="36"/>
          <w:szCs w:val="56"/>
          <w:lang w:val="en-US" w:eastAsia="ja-JP"/>
          <w14:ligatures w14:val="none"/>
        </w:rPr>
      </w:r>
    </w:p>
    <w:p>
      <w:pPr>
        <w:pStyle w:val="Normal"/>
        <w:spacing w:lineRule="auto" w:line="360" w:before="80" w:after="80"/>
        <w:contextualSpacing/>
        <w:jc w:val="center"/>
        <w:rPr>
          <w:b/>
          <w:b/>
          <w:bCs/>
          <w:sz w:val="28"/>
          <w:szCs w:val="28"/>
        </w:rPr>
      </w:pPr>
      <w:bookmarkStart w:id="0" w:name="_Hlk2027369691"/>
      <w:r>
        <w:rPr>
          <w:rFonts w:eastAsia="" w:cs="Times New Roman" w:ascii="Times New Roman" w:hAnsi="Times New Roman" w:eastAsiaTheme="majorEastAsia"/>
          <w:b/>
          <w:bCs/>
          <w:spacing w:val="-10"/>
          <w:kern w:val="2"/>
          <w:sz w:val="28"/>
          <w:szCs w:val="28"/>
          <w:lang w:val="en-GB"/>
        </w:rPr>
        <w:t>Integrated phytochemical profiling and computational analysis identify anabsinthin as a promising sesquiterpene lactone targeting</w:t>
      </w:r>
      <w:bookmarkEnd w:id="0"/>
      <w:r>
        <w:rPr>
          <w:rFonts w:eastAsia="" w:cs="Times New Roman" w:ascii="Times New Roman" w:hAnsi="Times New Roman" w:eastAsiaTheme="majorEastAsia"/>
          <w:b/>
          <w:bCs/>
          <w:spacing w:val="-10"/>
          <w:kern w:val="2"/>
          <w:sz w:val="28"/>
          <w:szCs w:val="28"/>
          <w:lang w:val="en-GB"/>
        </w:rPr>
        <w:t xml:space="preserve"> coronavirus main protease (Mpro/3CLpro)</w:t>
      </w:r>
      <w:bookmarkStart w:id="1" w:name="_Hlk202736969"/>
    </w:p>
    <w:p>
      <w:pPr>
        <w:pStyle w:val="Normal"/>
        <w:rPr>
          <w:rFonts w:ascii="Times New Roman" w:hAnsi="Times New Roman" w:cs="Times New Roman"/>
          <w:lang w:val="en-GB"/>
        </w:rPr>
      </w:pPr>
      <w:r>
        <w:rPr>
          <w:rFonts w:cs="Times New Roman" w:ascii="Times New Roman" w:hAnsi="Times New Roman"/>
          <w:lang w:val="en-GB"/>
        </w:rPr>
      </w:r>
      <w:bookmarkEnd w:id="1"/>
    </w:p>
    <w:p>
      <w:pPr>
        <w:pStyle w:val="Normal"/>
        <w:rPr>
          <w:rFonts w:ascii="Times New Roman" w:hAnsi="Times New Roman" w:cs="Times New Roman"/>
          <w:lang w:val="en-GB"/>
        </w:rPr>
      </w:pPr>
      <w:r>
        <w:rPr>
          <w:rFonts w:cs="Times New Roman" w:ascii="Times New Roman" w:hAnsi="Times New Roman"/>
          <w:lang w:val="en-GB"/>
        </w:rPr>
      </w:r>
    </w:p>
    <w:p>
      <w:pPr>
        <w:pStyle w:val="Normal"/>
        <w:spacing w:lineRule="auto" w:line="480"/>
        <w:jc w:val="center"/>
        <w:rPr>
          <w:rFonts w:ascii="Times New Roman" w:hAnsi="Times New Roman" w:cs="Times New Roman"/>
          <w:i/>
          <w:i/>
          <w:iCs/>
          <w:lang w:val="en-GB"/>
        </w:rPr>
      </w:pPr>
      <w:r>
        <w:rPr>
          <w:rFonts w:cs="Times New Roman" w:ascii="Times New Roman" w:hAnsi="Times New Roman"/>
          <w:lang w:val="en-GB"/>
        </w:rPr>
        <w:t xml:space="preserve">Salma Loukman </w:t>
      </w:r>
      <w:r>
        <w:rPr>
          <w:rFonts w:cs="Times New Roman" w:ascii="Times New Roman" w:hAnsi="Times New Roman"/>
          <w:vertAlign w:val="superscript"/>
          <w:lang w:val="en-GB"/>
        </w:rPr>
        <w:t>1</w:t>
      </w:r>
      <w:r>
        <w:rPr>
          <w:rFonts w:cs="Times New Roman" w:ascii="Times New Roman" w:hAnsi="Times New Roman"/>
          <w:lang w:val="en-GB"/>
        </w:rPr>
        <w:t xml:space="preserve">, Salaheddine El Hadad </w:t>
      </w:r>
      <w:r>
        <w:rPr>
          <w:rFonts w:cs="Times New Roman" w:ascii="Times New Roman" w:hAnsi="Times New Roman"/>
          <w:vertAlign w:val="superscript"/>
          <w:lang w:val="en-GB"/>
        </w:rPr>
        <w:t>1</w:t>
      </w:r>
      <w:r>
        <w:rPr>
          <w:rFonts w:cs="Times New Roman" w:ascii="Times New Roman" w:hAnsi="Times New Roman"/>
          <w:lang w:val="en-GB"/>
        </w:rPr>
        <w:t xml:space="preserve">, Fatim Ezahra Mesrar </w:t>
      </w:r>
      <w:r>
        <w:rPr>
          <w:rFonts w:cs="Times New Roman" w:ascii="Times New Roman" w:hAnsi="Times New Roman"/>
          <w:vertAlign w:val="superscript"/>
          <w:lang w:val="en-GB"/>
        </w:rPr>
        <w:t>1</w:t>
      </w:r>
      <w:r>
        <w:rPr>
          <w:rFonts w:cs="Times New Roman" w:ascii="Times New Roman" w:hAnsi="Times New Roman"/>
          <w:lang w:val="en-GB"/>
        </w:rPr>
        <w:t xml:space="preserve">, Aicha Talha </w:t>
      </w:r>
      <w:r>
        <w:rPr>
          <w:rFonts w:cs="Times New Roman" w:ascii="Times New Roman" w:hAnsi="Times New Roman"/>
          <w:vertAlign w:val="superscript"/>
          <w:lang w:val="en-GB"/>
        </w:rPr>
        <w:t>1</w:t>
      </w:r>
      <w:r>
        <w:rPr>
          <w:rFonts w:cs="Times New Roman" w:ascii="Times New Roman" w:hAnsi="Times New Roman"/>
          <w:lang w:val="en-GB"/>
        </w:rPr>
        <w:t xml:space="preserve">, Hamza Tachallait </w:t>
      </w:r>
      <w:r>
        <w:rPr>
          <w:rFonts w:cs="Times New Roman" w:ascii="Times New Roman" w:hAnsi="Times New Roman"/>
          <w:vertAlign w:val="superscript"/>
          <w:lang w:val="en-GB"/>
        </w:rPr>
        <w:t>1</w:t>
      </w:r>
      <w:r>
        <w:rPr>
          <w:rFonts w:cs="Times New Roman" w:ascii="Times New Roman" w:hAnsi="Times New Roman"/>
          <w:lang w:val="en-GB"/>
        </w:rPr>
        <w:t xml:space="preserve">, Reda Benmrid </w:t>
      </w:r>
      <w:r>
        <w:rPr>
          <w:rFonts w:cs="Times New Roman" w:ascii="Times New Roman" w:hAnsi="Times New Roman"/>
          <w:vertAlign w:val="superscript"/>
          <w:lang w:val="en-GB"/>
        </w:rPr>
        <w:t>2</w:t>
      </w:r>
      <w:r>
        <w:rPr>
          <w:rFonts w:cs="Times New Roman" w:ascii="Times New Roman" w:hAnsi="Times New Roman"/>
          <w:lang w:val="en-GB"/>
        </w:rPr>
        <w:t>, Najat Bouchmaa</w:t>
      </w:r>
      <w:r>
        <w:rPr>
          <w:rFonts w:cs="Times New Roman" w:ascii="Times New Roman" w:hAnsi="Times New Roman"/>
          <w:vertAlign w:val="superscript"/>
          <w:lang w:val="en-GB"/>
        </w:rPr>
        <w:t>2</w:t>
      </w:r>
      <w:r>
        <w:rPr>
          <w:rFonts w:cs="Times New Roman" w:ascii="Times New Roman" w:hAnsi="Times New Roman"/>
          <w:lang w:val="en-GB"/>
        </w:rPr>
        <w:t xml:space="preserve">, Rachid Daoud </w:t>
      </w:r>
      <w:r>
        <w:rPr>
          <w:rFonts w:cs="Times New Roman" w:ascii="Times New Roman" w:hAnsi="Times New Roman"/>
          <w:vertAlign w:val="superscript"/>
          <w:lang w:val="en-GB"/>
        </w:rPr>
        <w:t>1</w:t>
      </w:r>
      <w:r>
        <w:rPr>
          <w:rFonts w:cs="Times New Roman" w:ascii="Times New Roman" w:hAnsi="Times New Roman"/>
          <w:lang w:val="en-GB"/>
        </w:rPr>
        <w:t xml:space="preserve">, Rachid El Fatimy </w:t>
      </w:r>
      <w:r>
        <w:rPr>
          <w:rFonts w:cs="Times New Roman" w:ascii="Times New Roman" w:hAnsi="Times New Roman"/>
          <w:vertAlign w:val="superscript"/>
          <w:lang w:val="en-GB"/>
        </w:rPr>
        <w:t>2</w:t>
      </w:r>
      <w:r>
        <w:rPr>
          <w:rFonts w:cs="Times New Roman" w:ascii="Times New Roman" w:hAnsi="Times New Roman"/>
          <w:lang w:val="en-GB"/>
        </w:rPr>
        <w:t xml:space="preserve">, Rachid Benhida * </w:t>
      </w:r>
      <w:r>
        <w:rPr>
          <w:rFonts w:cs="Times New Roman" w:ascii="Times New Roman" w:hAnsi="Times New Roman"/>
          <w:vertAlign w:val="superscript"/>
          <w:lang w:val="en-GB"/>
        </w:rPr>
        <w:t>1,3</w:t>
      </w:r>
    </w:p>
    <w:p>
      <w:pPr>
        <w:pStyle w:val="Normal"/>
        <w:spacing w:lineRule="auto" w:line="480"/>
        <w:jc w:val="center"/>
        <w:rPr>
          <w:rFonts w:ascii="Times New Roman" w:hAnsi="Times New Roman" w:cs="Times New Roman"/>
          <w:lang w:val="en-GB"/>
        </w:rPr>
      </w:pPr>
      <w:r>
        <w:rPr>
          <w:rFonts w:cs="Times New Roman" w:ascii="Times New Roman" w:hAnsi="Times New Roman"/>
          <w:lang w:val="en-GB"/>
        </w:rPr>
      </w:r>
    </w:p>
    <w:p>
      <w:pPr>
        <w:pStyle w:val="Normal"/>
        <w:spacing w:lineRule="auto" w:line="480"/>
        <w:rPr>
          <w:rFonts w:ascii="Times New Roman" w:hAnsi="Times New Roman" w:cs="Times New Roman"/>
          <w:lang w:val="en-GB"/>
        </w:rPr>
      </w:pPr>
      <w:r>
        <w:rPr>
          <w:rFonts w:cs="Times New Roman" w:ascii="Times New Roman" w:hAnsi="Times New Roman"/>
          <w:vertAlign w:val="superscript"/>
          <w:lang w:val="en-GB"/>
        </w:rPr>
        <w:t>1</w:t>
      </w:r>
      <w:r>
        <w:rPr>
          <w:rFonts w:cs="Times New Roman" w:ascii="Times New Roman" w:hAnsi="Times New Roman"/>
          <w:lang w:val="en-GB"/>
        </w:rPr>
        <w:t xml:space="preserve"> College of Chemical Sciences and Engineering (CCSE), Department of Chemical and Biochemical Sciences - Green Process Engineering (CBS-GPE), Mohammed VI Polytechnic University (UM6P), Ben Guerir 43150, Morocco.</w:t>
      </w:r>
    </w:p>
    <w:p>
      <w:pPr>
        <w:pStyle w:val="Normal"/>
        <w:spacing w:lineRule="auto" w:line="480"/>
        <w:rPr>
          <w:rFonts w:ascii="Times New Roman" w:hAnsi="Times New Roman" w:cs="Times New Roman"/>
          <w:lang w:val="en-GB"/>
        </w:rPr>
      </w:pPr>
      <w:r>
        <w:rPr>
          <w:rFonts w:cs="Times New Roman" w:ascii="Times New Roman" w:hAnsi="Times New Roman"/>
          <w:vertAlign w:val="superscript"/>
          <w:lang w:val="en-GB"/>
        </w:rPr>
        <w:t>2</w:t>
      </w:r>
      <w:r>
        <w:rPr>
          <w:rFonts w:cs="Times New Roman" w:ascii="Times New Roman" w:hAnsi="Times New Roman"/>
          <w:lang w:val="en-GB"/>
        </w:rPr>
        <w:t xml:space="preserve"> Faculty of Medical Sciences, UM6P Hospitals, Mohammed VI Polytechnic University, Benguerir. 43150, Morocco.</w:t>
      </w:r>
    </w:p>
    <w:p>
      <w:pPr>
        <w:pStyle w:val="Normal"/>
        <w:spacing w:lineRule="auto" w:line="480"/>
        <w:rPr>
          <w:rFonts w:ascii="Times New Roman" w:hAnsi="Times New Roman" w:cs="Times New Roman"/>
          <w:lang w:val="en-GB"/>
        </w:rPr>
      </w:pPr>
      <w:r>
        <w:rPr>
          <w:rFonts w:cs="Times New Roman" w:ascii="Times New Roman" w:hAnsi="Times New Roman"/>
          <w:vertAlign w:val="superscript"/>
          <w:lang w:val="en-GB"/>
        </w:rPr>
        <w:t xml:space="preserve">3 </w:t>
      </w:r>
      <w:r>
        <w:rPr>
          <w:rFonts w:cs="Times New Roman" w:ascii="Times New Roman" w:hAnsi="Times New Roman"/>
          <w:lang w:val="en-GB"/>
        </w:rPr>
        <w:t>Nice Institute of Chemistry. University Côte d’Azur, Nice, France.</w:t>
      </w:r>
    </w:p>
    <w:p>
      <w:pPr>
        <w:pStyle w:val="Normal"/>
        <w:spacing w:lineRule="auto" w:line="480"/>
        <w:rPr>
          <w:rFonts w:ascii="Times New Roman" w:hAnsi="Times New Roman" w:cs="Times New Roman"/>
          <w:lang w:val="en-GB"/>
        </w:rPr>
      </w:pPr>
      <w:r>
        <w:rPr>
          <w:rFonts w:cs="Times New Roman" w:ascii="Times New Roman" w:hAnsi="Times New Roman"/>
          <w:lang w:val="en-GB"/>
        </w:rPr>
        <w:t xml:space="preserve">* Corresponding authors. </w:t>
      </w:r>
    </w:p>
    <w:p>
      <w:pPr>
        <w:pStyle w:val="Normal"/>
        <w:spacing w:lineRule="auto" w:line="480"/>
        <w:rPr>
          <w:rFonts w:ascii="Times New Roman" w:hAnsi="Times New Roman" w:cs="Times New Roman"/>
          <w:lang w:val="en-GB"/>
        </w:rPr>
      </w:pPr>
      <w:r>
        <w:rPr>
          <w:rFonts w:cs="Times New Roman" w:ascii="Times New Roman" w:hAnsi="Times New Roman"/>
          <w:lang w:val="en-GB"/>
        </w:rPr>
        <w:t xml:space="preserve">E-mail addresses: </w:t>
      </w:r>
      <w:hyperlink r:id="rId2">
        <w:r>
          <w:rPr>
            <w:rStyle w:val="InternetLink"/>
            <w:rFonts w:cs="Times New Roman" w:ascii="Times New Roman" w:hAnsi="Times New Roman"/>
            <w:lang w:val="en-GB"/>
          </w:rPr>
          <w:t>Rachid.BENHIDA@um6p.ma</w:t>
        </w:r>
      </w:hyperlink>
      <w:r>
        <w:rPr>
          <w:rFonts w:cs="Times New Roman" w:ascii="Times New Roman" w:hAnsi="Times New Roman"/>
          <w:lang w:val="en-GB"/>
        </w:rPr>
        <w:t xml:space="preserve"> </w:t>
      </w:r>
    </w:p>
    <w:p>
      <w:pPr>
        <w:pStyle w:val="Normal"/>
        <w:spacing w:lineRule="auto" w:line="480" w:before="0" w:after="120"/>
        <w:contextualSpacing/>
        <w:rPr>
          <w:rFonts w:ascii="Times New Roman" w:hAnsi="Times New Roman" w:eastAsia="MS Mincho" w:cs="Times New Roman"/>
          <w:kern w:val="0"/>
          <w:lang w:val="en-GB" w:eastAsia="ja-JP"/>
          <w14:ligatures w14:val="none"/>
        </w:rPr>
      </w:pPr>
      <w:r>
        <w:rPr>
          <w:rFonts w:eastAsia="MS Mincho" w:cs="Times New Roman" w:ascii="Times New Roman" w:hAnsi="Times New Roman"/>
          <w:kern w:val="0"/>
          <w:lang w:val="en-GB"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spacing w:lineRule="auto" w:line="480" w:before="0" w:after="120"/>
        <w:contextualSpacing/>
        <w:rPr>
          <w:rFonts w:ascii="Times New Roman" w:hAnsi="Times New Roman" w:eastAsia="MS Mincho" w:cs="Times New Roman"/>
          <w:kern w:val="0"/>
          <w:sz w:val="22"/>
          <w:szCs w:val="22"/>
          <w:lang w:val="en-US" w:eastAsia="ja-JP"/>
          <w14:ligatures w14:val="none"/>
        </w:rPr>
      </w:pPr>
      <w:r>
        <w:rPr>
          <w:rFonts w:eastAsia="MS Mincho" w:cs="Times New Roman" w:ascii="Times New Roman" w:hAnsi="Times New Roman"/>
          <w:kern w:val="0"/>
          <w:sz w:val="22"/>
          <w:szCs w:val="22"/>
          <w:lang w:val="en-US" w:eastAsia="ja-JP"/>
          <w14:ligatures w14:val="none"/>
        </w:rPr>
      </w:r>
    </w:p>
    <w:p>
      <w:pPr>
        <w:pStyle w:val="Normal"/>
        <w:rPr>
          <w:lang w:val="en-US" w:eastAsia="ja-JP"/>
        </w:rPr>
      </w:pPr>
      <w:r>
        <w:rPr>
          <w:lang w:val="en-US" w:eastAsia="ja-JP"/>
        </w:rPr>
      </w:r>
    </w:p>
    <w:p>
      <w:pPr>
        <w:pStyle w:val="Style11"/>
        <w:numPr>
          <w:ilvl w:val="0"/>
          <w:numId w:val="4"/>
        </w:numPr>
        <w:rPr/>
      </w:pPr>
      <w:r>
        <w:rPr/>
        <w:t>Supplementary experimental procedures</w:t>
      </w:r>
    </w:p>
    <w:p>
      <w:pPr>
        <w:pStyle w:val="Subtitle"/>
        <w:rPr>
          <w:lang w:val="en-US"/>
        </w:rPr>
      </w:pPr>
      <w:r>
        <w:rPr>
          <w:lang w:val="en-US"/>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S1.1. General information and apparatus</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All solvents used for extraction, cleanup, and chromatographic purification were of analytical or HPLC grade and were used without further purification unless otherwise stated. Dried extracts and purified fractions were protected from light and stored in closed glass vials until analysis. Solvent removal was carried out under reduced pressure using a rotary evaporator at temperatures not exceeding 40 °C to minimize thermal degradation of thermolabile phytochemicals.</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Ultrasound-assisted extraction was performed using a probe-type ultrasonic processor Vibra-Cell™ (Sonics &amp; Materials, USA), equipped with a titanium sonotrode and placed inside an acoustic enclosure. The system operated at a fixed ultrasonic frequency of 20 kHz and a nominal power of 400 W. During extraction, the ultrasonic probe was directly immersed into the plant material–solvent suspension and maintained below the liquid surface without touching the vessel walls or bottom, allowing efficient acoustic cavitation and mass transfer enhancement.</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r>
    </w:p>
    <w:p>
      <w:pPr>
        <w:pStyle w:val="Normal"/>
        <w:spacing w:lineRule="auto" w:line="360" w:before="0" w:after="160"/>
        <w:contextualSpacing/>
        <w:jc w:val="center"/>
        <w:rPr>
          <w:rFonts w:ascii="Times New Roman" w:hAnsi="Times New Roman" w:cs="Times New Roman"/>
          <w:lang w:val="fr-MA"/>
        </w:rPr>
      </w:pPr>
      <w:r>
        <w:rPr/>
        <w:drawing>
          <wp:inline distT="0" distB="0" distL="0" distR="0">
            <wp:extent cx="1733550" cy="2311400"/>
            <wp:effectExtent l="0" t="0" r="0" b="0"/>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3"/>
                    <a:stretch>
                      <a:fillRect/>
                    </a:stretch>
                  </pic:blipFill>
                  <pic:spPr bwMode="auto">
                    <a:xfrm>
                      <a:off x="0" y="0"/>
                      <a:ext cx="1733550" cy="2311400"/>
                    </a:xfrm>
                    <a:prstGeom prst="rect">
                      <a:avLst/>
                    </a:prstGeom>
                  </pic:spPr>
                </pic:pic>
              </a:graphicData>
            </a:graphic>
          </wp:inline>
        </w:drawing>
      </w:r>
    </w:p>
    <w:p>
      <w:pPr>
        <w:pStyle w:val="Normal"/>
        <w:spacing w:lineRule="auto" w:line="360" w:before="0" w:after="160"/>
        <w:contextualSpacing/>
        <w:jc w:val="center"/>
        <w:rPr>
          <w:rFonts w:ascii="Times New Roman" w:hAnsi="Times New Roman" w:cs="Times New Roman"/>
          <w:lang w:val="en-GB"/>
        </w:rPr>
      </w:pPr>
      <w:r>
        <w:rPr>
          <w:rFonts w:cs="Times New Roman" w:ascii="Times New Roman" w:hAnsi="Times New Roman"/>
          <w:b/>
          <w:bCs/>
          <w:lang w:val="en-GB"/>
        </w:rPr>
        <w:t>Figure S1</w:t>
      </w:r>
      <w:r>
        <w:rPr>
          <w:rFonts w:cs="Times New Roman" w:ascii="Times New Roman" w:hAnsi="Times New Roman"/>
          <w:lang w:val="en-GB"/>
        </w:rPr>
        <w:t>. Probe-type ultrasonic processor used for ultrasound-assisted extraction.</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S1.2. Detailed ultrasound-assisted extraction procedure and work-up</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 xml:space="preserve">For each experimental run, the required amount of dried and powdered aerial parts of </w:t>
      </w:r>
      <w:r>
        <w:rPr>
          <w:rFonts w:cs="Times New Roman" w:ascii="Times New Roman" w:hAnsi="Times New Roman"/>
          <w:i/>
          <w:iCs/>
          <w:lang w:val="en-GB"/>
        </w:rPr>
        <w:t>Artemisia absinthium</w:t>
      </w:r>
      <w:r>
        <w:rPr>
          <w:rFonts w:cs="Times New Roman" w:ascii="Times New Roman" w:hAnsi="Times New Roman"/>
          <w:lang w:val="en-GB"/>
        </w:rPr>
        <w:t xml:space="preserve"> L. was introduced into a glass extraction vessel. Ethanol or hexane was then added according to the solid-to-liquid ratio defined in the experimental design. The solvent volume was adjusted using the following equation:</w:t>
      </w:r>
    </w:p>
    <w:p>
      <w:pPr>
        <w:pStyle w:val="Normal"/>
        <w:spacing w:lineRule="auto" w:line="360" w:before="0" w:after="160"/>
        <w:contextualSpacing/>
        <w:jc w:val="center"/>
        <w:rPr>
          <w:rFonts w:ascii="Times New Roman" w:hAnsi="Times New Roman" w:cs="Times New Roman"/>
          <w:lang w:val="en-GB"/>
        </w:rPr>
      </w:pPr>
      <w:r>
        <w:rPr>
          <w:rFonts w:cs="Times New Roman" w:ascii="Times New Roman" w:hAnsi="Times New Roman"/>
          <w:b/>
          <w:bCs/>
          <w:lang w:val="en-GB"/>
        </w:rPr>
        <w:t>V = m / R</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 xml:space="preserve">where </w:t>
      </w:r>
      <w:r>
        <w:rPr>
          <w:rFonts w:cs="Times New Roman" w:ascii="Times New Roman" w:hAnsi="Times New Roman"/>
          <w:b/>
          <w:bCs/>
          <w:lang w:val="en-GB"/>
        </w:rPr>
        <w:t>V</w:t>
      </w:r>
      <w:r>
        <w:rPr>
          <w:rFonts w:cs="Times New Roman" w:ascii="Times New Roman" w:hAnsi="Times New Roman"/>
          <w:lang w:val="en-GB"/>
        </w:rPr>
        <w:t xml:space="preserve"> is the solvent volume in mL, </w:t>
      </w:r>
      <w:r>
        <w:rPr>
          <w:rFonts w:cs="Times New Roman" w:ascii="Times New Roman" w:hAnsi="Times New Roman"/>
          <w:b/>
          <w:bCs/>
          <w:lang w:val="en-GB"/>
        </w:rPr>
        <w:t>m</w:t>
      </w:r>
      <w:r>
        <w:rPr>
          <w:rFonts w:cs="Times New Roman" w:ascii="Times New Roman" w:hAnsi="Times New Roman"/>
          <w:lang w:val="en-GB"/>
        </w:rPr>
        <w:t xml:space="preserve"> is the mass of dried plant powder in g, and </w:t>
      </w:r>
      <w:r>
        <w:rPr>
          <w:rFonts w:cs="Times New Roman" w:ascii="Times New Roman" w:hAnsi="Times New Roman"/>
          <w:b/>
          <w:bCs/>
          <w:lang w:val="en-GB"/>
        </w:rPr>
        <w:t>R</w:t>
      </w:r>
      <w:r>
        <w:rPr>
          <w:rFonts w:cs="Times New Roman" w:ascii="Times New Roman" w:hAnsi="Times New Roman"/>
          <w:lang w:val="en-GB"/>
        </w:rPr>
        <w:t xml:space="preserve"> is the solid-to-liquid ratio in g/mL</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Most experiments were performed using 500 mg of plant powder, while the low solid-to-liquid ratio axial experiments were carried out using 250 mg of plant powder to keep a suitable extraction volume. The suspension was manually homogenized before sonication. Ultrasound-assisted extraction was then performed at room temperature according to the sonication time specified in the response surface design. After sonication, the suspension was transferred into centrifuge tubes and centrifuged at 3000 rpm and 10 °C for 10 min. The supernatant was collected, and the remaining plant residue was subjected to a second centrifugation under the same conditions. The combined supernatants were filtered and concentrated under reduced pressure at 40 °C to afford the corresponding dried extracts.</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The extraction yield was calculated according to the following equation:</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b/>
          <w:bCs/>
          <w:lang w:val="en-GB"/>
        </w:rPr>
        <w:t>Extraction yield (%) = (mass of dried extract / initial mass of dried plant powder) × 100</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All dried extracts were stored in closed amber glass vials protected from light until further GC-MS, LC-MS, and purification analyses.</w:t>
      </w:r>
    </w:p>
    <w:p>
      <w:pPr>
        <w:pStyle w:val="Style11"/>
        <w:numPr>
          <w:ilvl w:val="0"/>
          <w:numId w:val="2"/>
        </w:numPr>
        <w:rPr/>
      </w:pPr>
      <w:r>
        <w:rPr/>
        <w:t>Ultrasound-assisted extraction optimization of Artemisia absinthium</w:t>
      </w:r>
    </w:p>
    <w:p>
      <w:pPr>
        <w:pStyle w:val="Subtitle"/>
        <w:rPr>
          <w:lang w:val="en-GB"/>
        </w:rPr>
      </w:pPr>
      <w:r>
        <w:rPr>
          <w:lang w:val="en-GB"/>
        </w:rPr>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 xml:space="preserve">The ultrasound-assisted extraction of </w:t>
      </w:r>
      <w:r>
        <w:rPr>
          <w:rFonts w:cs="Times New Roman" w:ascii="Times New Roman" w:hAnsi="Times New Roman"/>
          <w:i/>
          <w:iCs/>
          <w:lang w:val="en-GB"/>
        </w:rPr>
        <w:t>Artemisia absinthium</w:t>
      </w:r>
      <w:r>
        <w:rPr>
          <w:rFonts w:cs="Times New Roman" w:ascii="Times New Roman" w:hAnsi="Times New Roman"/>
          <w:lang w:val="en-GB"/>
        </w:rPr>
        <w:t xml:space="preserve"> L. was optimized using response surface methodology. Three variables were investigated: sonication time, solid-to-liquid ratio, and solvent type. Sonication time and solid-to-liquid ratio were considered as numerical factors, whereas solvent type was considered as a categorical factor. The experimental design consisted of 28 runs organized in two blocks. The extraction yield was used as the response variable.</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The complete experimental matrix and the corresponding extraction yields are presented in Table S1.</w:t>
      </w:r>
    </w:p>
    <w:p>
      <w:pPr>
        <w:pStyle w:val="Normal"/>
        <w:rPr>
          <w:lang w:val="en-GB"/>
        </w:rPr>
      </w:pPr>
      <w:r>
        <w:rPr>
          <w:lang w:val="en-GB"/>
        </w:rPr>
      </w:r>
    </w:p>
    <w:p>
      <w:pPr>
        <w:pStyle w:val="Normal"/>
        <w:rPr>
          <w:lang w:val="en-US" w:eastAsia="ja-JP"/>
        </w:rPr>
      </w:pPr>
      <w:r>
        <w:rPr>
          <w:lang w:val="en-US" w:eastAsia="ja-JP"/>
        </w:rPr>
      </w:r>
    </w:p>
    <w:p>
      <w:pPr>
        <w:pStyle w:val="Normal"/>
        <w:spacing w:lineRule="auto" w:line="360"/>
        <w:jc w:val="center"/>
        <w:rPr>
          <w:rFonts w:ascii="Times New Roman" w:hAnsi="Times New Roman" w:cs="Times New Roman"/>
          <w:i/>
          <w:i/>
          <w:iCs/>
          <w:lang w:val="en-US"/>
        </w:rPr>
      </w:pPr>
      <w:r>
        <w:rPr>
          <w:rFonts w:cs="Times New Roman" w:ascii="Times New Roman" w:hAnsi="Times New Roman"/>
          <w:b/>
          <w:bCs/>
          <w:lang w:val="en-US"/>
        </w:rPr>
        <w:t>Table S1. </w:t>
      </w:r>
      <w:r>
        <w:rPr>
          <w:rFonts w:cs="Times New Roman" w:ascii="Times New Roman" w:hAnsi="Times New Roman"/>
          <w:lang w:val="en-US"/>
        </w:rPr>
        <w:t>Box–Behnken design matrix and experimental results for ultrasound-assisted extraction optimization of </w:t>
      </w:r>
      <w:r>
        <w:rPr>
          <w:rFonts w:cs="Times New Roman" w:ascii="Times New Roman" w:hAnsi="Times New Roman"/>
          <w:i/>
          <w:iCs/>
          <w:lang w:val="en-US"/>
        </w:rPr>
        <w:t>Artemisia absinthium L</w:t>
      </w:r>
    </w:p>
    <w:p>
      <w:pPr>
        <w:pStyle w:val="Normal"/>
        <w:jc w:val="center"/>
        <w:rPr>
          <w:rFonts w:ascii="Times New Roman" w:hAnsi="Times New Roman" w:cs="Times New Roman"/>
          <w:lang w:val="en-US"/>
        </w:rPr>
      </w:pPr>
      <w:r>
        <w:rPr>
          <w:rFonts w:cs="Times New Roman" w:ascii="Times New Roman" w:hAnsi="Times New Roman"/>
          <w:lang w:val="en-US"/>
        </w:rPr>
      </w:r>
    </w:p>
    <w:tbl>
      <w:tblPr>
        <w:tblStyle w:val="TableauGrille1Clair"/>
        <w:tblW w:w="8642"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25"/>
        <w:gridCol w:w="1431"/>
        <w:gridCol w:w="2367"/>
        <w:gridCol w:w="1545"/>
        <w:gridCol w:w="1574"/>
      </w:tblGrid>
      <w:tr>
        <w:trPr>
          <w:cnfStyle w:val="100000000000" w:firstRow="1" w:lastRow="0" w:firstColumn="0" w:lastColumn="0" w:oddVBand="0" w:evenVBand="0" w:oddHBand="0" w:evenHBand="0" w:firstRowFirstColumn="0" w:firstRowLastColumn="0" w:lastRowFirstColumn="0" w:lastRowLastColumn="0"/>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Run</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b/>
                <w:bCs/>
                <w:kern w:val="2"/>
                <w:sz w:val="24"/>
                <w:szCs w:val="24"/>
                <w:lang w:val="fr-FR" w:eastAsia="zh-CN" w:bidi="ar-SA"/>
              </w:rPr>
              <w:t>A: Time (min)</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eastAsia="DengXian" w:cs="Times New Roman" w:ascii="Times New Roman" w:hAnsi="Times New Roman"/>
                <w:b/>
                <w:bCs/>
                <w:kern w:val="2"/>
                <w:sz w:val="24"/>
                <w:szCs w:val="24"/>
                <w:lang w:val="en-US" w:eastAsia="zh-CN" w:bidi="ar-SA"/>
              </w:rPr>
              <w:t>B: Solid</w:t>
              <w:noBreakHyphen/>
              <w:t>to</w:t>
              <w:noBreakHyphen/>
              <w:t>liquid ratio (g/mL)</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b/>
                <w:bCs/>
                <w:kern w:val="2"/>
                <w:sz w:val="24"/>
                <w:szCs w:val="24"/>
                <w:lang w:val="fr-FR" w:eastAsia="zh-CN" w:bidi="ar-SA"/>
              </w:rPr>
              <w:t>C: Solvent</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b/>
                <w:bCs/>
                <w:kern w:val="2"/>
                <w:sz w:val="24"/>
                <w:szCs w:val="24"/>
                <w:lang w:val="fr-FR" w:eastAsia="zh-CN" w:bidi="ar-SA"/>
              </w:rPr>
              <w:t>Yield (%)</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2.6</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0.02</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10.1</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2.6</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0.04</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14.26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3</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15.01</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4</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13.0</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0.04</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17.4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5</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16.6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6</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17.82</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7</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2.6</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0.04</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1.5</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8</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13.0</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0.04</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3.36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9</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13.0</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0.02</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13.0</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10</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13.0</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0.02</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5.6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11</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3.44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12</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2.5</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13</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2.3</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14</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2.6</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0.02</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2.26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15</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0.0158579</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9.4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16</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16.16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17</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0.0441421</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18.34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18</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4.84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19</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0.0441421</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7.06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20</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15.1539</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5.1</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21</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8.44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22</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0.446089</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8.96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23</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0.446089</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16.64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24</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0.0158579</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1.36</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25</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19.44</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26</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Hexane</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7.22</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27</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7.8</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18.68</w:t>
            </w:r>
          </w:p>
        </w:tc>
      </w:tr>
      <w:tr>
        <w:trPr/>
        <w:tc>
          <w:tcPr>
            <w:tcW w:w="1725"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28</w:t>
            </w:r>
          </w:p>
        </w:tc>
        <w:tc>
          <w:tcPr>
            <w:tcW w:w="143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15.1539</w:t>
            </w:r>
          </w:p>
        </w:tc>
        <w:tc>
          <w:tcPr>
            <w:tcW w:w="2367"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0.03</w:t>
            </w:r>
          </w:p>
        </w:tc>
        <w:tc>
          <w:tcPr>
            <w:tcW w:w="154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EtOH</w:t>
            </w:r>
          </w:p>
        </w:tc>
        <w:tc>
          <w:tcPr>
            <w:tcW w:w="157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kern w:val="2"/>
                <w:sz w:val="24"/>
                <w:szCs w:val="24"/>
                <w:lang w:val="fr-FR" w:eastAsia="zh-CN" w:bidi="ar-SA"/>
              </w:rPr>
              <w:t>16.89</w:t>
            </w:r>
          </w:p>
        </w:tc>
      </w:tr>
    </w:tbl>
    <w:p>
      <w:pPr>
        <w:pStyle w:val="Normal"/>
        <w:rPr>
          <w:rFonts w:ascii="Times New Roman" w:hAnsi="Times New Roman" w:cs="Times New Roman"/>
          <w:b/>
          <w:b/>
          <w:bCs/>
          <w:sz w:val="22"/>
          <w:szCs w:val="22"/>
          <w:lang w:val="en-US"/>
        </w:rPr>
      </w:pPr>
      <w:r>
        <w:rPr>
          <w:rFonts w:cs="Times New Roman" w:ascii="Times New Roman" w:hAnsi="Times New Roman"/>
          <w:b/>
          <w:bCs/>
          <w:sz w:val="22"/>
          <w:szCs w:val="22"/>
          <w:lang w:val="en-US"/>
        </w:rPr>
      </w:r>
    </w:p>
    <w:p>
      <w:pPr>
        <w:pStyle w:val="Normal"/>
        <w:spacing w:lineRule="auto" w:line="276" w:before="0" w:after="160"/>
        <w:contextualSpacing/>
        <w:jc w:val="center"/>
        <w:rPr>
          <w:rFonts w:ascii="Times New Roman" w:hAnsi="Times New Roman" w:cs="Times New Roman"/>
          <w:b/>
          <w:b/>
          <w:bCs/>
          <w:lang w:val="en-US"/>
        </w:rPr>
      </w:pPr>
      <w:r>
        <w:rPr>
          <w:rFonts w:cs="Times New Roman" w:ascii="Times New Roman" w:hAnsi="Times New Roman"/>
          <w:b/>
          <w:bCs/>
          <w:lang w:val="en-US"/>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S2.1. Statistical analysis of the extraction yield</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The experimental extraction yields were fitted using a quadratic response surface model. The significance of the model and of the individual terms was evaluated by analysis of variance. The ANOVA results are summarized in Table S2.</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r>
    </w:p>
    <w:p>
      <w:pPr>
        <w:pStyle w:val="Normal"/>
        <w:spacing w:lineRule="auto" w:line="276" w:before="0" w:after="160"/>
        <w:contextualSpacing/>
        <w:jc w:val="center"/>
        <w:rPr>
          <w:rFonts w:ascii="Times New Roman" w:hAnsi="Times New Roman" w:cs="Times New Roman"/>
          <w:lang w:val="en-US"/>
        </w:rPr>
      </w:pPr>
      <w:r>
        <w:rPr>
          <w:rFonts w:cs="Times New Roman" w:ascii="Times New Roman" w:hAnsi="Times New Roman"/>
          <w:b/>
          <w:bCs/>
          <w:lang w:val="en-US"/>
        </w:rPr>
        <w:t xml:space="preserve">Table S2. </w:t>
      </w:r>
      <w:r>
        <w:rPr>
          <w:rFonts w:cs="Times New Roman" w:ascii="Times New Roman" w:hAnsi="Times New Roman"/>
          <w:lang w:val="en-US"/>
        </w:rPr>
        <w:t>ANOVA for the quadratic response surface model of extraction yield</w:t>
      </w:r>
    </w:p>
    <w:p>
      <w:pPr>
        <w:pStyle w:val="Normal"/>
        <w:spacing w:lineRule="auto" w:line="276" w:before="0" w:after="160"/>
        <w:contextualSpacing/>
        <w:jc w:val="center"/>
        <w:rPr>
          <w:rFonts w:ascii="Times New Roman" w:hAnsi="Times New Roman" w:cs="Times New Roman"/>
          <w:lang w:val="en-US"/>
        </w:rPr>
      </w:pPr>
      <w:r>
        <w:rPr>
          <w:rFonts w:cs="Times New Roman" w:ascii="Times New Roman" w:hAnsi="Times New Roman"/>
          <w:lang w:val="en-US"/>
        </w:rPr>
      </w:r>
    </w:p>
    <w:p>
      <w:pPr>
        <w:pStyle w:val="Normal"/>
        <w:spacing w:lineRule="auto" w:line="276" w:before="0" w:after="160"/>
        <w:contextualSpacing/>
        <w:jc w:val="center"/>
        <w:rPr>
          <w:rFonts w:ascii="Times New Roman" w:hAnsi="Times New Roman" w:cs="Times New Roman"/>
          <w:lang w:val="en-US"/>
        </w:rPr>
      </w:pPr>
      <w:r>
        <w:rPr>
          <w:rFonts w:cs="Times New Roman" w:ascii="Times New Roman" w:hAnsi="Times New Roman"/>
          <w:lang w:val="en-US"/>
        </w:rPr>
      </w:r>
    </w:p>
    <w:tbl>
      <w:tblPr>
        <w:tblStyle w:val="TableauGrille1Clair"/>
        <w:tblW w:w="806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122"/>
        <w:gridCol w:w="1701"/>
        <w:gridCol w:w="998"/>
        <w:gridCol w:w="1128"/>
        <w:gridCol w:w="1118"/>
        <w:gridCol w:w="1001"/>
      </w:tblGrid>
      <w:tr>
        <w:trPr>
          <w:cnfStyle w:val="100000000000" w:firstRow="1" w:lastRow="0" w:firstColumn="0" w:lastColumn="0" w:oddVBand="0" w:evenVBand="0" w:oddHBand="0" w:evenHBand="0" w:firstRowFirstColumn="0" w:firstRowLastColumn="0" w:lastRowFirstColumn="0" w:lastRowLastColumn="0"/>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Source</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Sum of Squares</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df</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Mean Square</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F-value</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p-value</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Block</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39.79</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39.79</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Model</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965.19</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8</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120.65</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31.25</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&lt; 0.0001</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A: Time</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2.35</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2.35</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0.6093</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0.4452</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B: Solid-liquid ratio</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43.11</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43.11</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11.17</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0.0036</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C: Solvent</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866.92</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866.92</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224.56</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&lt; 0.0001</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AB</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0.1922</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0.1922</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0.0498</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0.8259</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AC</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2.77</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2.77</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0.7165</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0.4084</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BC</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16.29</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16.29</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4.22</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0.0548</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A²</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0.0909</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0.0909</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0.0235</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0.8798</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B²</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33.55</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33.55</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8.69</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0.0086</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Residual</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69.49</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18</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3.86</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Lack of Fit</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52.18</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10</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5.22</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2.41</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0.1126</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Pure Error</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17.31</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8</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2.16</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Cor Total</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1074.48</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27</w:t>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w:t>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R²</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0.9328</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Adjusted R²</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0.9030</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r>
      <w:tr>
        <w:trPr/>
        <w:tc>
          <w:tcPr>
            <w:tcW w:w="21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sz w:val="24"/>
                <w:szCs w:val="24"/>
                <w:lang w:val="fr-FR" w:eastAsia="zh-CN" w:bidi="ar-SA"/>
                <w14:ligatures w14:val="none"/>
              </w:rPr>
              <w:t>Predicted R²</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0"/>
                <w:sz w:val="24"/>
                <w:szCs w:val="24"/>
                <w:lang w:val="fr-FR" w:eastAsia="zh-CN" w:bidi="ar-SA"/>
                <w14:ligatures w14:val="none"/>
              </w:rPr>
              <w:t>0.7962</w:t>
            </w:r>
          </w:p>
        </w:tc>
        <w:tc>
          <w:tcPr>
            <w:tcW w:w="99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12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11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c>
          <w:tcPr>
            <w:tcW w:w="1001"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375" w:before="0"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14:ligatures w14:val="none"/>
              </w:rPr>
            </w:pPr>
            <w:r>
              <w:rPr>
                <w:rFonts w:eastAsia="Times New Roman" w:cs="Times New Roman" w:ascii="Times New Roman" w:hAnsi="Times New Roman"/>
                <w:kern w:val="2"/>
                <w:sz w:val="24"/>
                <w:szCs w:val="24"/>
                <w:lang w:val="fr-FR" w:eastAsia="zh-CN" w:bidi="ar-SA"/>
                <w14:ligatures w14:val="none"/>
              </w:rPr>
            </w:r>
          </w:p>
        </w:tc>
      </w:tr>
    </w:tbl>
    <w:p>
      <w:pPr>
        <w:pStyle w:val="Normal"/>
        <w:rPr>
          <w:rFonts w:ascii="Times New Roman" w:hAnsi="Times New Roman" w:cs="Times New Roman"/>
          <w:b/>
          <w:b/>
          <w:bCs/>
          <w:sz w:val="22"/>
          <w:szCs w:val="22"/>
          <w:lang w:val="en-US"/>
        </w:rPr>
      </w:pPr>
      <w:r>
        <w:rPr>
          <w:rFonts w:cs="Times New Roman" w:ascii="Times New Roman" w:hAnsi="Times New Roman"/>
          <w:b/>
          <w:bCs/>
          <w:sz w:val="22"/>
          <w:szCs w:val="22"/>
          <w:lang w:val="en-US"/>
        </w:rPr>
      </w:r>
    </w:p>
    <w:p>
      <w:pPr>
        <w:pStyle w:val="Normal"/>
        <w:spacing w:lineRule="auto" w:line="276" w:before="0" w:after="160"/>
        <w:contextualSpacing/>
        <w:jc w:val="center"/>
        <w:rPr>
          <w:rFonts w:ascii="Times New Roman" w:hAnsi="Times New Roman" w:cs="Times New Roman"/>
          <w:b/>
          <w:b/>
          <w:bCs/>
          <w:sz w:val="22"/>
          <w:szCs w:val="22"/>
          <w:lang w:val="en-US"/>
        </w:rPr>
      </w:pPr>
      <w:r>
        <w:rPr>
          <w:rFonts w:cs="Times New Roman" w:ascii="Times New Roman" w:hAnsi="Times New Roman"/>
          <w:b/>
          <w:bCs/>
          <w:sz w:val="22"/>
          <w:szCs w:val="22"/>
          <w:lang w:val="en-US"/>
        </w:rPr>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The model showed a significant fit to the experimental data, with an R² value of 0.9328, an adjusted R² of 0.9030, and a predicted R² of 0.7962. The lack of fit was not significant, indicating that the model adequately described the experimental response within the investigated domain.</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S2.2. Model equations</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The fitted model equations used for extraction yield prediction are given in Table S3.</w:t>
      </w:r>
    </w:p>
    <w:p>
      <w:pPr>
        <w:pStyle w:val="Normal"/>
        <w:spacing w:lineRule="auto" w:line="276" w:before="0" w:after="160"/>
        <w:contextualSpacing/>
        <w:rPr>
          <w:rFonts w:ascii="Times New Roman" w:hAnsi="Times New Roman" w:cs="Times New Roman"/>
          <w:b/>
          <w:b/>
          <w:bCs/>
          <w:lang w:val="en-GB"/>
        </w:rPr>
      </w:pPr>
      <w:r>
        <w:rPr>
          <w:rFonts w:cs="Times New Roman" w:ascii="Times New Roman" w:hAnsi="Times New Roman"/>
          <w:b/>
          <w:bCs/>
          <w:lang w:val="en-GB"/>
        </w:rPr>
      </w:r>
    </w:p>
    <w:p>
      <w:pPr>
        <w:pStyle w:val="Normal"/>
        <w:spacing w:lineRule="auto" w:line="276" w:before="0" w:after="160"/>
        <w:contextualSpacing/>
        <w:jc w:val="center"/>
        <w:rPr>
          <w:rFonts w:ascii="Times New Roman" w:hAnsi="Times New Roman" w:cs="Times New Roman"/>
          <w:lang w:val="en-US"/>
        </w:rPr>
      </w:pPr>
      <w:r>
        <w:rPr>
          <w:rFonts w:cs="Times New Roman" w:ascii="Times New Roman" w:hAnsi="Times New Roman"/>
          <w:b/>
          <w:bCs/>
          <w:lang w:val="en-US"/>
        </w:rPr>
        <w:t xml:space="preserve">Table S3. </w:t>
      </w:r>
      <w:r>
        <w:rPr>
          <w:rFonts w:cs="Times New Roman" w:ascii="Times New Roman" w:hAnsi="Times New Roman"/>
          <w:lang w:val="en-US"/>
        </w:rPr>
        <w:t>Model equations for extraction yield prediction.</w:t>
      </w:r>
    </w:p>
    <w:p>
      <w:pPr>
        <w:pStyle w:val="Normal"/>
        <w:spacing w:lineRule="auto" w:line="276" w:before="0" w:after="160"/>
        <w:contextualSpacing/>
        <w:jc w:val="center"/>
        <w:rPr>
          <w:rFonts w:ascii="Times New Roman" w:hAnsi="Times New Roman" w:cs="Times New Roman"/>
          <w:lang w:val="en-US"/>
        </w:rPr>
      </w:pPr>
      <w:r>
        <w:rPr>
          <w:rFonts w:cs="Times New Roman" w:ascii="Times New Roman" w:hAnsi="Times New Roman"/>
          <w:lang w:val="en-US"/>
        </w:rPr>
      </w:r>
    </w:p>
    <w:tbl>
      <w:tblPr>
        <w:tblStyle w:val="TableauGrille1Clai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40"/>
        <w:gridCol w:w="8135"/>
      </w:tblGrid>
      <w:tr>
        <w:trPr>
          <w:cnfStyle w:val="100000000000" w:firstRow="1" w:lastRow="0" w:firstColumn="0" w:lastColumn="0" w:oddVBand="0" w:evenVBand="0" w:oddHBand="0" w:evenHBand="0" w:firstRowFirstColumn="0" w:firstRowLastColumn="0" w:lastRowFirstColumn="0" w:lastRowLastColumn="0"/>
        </w:trPr>
        <w:tc>
          <w:tcPr>
            <w:tcW w:w="1640"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rPr>
            </w:pPr>
            <w:r>
              <w:rPr>
                <w:rFonts w:eastAsia="DengXian" w:cs="Times New Roman" w:ascii="Times New Roman" w:hAnsi="Times New Roman"/>
                <w:b/>
                <w:bCs/>
                <w:kern w:val="2"/>
                <w:sz w:val="24"/>
                <w:szCs w:val="24"/>
                <w:lang w:val="fr-FR" w:eastAsia="zh-CN" w:bidi="ar-SA"/>
              </w:rPr>
              <w:t>Equation Type</w:t>
            </w:r>
          </w:p>
        </w:tc>
        <w:tc>
          <w:tcPr>
            <w:tcW w:w="813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eastAsia="DengXian" w:cs="Times New Roman" w:ascii="Times New Roman" w:hAnsi="Times New Roman"/>
                <w:b/>
                <w:bCs/>
                <w:kern w:val="2"/>
                <w:sz w:val="24"/>
                <w:szCs w:val="24"/>
                <w:lang w:val="fr-FR" w:eastAsia="zh-CN" w:bidi="ar-SA"/>
              </w:rPr>
              <w:t>Form</w:t>
            </w:r>
          </w:p>
        </w:tc>
      </w:tr>
      <w:tr>
        <w:trPr/>
        <w:tc>
          <w:tcPr>
            <w:tcW w:w="1640"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b w:val="false"/>
                <w:b w:val="false"/>
                <w:bCs w:val="false"/>
              </w:rPr>
            </w:pPr>
            <w:r>
              <w:rPr>
                <w:rFonts w:eastAsia="DengXian" w:cs="Times New Roman" w:ascii="Times New Roman" w:hAnsi="Times New Roman"/>
                <w:b w:val="false"/>
                <w:bCs w:val="false"/>
                <w:kern w:val="2"/>
                <w:sz w:val="24"/>
                <w:szCs w:val="24"/>
                <w:lang w:val="fr-FR" w:eastAsia="zh-CN" w:bidi="ar-SA"/>
              </w:rPr>
              <w:t>Coded</w:t>
            </w:r>
          </w:p>
        </w:tc>
        <w:tc>
          <w:tcPr>
            <w:tcW w:w="813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eastAsia="DengXian" w:cs="Times New Roman" w:ascii="Times New Roman" w:hAnsi="Times New Roman"/>
                <w:kern w:val="2"/>
                <w:sz w:val="24"/>
                <w:szCs w:val="24"/>
                <w:lang w:val="en-US" w:eastAsia="zh-CN" w:bidi="ar-SA"/>
              </w:rPr>
              <w:t>Yield = 11.04 + 0.3834A + 1.64B + 5.56C – 0.1550AB + 0.4158AC + 1.01BC – 0.0784A² – 1.51B²</w:t>
            </w:r>
          </w:p>
        </w:tc>
      </w:tr>
      <w:tr>
        <w:trPr/>
        <w:tc>
          <w:tcPr>
            <w:tcW w:w="1640"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b w:val="false"/>
                <w:b w:val="false"/>
                <w:bCs w:val="false"/>
              </w:rPr>
            </w:pPr>
            <w:r>
              <w:rPr>
                <w:rFonts w:eastAsia="DengXian" w:cs="Times New Roman" w:ascii="Times New Roman" w:hAnsi="Times New Roman"/>
                <w:b w:val="false"/>
                <w:bCs w:val="false"/>
                <w:kern w:val="2"/>
                <w:sz w:val="24"/>
                <w:szCs w:val="24"/>
                <w:lang w:val="fr-FR" w:eastAsia="zh-CN" w:bidi="ar-SA"/>
              </w:rPr>
              <w:t>Actual (Hexane)</w:t>
            </w:r>
          </w:p>
        </w:tc>
        <w:tc>
          <w:tcPr>
            <w:tcW w:w="813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eastAsia="DengXian" w:cs="Times New Roman" w:ascii="Times New Roman" w:hAnsi="Times New Roman"/>
                <w:kern w:val="2"/>
                <w:sz w:val="24"/>
                <w:szCs w:val="24"/>
                <w:lang w:val="en-US" w:eastAsia="zh-CN" w:bidi="ar-SA"/>
              </w:rPr>
              <w:t>Yield = –10.81480 + 0.128453×Time + 990.82522×Ratio – 2.98077×Time×Ratio – 0.002901×Time² – 15071.875×Ratio²</w:t>
            </w:r>
          </w:p>
        </w:tc>
      </w:tr>
      <w:tr>
        <w:trPr/>
        <w:tc>
          <w:tcPr>
            <w:tcW w:w="1640"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rPr>
                <w:rFonts w:ascii="Times New Roman" w:hAnsi="Times New Roman" w:cs="Times New Roman"/>
                <w:b w:val="false"/>
                <w:b w:val="false"/>
                <w:bCs w:val="false"/>
              </w:rPr>
            </w:pPr>
            <w:r>
              <w:rPr>
                <w:rFonts w:eastAsia="DengXian" w:cs="Times New Roman" w:ascii="Times New Roman" w:hAnsi="Times New Roman"/>
                <w:b w:val="false"/>
                <w:bCs w:val="false"/>
                <w:kern w:val="2"/>
                <w:sz w:val="24"/>
                <w:szCs w:val="24"/>
                <w:lang w:val="fr-FR" w:eastAsia="zh-CN" w:bidi="ar-SA"/>
              </w:rPr>
              <w:t>Actual (EtOH)</w:t>
            </w:r>
          </w:p>
        </w:tc>
        <w:tc>
          <w:tcPr>
            <w:tcW w:w="8135"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uto" w:line="276" w:before="0" w:after="1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eastAsia="DengXian" w:cs="Times New Roman" w:ascii="Times New Roman" w:hAnsi="Times New Roman"/>
                <w:kern w:val="2"/>
                <w:sz w:val="24"/>
                <w:szCs w:val="24"/>
                <w:lang w:val="en-US" w:eastAsia="zh-CN" w:bidi="ar-SA"/>
              </w:rPr>
              <w:t>Yield = –6.98683 + 0.288367×Time + 1192.60087×Ratio – 2.98077×Time×Ratio – 0.002901×Time² – 15071.875×Ratio²</w:t>
            </w:r>
          </w:p>
        </w:tc>
      </w:tr>
    </w:tbl>
    <w:p>
      <w:pPr>
        <w:pStyle w:val="Normal"/>
        <w:spacing w:lineRule="auto" w:line="276" w:before="0" w:after="160"/>
        <w:contextualSpacing/>
        <w:jc w:val="center"/>
        <w:rPr>
          <w:rFonts w:ascii="Times New Roman" w:hAnsi="Times New Roman" w:cs="Times New Roman"/>
          <w:lang w:val="en-US"/>
        </w:rPr>
      </w:pPr>
      <w:r>
        <w:rPr>
          <w:rFonts w:cs="Times New Roman" w:ascii="Times New Roman" w:hAnsi="Times New Roman"/>
          <w:lang w:val="en-US"/>
        </w:rPr>
      </w:r>
    </w:p>
    <w:p>
      <w:pPr>
        <w:pStyle w:val="Normal"/>
        <w:spacing w:lineRule="auto" w:line="360" w:before="0" w:after="160"/>
        <w:contextualSpacing/>
        <w:jc w:val="both"/>
        <w:rPr>
          <w:rFonts w:ascii="Times New Roman" w:hAnsi="Times New Roman" w:cs="Times New Roman"/>
          <w:lang w:val="en-US"/>
        </w:rPr>
      </w:pPr>
      <w:r>
        <w:rPr>
          <w:rFonts w:cs="Times New Roman" w:ascii="Times New Roman" w:hAnsi="Times New Roman"/>
          <w:lang w:val="en-US"/>
        </w:rPr>
        <w:t>Where A = sonication time (coded), B = solid-liquid ratio (coded), C = solvent type (coded: –1 for hexane, +1 for ethanol).</w:t>
      </w:r>
    </w:p>
    <w:p>
      <w:pPr>
        <w:pStyle w:val="Normal"/>
        <w:spacing w:lineRule="auto" w:line="276" w:before="0" w:after="160"/>
        <w:contextualSpacing/>
        <w:rPr>
          <w:rFonts w:ascii="Times New Roman" w:hAnsi="Times New Roman" w:cs="Times New Roman"/>
          <w:b/>
          <w:b/>
          <w:bCs/>
          <w:sz w:val="22"/>
          <w:szCs w:val="22"/>
          <w:lang w:val="en-US"/>
        </w:rPr>
      </w:pPr>
      <w:r>
        <w:rPr>
          <w:rFonts w:cs="Times New Roman" w:ascii="Times New Roman" w:hAnsi="Times New Roman"/>
          <w:b/>
          <w:bCs/>
          <w:sz w:val="22"/>
          <w:szCs w:val="22"/>
          <w:lang w:val="en-US"/>
        </w:rPr>
      </w:r>
    </w:p>
    <w:p>
      <w:pPr>
        <w:pStyle w:val="Style11"/>
        <w:numPr>
          <w:ilvl w:val="0"/>
          <w:numId w:val="5"/>
        </w:numPr>
        <w:rPr/>
      </w:pPr>
      <w:r>
        <w:rPr/>
        <w:t>GC-MS Profiling</w:t>
      </w:r>
    </w:p>
    <w:p>
      <w:pPr>
        <w:pStyle w:val="Subtitle"/>
        <w:rPr>
          <w:lang w:val="en-US"/>
        </w:rPr>
      </w:pPr>
      <w:r>
        <w:rPr>
          <w:lang w:val="en-US"/>
        </w:rPr>
      </w:r>
    </w:p>
    <w:p>
      <w:pPr>
        <w:pStyle w:val="Normal"/>
        <w:spacing w:lineRule="auto" w:line="360"/>
        <w:jc w:val="both"/>
        <w:rPr>
          <w:lang w:val="en-GB"/>
        </w:rPr>
      </w:pPr>
      <w:r>
        <w:rPr>
          <w:rFonts w:cs="Times New Roman" w:ascii="Times New Roman" w:hAnsi="Times New Roman"/>
          <w:lang w:val="en-GB"/>
        </w:rPr>
        <w:t xml:space="preserve">GC-MS analyses were carried out on the ethanolic and hexane extracts obtained from Artemisia absinthium L. to compare their volatile and semi-volatile phytochemical profiles. Representative GC-MS chromatograms of the ethanolic and hexane extracts are shown in </w:t>
      </w:r>
      <w:r>
        <w:rPr>
          <w:rFonts w:cs="Times New Roman" w:ascii="Times New Roman" w:hAnsi="Times New Roman"/>
          <w:b/>
          <w:bCs/>
          <w:lang w:val="en-GB"/>
        </w:rPr>
        <w:t>Figures S1</w:t>
      </w:r>
      <w:r>
        <w:rPr>
          <w:rFonts w:cs="Times New Roman" w:ascii="Times New Roman" w:hAnsi="Times New Roman"/>
          <w:lang w:val="en-GB"/>
        </w:rPr>
        <w:t xml:space="preserve"> and </w:t>
      </w:r>
      <w:r>
        <w:rPr>
          <w:rFonts w:cs="Times New Roman" w:ascii="Times New Roman" w:hAnsi="Times New Roman"/>
          <w:b/>
          <w:bCs/>
          <w:lang w:val="en-GB"/>
        </w:rPr>
        <w:t>S2</w:t>
      </w:r>
      <w:r>
        <w:rPr>
          <w:rFonts w:cs="Times New Roman" w:ascii="Times New Roman" w:hAnsi="Times New Roman"/>
          <w:lang w:val="en-GB"/>
        </w:rPr>
        <w:t xml:space="preserve">, respectively. The complete GC-MS compound reports, including peak lists, retention times, mass spectra, and library matching results, are provided as separate supplementary spectral files: Supplementary File S1A (chromatogram of the ethanolic extract of </w:t>
      </w:r>
      <w:r>
        <w:rPr>
          <w:rFonts w:cs="Times New Roman" w:ascii="Times New Roman" w:hAnsi="Times New Roman"/>
          <w:i/>
          <w:iCs/>
          <w:lang w:val="en-GB"/>
        </w:rPr>
        <w:t>Artemisia absinthium L</w:t>
      </w:r>
      <w:r>
        <w:rPr>
          <w:rFonts w:cs="Times New Roman" w:ascii="Times New Roman" w:hAnsi="Times New Roman"/>
          <w:lang w:val="en-GB"/>
        </w:rPr>
        <w:t xml:space="preserve">.)  and Supplementary File S1B (chromatogram of the hexane extract of </w:t>
      </w:r>
      <w:r>
        <w:rPr>
          <w:rFonts w:cs="Times New Roman" w:ascii="Times New Roman" w:hAnsi="Times New Roman"/>
          <w:i/>
          <w:iCs/>
          <w:lang w:val="en-GB"/>
        </w:rPr>
        <w:t>Artemisia absinthium L</w:t>
      </w:r>
      <w:r>
        <w:rPr>
          <w:rFonts w:cs="Times New Roman" w:ascii="Times New Roman" w:hAnsi="Times New Roman"/>
          <w:lang w:val="en-GB"/>
        </w:rPr>
        <w:t xml:space="preserve">.) </w:t>
      </w:r>
    </w:p>
    <w:p>
      <w:pPr>
        <w:pStyle w:val="Normal"/>
        <w:rPr>
          <w:rFonts w:ascii="Times New Roman" w:hAnsi="Times New Roman" w:cs="Times New Roman"/>
          <w:b/>
          <w:b/>
          <w:bCs/>
          <w:sz w:val="22"/>
          <w:szCs w:val="22"/>
          <w:lang w:val="en-US" w:eastAsia="en-US"/>
        </w:rPr>
      </w:pPr>
      <w:r>
        <w:rPr>
          <w:rFonts w:cs="Times New Roman" w:ascii="Times New Roman" w:hAnsi="Times New Roman"/>
          <w:b/>
          <w:bCs/>
          <w:sz w:val="22"/>
          <w:szCs w:val="22"/>
          <w:lang w:val="en-US" w:eastAsia="en-US"/>
        </w:rPr>
      </w:r>
    </w:p>
    <w:p>
      <w:pPr>
        <w:pStyle w:val="Normal"/>
        <w:rPr>
          <w:rFonts w:ascii="Times New Roman" w:hAnsi="Times New Roman" w:cs="Times New Roman"/>
          <w:b/>
          <w:b/>
          <w:bCs/>
          <w:sz w:val="22"/>
          <w:szCs w:val="22"/>
          <w:lang w:val="en-US" w:eastAsia="en-US"/>
        </w:rPr>
      </w:pPr>
      <w:r>
        <w:rPr>
          <w:rFonts w:cs="Times New Roman" w:ascii="Times New Roman" w:hAnsi="Times New Roman"/>
          <w:b/>
          <w:bCs/>
          <w:sz w:val="22"/>
          <w:szCs w:val="22"/>
          <w:lang w:val="en-US" w:eastAsia="en-US"/>
        </w:rPr>
      </w:r>
    </w:p>
    <w:p>
      <w:pPr>
        <w:pStyle w:val="Normal"/>
        <w:rPr>
          <w:rFonts w:ascii="Times New Roman" w:hAnsi="Times New Roman" w:cs="Times New Roman"/>
          <w:b/>
          <w:b/>
          <w:bCs/>
          <w:sz w:val="22"/>
          <w:szCs w:val="22"/>
          <w:lang w:val="en-US" w:eastAsia="en-US"/>
        </w:rPr>
      </w:pPr>
      <w:r>
        <w:rPr/>
        <w:drawing>
          <wp:inline distT="0" distB="0" distL="0" distR="0">
            <wp:extent cx="5299710" cy="4906010"/>
            <wp:effectExtent l="0" t="0" r="0" b="0"/>
            <wp:docPr id="2"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
                    <pic:cNvPicPr>
                      <a:picLocks noChangeAspect="1" noChangeArrowheads="1"/>
                    </pic:cNvPicPr>
                  </pic:nvPicPr>
                  <pic:blipFill>
                    <a:blip r:embed="rId4"/>
                    <a:stretch>
                      <a:fillRect/>
                    </a:stretch>
                  </pic:blipFill>
                  <pic:spPr bwMode="auto">
                    <a:xfrm>
                      <a:off x="0" y="0"/>
                      <a:ext cx="5299710" cy="4906010"/>
                    </a:xfrm>
                    <a:prstGeom prst="rect">
                      <a:avLst/>
                    </a:prstGeom>
                  </pic:spPr>
                </pic:pic>
              </a:graphicData>
            </a:graphic>
          </wp:inline>
        </w:drawing>
      </w:r>
    </w:p>
    <w:p>
      <w:pPr>
        <w:pStyle w:val="Normal"/>
        <w:spacing w:lineRule="auto" w:line="360" w:before="0" w:after="160"/>
        <w:contextualSpacing/>
        <w:jc w:val="center"/>
        <w:rPr>
          <w:rFonts w:ascii="Times New Roman" w:hAnsi="Times New Roman" w:cs="Times New Roman"/>
          <w:lang w:val="en-GB"/>
        </w:rPr>
      </w:pPr>
      <w:r>
        <w:rPr>
          <w:rFonts w:cs="Times New Roman" w:ascii="Times New Roman" w:hAnsi="Times New Roman"/>
          <w:b/>
          <w:bCs/>
          <w:lang w:val="en-GB"/>
        </w:rPr>
        <w:t xml:space="preserve">Figure S1. </w:t>
      </w:r>
      <w:r>
        <w:rPr>
          <w:rFonts w:cs="Times New Roman" w:ascii="Times New Roman" w:hAnsi="Times New Roman"/>
          <w:lang w:val="en-GB"/>
        </w:rPr>
        <w:t xml:space="preserve">GC-MS chromatogram of the ethanolic extract of </w:t>
      </w:r>
      <w:r>
        <w:rPr>
          <w:rFonts w:cs="Times New Roman" w:ascii="Times New Roman" w:hAnsi="Times New Roman"/>
          <w:i/>
          <w:iCs/>
          <w:lang w:val="en-GB"/>
        </w:rPr>
        <w:t>Artemisia absinthium</w:t>
      </w:r>
      <w:r>
        <w:rPr>
          <w:rFonts w:cs="Times New Roman" w:ascii="Times New Roman" w:hAnsi="Times New Roman"/>
          <w:lang w:val="en-GB"/>
        </w:rPr>
        <w:t xml:space="preserve"> L</w:t>
      </w:r>
    </w:p>
    <w:p>
      <w:pPr>
        <w:pStyle w:val="Normal"/>
        <w:spacing w:lineRule="auto" w:line="360" w:before="0" w:after="160"/>
        <w:contextualSpacing/>
        <w:jc w:val="center"/>
        <w:rPr>
          <w:rFonts w:ascii="Times New Roman" w:hAnsi="Times New Roman" w:cs="Times New Roman"/>
          <w:lang w:val="en-GB"/>
        </w:rPr>
      </w:pPr>
      <w:r>
        <w:rPr>
          <w:rFonts w:cs="Times New Roman" w:ascii="Times New Roman" w:hAnsi="Times New Roman"/>
          <w:lang w:val="en-GB"/>
        </w:rPr>
      </w:r>
    </w:p>
    <w:p>
      <w:pPr>
        <w:pStyle w:val="Normal"/>
        <w:spacing w:lineRule="auto" w:line="360" w:before="0" w:after="160"/>
        <w:contextualSpacing/>
        <w:jc w:val="center"/>
        <w:rPr>
          <w:rFonts w:ascii="Times New Roman" w:hAnsi="Times New Roman" w:cs="Times New Roman"/>
          <w:lang w:val="en-GB"/>
        </w:rPr>
      </w:pPr>
      <w:r>
        <w:rPr/>
        <w:drawing>
          <wp:inline distT="0" distB="0" distL="0" distR="0">
            <wp:extent cx="5760720" cy="5402580"/>
            <wp:effectExtent l="0" t="0" r="0" b="0"/>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5"/>
                    <a:stretch>
                      <a:fillRect/>
                    </a:stretch>
                  </pic:blipFill>
                  <pic:spPr bwMode="auto">
                    <a:xfrm>
                      <a:off x="0" y="0"/>
                      <a:ext cx="5760720" cy="5402580"/>
                    </a:xfrm>
                    <a:prstGeom prst="rect">
                      <a:avLst/>
                    </a:prstGeom>
                  </pic:spPr>
                </pic:pic>
              </a:graphicData>
            </a:graphic>
          </wp:inline>
        </w:drawing>
      </w:r>
    </w:p>
    <w:p>
      <w:pPr>
        <w:pStyle w:val="Normal"/>
        <w:spacing w:lineRule="auto" w:line="360" w:before="0" w:after="160"/>
        <w:contextualSpacing/>
        <w:jc w:val="center"/>
        <w:rPr>
          <w:rFonts w:ascii="Times New Roman" w:hAnsi="Times New Roman" w:cs="Times New Roman"/>
          <w:lang w:val="en-GB"/>
        </w:rPr>
      </w:pPr>
      <w:r>
        <w:rPr>
          <w:rFonts w:cs="Times New Roman" w:ascii="Times New Roman" w:hAnsi="Times New Roman"/>
          <w:b/>
          <w:bCs/>
          <w:lang w:val="en-GB"/>
        </w:rPr>
        <w:t xml:space="preserve">Figure S2. </w:t>
      </w:r>
      <w:r>
        <w:rPr>
          <w:rFonts w:cs="Times New Roman" w:ascii="Times New Roman" w:hAnsi="Times New Roman"/>
          <w:lang w:val="en-GB"/>
        </w:rPr>
        <w:t xml:space="preserve">GC-MS chromatogram of the hexane extract of </w:t>
      </w:r>
      <w:r>
        <w:rPr>
          <w:rFonts w:cs="Times New Roman" w:ascii="Times New Roman" w:hAnsi="Times New Roman"/>
          <w:i/>
          <w:iCs/>
          <w:lang w:val="en-GB"/>
        </w:rPr>
        <w:t>Artemisia absinthium</w:t>
      </w:r>
      <w:r>
        <w:rPr>
          <w:rFonts w:cs="Times New Roman" w:ascii="Times New Roman" w:hAnsi="Times New Roman"/>
          <w:lang w:val="en-GB"/>
        </w:rPr>
        <w:t xml:space="preserve"> L</w:t>
      </w:r>
    </w:p>
    <w:p>
      <w:pPr>
        <w:pStyle w:val="Normal"/>
        <w:rPr>
          <w:rFonts w:ascii="Times New Roman" w:hAnsi="Times New Roman" w:cs="Times New Roman"/>
          <w:b/>
          <w:b/>
          <w:bCs/>
          <w:sz w:val="22"/>
          <w:szCs w:val="22"/>
          <w:lang w:val="en-GB" w:eastAsia="en-US"/>
        </w:rPr>
      </w:pPr>
      <w:r>
        <w:rPr>
          <w:rFonts w:cs="Times New Roman" w:ascii="Times New Roman" w:hAnsi="Times New Roman"/>
          <w:b/>
          <w:bCs/>
          <w:sz w:val="22"/>
          <w:szCs w:val="22"/>
          <w:lang w:val="en-GB" w:eastAsia="en-US"/>
        </w:rPr>
      </w:r>
    </w:p>
    <w:p>
      <w:pPr>
        <w:pStyle w:val="Normal"/>
        <w:rPr>
          <w:rFonts w:ascii="Times New Roman" w:hAnsi="Times New Roman" w:cs="Times New Roman"/>
          <w:b/>
          <w:b/>
          <w:bCs/>
          <w:sz w:val="22"/>
          <w:szCs w:val="22"/>
          <w:lang w:val="en-US" w:eastAsia="en-US"/>
        </w:rPr>
      </w:pPr>
      <w:r>
        <w:rPr>
          <w:rFonts w:cs="Times New Roman" w:ascii="Times New Roman" w:hAnsi="Times New Roman"/>
          <w:b/>
          <w:bCs/>
          <w:sz w:val="22"/>
          <w:szCs w:val="22"/>
          <w:lang w:val="en-US" w:eastAsia="en-US"/>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4. LC-MS profiling</w:t>
      </w:r>
    </w:p>
    <w:p>
      <w:pPr>
        <w:pStyle w:val="Normal"/>
        <w:rPr>
          <w:rFonts w:ascii="Times New Roman" w:hAnsi="Times New Roman" w:cs="Times New Roman"/>
          <w:b/>
          <w:b/>
          <w:bCs/>
          <w:sz w:val="22"/>
          <w:szCs w:val="22"/>
          <w:lang w:val="en-GB"/>
        </w:rPr>
      </w:pPr>
      <w:r>
        <w:rPr>
          <w:rFonts w:cs="Times New Roman" w:ascii="Times New Roman" w:hAnsi="Times New Roman"/>
          <w:b/>
          <w:bCs/>
          <w:sz w:val="22"/>
          <w:szCs w:val="22"/>
          <w:lang w:val="en-GB"/>
        </w:rPr>
      </w:r>
    </w:p>
    <w:p>
      <w:pPr>
        <w:pStyle w:val="Subtitle"/>
        <w:spacing w:lineRule="auto" w:line="360"/>
        <w:jc w:val="both"/>
        <w:rPr>
          <w:rFonts w:ascii="Times New Roman" w:hAnsi="Times New Roman" w:eastAsia="等线" w:cs="Times New Roman" w:eastAsiaTheme="minorEastAsia"/>
          <w:color w:val="auto"/>
          <w:spacing w:val="0"/>
          <w:sz w:val="24"/>
          <w:szCs w:val="24"/>
          <w:lang w:val="en-GB"/>
        </w:rPr>
      </w:pPr>
      <w:r>
        <w:rPr>
          <w:rFonts w:eastAsia="等线" w:cs="Times New Roman" w:ascii="Times New Roman" w:hAnsi="Times New Roman" w:eastAsiaTheme="minorEastAsia"/>
          <w:color w:val="auto"/>
          <w:spacing w:val="0"/>
          <w:sz w:val="24"/>
          <w:szCs w:val="24"/>
          <w:lang w:val="en-GB"/>
        </w:rPr>
        <w:t xml:space="preserve">LC-MS profiling was performed on the ethanolic and hexane extracts of </w:t>
      </w:r>
      <w:r>
        <w:rPr>
          <w:rFonts w:eastAsia="等线" w:cs="Times New Roman" w:ascii="Times New Roman" w:hAnsi="Times New Roman" w:eastAsiaTheme="minorEastAsia"/>
          <w:i/>
          <w:iCs/>
          <w:color w:val="auto"/>
          <w:spacing w:val="0"/>
          <w:sz w:val="24"/>
          <w:szCs w:val="24"/>
          <w:lang w:val="en-GB"/>
        </w:rPr>
        <w:t>Artemisia absinthium</w:t>
      </w:r>
      <w:r>
        <w:rPr>
          <w:rFonts w:eastAsia="等线" w:cs="Times New Roman" w:ascii="Times New Roman" w:hAnsi="Times New Roman" w:eastAsiaTheme="minorEastAsia"/>
          <w:color w:val="auto"/>
          <w:spacing w:val="0"/>
          <w:sz w:val="24"/>
          <w:szCs w:val="24"/>
          <w:lang w:val="en-GB"/>
        </w:rPr>
        <w:t xml:space="preserve"> L. to support the dereplication of major non-volatile metabolites. Data were acquired in both positive and negative ionization modes. Tentative metabolite assignments were based on retention behaviour, MS signals, and comparison with literature data and peer-reviewed phytochemical databases. The complete LC-MS compound reports, including retention times, detected ions, mass spectra, and tentative metabolite annotations, are provided as separate supplementary spectral files: Supplementary File S2A (report of the ethanolic extract of </w:t>
      </w:r>
      <w:r>
        <w:rPr>
          <w:rFonts w:eastAsia="等线" w:cs="Times New Roman" w:ascii="Times New Roman" w:hAnsi="Times New Roman" w:eastAsiaTheme="minorEastAsia"/>
          <w:i/>
          <w:iCs/>
          <w:color w:val="auto"/>
          <w:spacing w:val="0"/>
          <w:sz w:val="24"/>
          <w:szCs w:val="24"/>
          <w:lang w:val="en-GB"/>
        </w:rPr>
        <w:t>Artemisia absinthium</w:t>
      </w:r>
      <w:r>
        <w:rPr>
          <w:rFonts w:eastAsia="等线" w:cs="Times New Roman" w:ascii="Times New Roman" w:hAnsi="Times New Roman" w:eastAsiaTheme="minorEastAsia"/>
          <w:color w:val="auto"/>
          <w:spacing w:val="0"/>
          <w:sz w:val="24"/>
          <w:szCs w:val="24"/>
          <w:lang w:val="en-GB"/>
        </w:rPr>
        <w:t xml:space="preserve"> L) and Supplementary File S2B (report of the hexane extract of </w:t>
      </w:r>
      <w:r>
        <w:rPr>
          <w:rFonts w:eastAsia="等线" w:cs="Times New Roman" w:ascii="Times New Roman" w:hAnsi="Times New Roman" w:eastAsiaTheme="minorEastAsia"/>
          <w:i/>
          <w:iCs/>
          <w:color w:val="auto"/>
          <w:spacing w:val="0"/>
          <w:sz w:val="24"/>
          <w:szCs w:val="24"/>
          <w:lang w:val="en-GB"/>
        </w:rPr>
        <w:t>Artemisia absinthium</w:t>
      </w:r>
      <w:r>
        <w:rPr>
          <w:rFonts w:eastAsia="等线" w:cs="Times New Roman" w:ascii="Times New Roman" w:hAnsi="Times New Roman" w:eastAsiaTheme="minorEastAsia"/>
          <w:color w:val="auto"/>
          <w:spacing w:val="0"/>
          <w:sz w:val="24"/>
          <w:szCs w:val="24"/>
          <w:lang w:val="en-GB"/>
        </w:rPr>
        <w:t xml:space="preserve"> L). </w:t>
      </w:r>
    </w:p>
    <w:p>
      <w:pPr>
        <w:pStyle w:val="Normal"/>
        <w:spacing w:lineRule="auto" w:line="276" w:before="0" w:after="160"/>
        <w:contextualSpacing/>
        <w:rPr>
          <w:rFonts w:ascii="Times New Roman" w:hAnsi="Times New Roman" w:cs="Times New Roman"/>
          <w:b/>
          <w:b/>
          <w:bCs/>
          <w:sz w:val="22"/>
          <w:szCs w:val="22"/>
          <w:lang w:val="en-US"/>
        </w:rPr>
      </w:pPr>
      <w:r>
        <w:rPr>
          <w:rFonts w:cs="Times New Roman" w:ascii="Times New Roman" w:hAnsi="Times New Roman"/>
          <w:b/>
          <w:bCs/>
          <w:sz w:val="22"/>
          <w:szCs w:val="22"/>
          <w:lang w:val="en-US"/>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5. Cleanup, preparative purification, and LC-MS-based identification of absinthin and anabsinthin</w:t>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S5.1. Cleanup of the optimized ethanolic extract</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The ethanolic extract obtained under the optimized ultrasound-assisted extraction conditions was selected for targeted purification. After solvent evaporation under reduced pressure at 40 °C, the crude residue was dissolved in ethyl acetate and washed twice with brine to remove highly polar impurities. The organic phase was recovered and subjected to a QuEChERS-based dispersive solid-phase extraction cleanup.</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Anhydrous MgSO₄ and a silica-based sorbent mixture composed of PSA/C18 were added to the organic phase. The mixture was vortexed for 1 min and centrifuged at 3000 rpm and 10 °C for 10 min. The clarified supernatant was collected, filtered, and concentrated under reduced pressure at 40 °C to afford the cleaned extract used for preparative HPLC fractionation.</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r>
    </w:p>
    <w:p>
      <w:pPr>
        <w:pStyle w:val="Normal"/>
        <w:spacing w:lineRule="auto" w:line="360" w:before="0" w:after="160"/>
        <w:contextualSpacing/>
        <w:jc w:val="both"/>
        <w:rPr>
          <w:rFonts w:ascii="Times New Roman" w:hAnsi="Times New Roman" w:cs="Times New Roman"/>
          <w:b/>
          <w:b/>
          <w:bCs/>
          <w:lang w:val="en-GB"/>
        </w:rPr>
      </w:pPr>
      <w:r>
        <w:rPr>
          <w:rFonts w:cs="Times New Roman" w:ascii="Times New Roman" w:hAnsi="Times New Roman"/>
          <w:b/>
          <w:bCs/>
          <w:lang w:val="en-GB"/>
        </w:rPr>
        <w:t>S5.2. Preparative HPLC fractionation</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Preparative fractionation of the cleaned ethanolic extract was performed using a BÜCHI Pure system operated in preparative HPLC mode and equipped with a C18 column. The mobile phase consisted of water and acetonitrile, both containing 0.1% formic acid. Elution was performed using a water/acetonitrile gradient. Fractions were monitored by UV and ELSD detection, and major peaks were automatically collected.</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t>Collected fractions were concentrated under reduced pressure, dried, and analysed by LC-MS. Fractions showing LC-MS features consistent with absinthin- and anabsinthin-related sesquiterpene lactones were selected for further dereplication and characterization.</w:t>
      </w:r>
    </w:p>
    <w:p>
      <w:pPr>
        <w:pStyle w:val="Normal"/>
        <w:spacing w:lineRule="auto" w:line="360" w:before="0" w:after="160"/>
        <w:contextualSpacing/>
        <w:jc w:val="both"/>
        <w:rPr>
          <w:rFonts w:ascii="Times New Roman" w:hAnsi="Times New Roman" w:cs="Times New Roman"/>
          <w:lang w:val="en-GB"/>
        </w:rPr>
      </w:pPr>
      <w:r>
        <w:rPr/>
        <w:drawing>
          <wp:inline distT="0" distB="0" distL="0" distR="0">
            <wp:extent cx="5760720" cy="2904490"/>
            <wp:effectExtent l="0" t="0" r="0" b="0"/>
            <wp:docPr id="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descr=""/>
                    <pic:cNvPicPr>
                      <a:picLocks noChangeAspect="1" noChangeArrowheads="1"/>
                    </pic:cNvPicPr>
                  </pic:nvPicPr>
                  <pic:blipFill>
                    <a:blip r:embed="rId6"/>
                    <a:stretch>
                      <a:fillRect/>
                    </a:stretch>
                  </pic:blipFill>
                  <pic:spPr bwMode="auto">
                    <a:xfrm>
                      <a:off x="0" y="0"/>
                      <a:ext cx="5760720" cy="2904490"/>
                    </a:xfrm>
                    <a:prstGeom prst="rect">
                      <a:avLst/>
                    </a:prstGeom>
                  </pic:spPr>
                </pic:pic>
              </a:graphicData>
            </a:graphic>
          </wp:inline>
        </w:drawing>
      </w:r>
    </w:p>
    <w:p>
      <w:pPr>
        <w:pStyle w:val="Normal"/>
        <w:spacing w:lineRule="auto" w:line="360" w:before="0" w:after="160"/>
        <w:contextualSpacing/>
        <w:jc w:val="center"/>
        <w:rPr>
          <w:rFonts w:ascii="Times New Roman" w:hAnsi="Times New Roman" w:cs="Times New Roman"/>
          <w:b/>
          <w:b/>
          <w:bCs/>
          <w:lang w:val="en-GB"/>
        </w:rPr>
      </w:pPr>
      <w:r>
        <w:rPr>
          <w:rFonts w:cs="Times New Roman" w:ascii="Times New Roman" w:hAnsi="Times New Roman"/>
          <w:b/>
          <w:bCs/>
          <w:lang w:val="en-GB"/>
        </w:rPr>
        <w:t xml:space="preserve">Figure S5. </w:t>
      </w:r>
      <w:r>
        <w:rPr>
          <w:rFonts w:cs="Times New Roman" w:ascii="Times New Roman" w:hAnsi="Times New Roman"/>
          <w:lang w:val="en-GB"/>
        </w:rPr>
        <w:t xml:space="preserve"> Chromatogram of the cleaned ethanolic extract of </w:t>
      </w:r>
      <w:r>
        <w:rPr>
          <w:rFonts w:cs="Times New Roman" w:ascii="Times New Roman" w:hAnsi="Times New Roman"/>
          <w:i/>
          <w:iCs/>
          <w:lang w:val="en-GB"/>
        </w:rPr>
        <w:t>Artemisia absinthium</w:t>
      </w:r>
      <w:r>
        <w:rPr>
          <w:rFonts w:cs="Times New Roman" w:ascii="Times New Roman" w:hAnsi="Times New Roman"/>
          <w:lang w:val="en-GB"/>
        </w:rPr>
        <w:t xml:space="preserve"> L</w:t>
      </w:r>
    </w:p>
    <w:p>
      <w:pPr>
        <w:pStyle w:val="Normal"/>
        <w:spacing w:lineRule="auto" w:line="360" w:before="0" w:after="160"/>
        <w:contextualSpacing/>
        <w:jc w:val="center"/>
        <w:rPr>
          <w:rFonts w:ascii="Times New Roman" w:hAnsi="Times New Roman" w:cs="Times New Roman"/>
          <w:lang w:val="en-GB"/>
        </w:rPr>
      </w:pPr>
      <w:r>
        <w:rPr/>
        <w:drawing>
          <wp:inline distT="0" distB="0" distL="0" distR="0">
            <wp:extent cx="5760720" cy="3180715"/>
            <wp:effectExtent l="0" t="0" r="0" b="0"/>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7"/>
                    <a:stretch>
                      <a:fillRect/>
                    </a:stretch>
                  </pic:blipFill>
                  <pic:spPr bwMode="auto">
                    <a:xfrm>
                      <a:off x="0" y="0"/>
                      <a:ext cx="5760720" cy="3180715"/>
                    </a:xfrm>
                    <a:prstGeom prst="rect">
                      <a:avLst/>
                    </a:prstGeom>
                  </pic:spPr>
                </pic:pic>
              </a:graphicData>
            </a:graphic>
          </wp:inline>
        </w:drawing>
      </w:r>
    </w:p>
    <w:p>
      <w:pPr>
        <w:pStyle w:val="Normal"/>
        <w:spacing w:lineRule="auto" w:line="360" w:before="0" w:after="160"/>
        <w:contextualSpacing/>
        <w:jc w:val="center"/>
        <w:rPr>
          <w:rFonts w:ascii="Times New Roman" w:hAnsi="Times New Roman" w:cs="Times New Roman"/>
          <w:lang w:val="en-GB"/>
        </w:rPr>
      </w:pPr>
      <w:r>
        <w:rPr>
          <w:rFonts w:cs="Times New Roman" w:ascii="Times New Roman" w:hAnsi="Times New Roman"/>
          <w:b/>
          <w:bCs/>
          <w:lang w:val="en-GB"/>
        </w:rPr>
        <w:t xml:space="preserve">Figure S6. </w:t>
      </w:r>
      <w:r>
        <w:rPr>
          <w:rFonts w:cs="Times New Roman" w:ascii="Times New Roman" w:hAnsi="Times New Roman"/>
          <w:lang w:val="en-GB"/>
        </w:rPr>
        <w:t xml:space="preserve">Chromatogram of the purified fraction obtained from the cleaned ethanolic extract of </w:t>
      </w:r>
      <w:r>
        <w:rPr>
          <w:rFonts w:cs="Times New Roman" w:ascii="Times New Roman" w:hAnsi="Times New Roman"/>
          <w:i/>
          <w:iCs/>
          <w:lang w:val="en-GB"/>
        </w:rPr>
        <w:t>Artemisia absinthium</w:t>
      </w:r>
      <w:r>
        <w:rPr>
          <w:rFonts w:cs="Times New Roman" w:ascii="Times New Roman" w:hAnsi="Times New Roman"/>
          <w:lang w:val="en-GB"/>
        </w:rPr>
        <w:t xml:space="preserve"> L</w:t>
      </w:r>
    </w:p>
    <w:p>
      <w:pPr>
        <w:pStyle w:val="Normal"/>
        <w:spacing w:lineRule="auto" w:line="360" w:before="0" w:after="160"/>
        <w:contextualSpacing/>
        <w:jc w:val="center"/>
        <w:rPr>
          <w:rFonts w:ascii="Times New Roman" w:hAnsi="Times New Roman" w:cs="Times New Roman"/>
          <w:b/>
          <w:b/>
          <w:bCs/>
          <w:lang w:val="en-GB"/>
        </w:rPr>
      </w:pPr>
      <w:r>
        <w:rPr>
          <w:rFonts w:cs="Times New Roman" w:ascii="Times New Roman" w:hAnsi="Times New Roman"/>
          <w:b/>
          <w:bCs/>
          <w:lang w:val="en-GB"/>
        </w:rPr>
      </w:r>
    </w:p>
    <w:p>
      <w:pPr>
        <w:pStyle w:val="Normal"/>
        <w:spacing w:lineRule="auto" w:line="360" w:before="0" w:after="160"/>
        <w:contextualSpacing/>
        <w:jc w:val="both"/>
        <w:rPr>
          <w:rFonts w:ascii="Times New Roman" w:hAnsi="Times New Roman" w:cs="Times New Roman"/>
          <w:lang w:val="en-GB"/>
        </w:rPr>
      </w:pPr>
      <w:r>
        <w:rPr/>
        <w:drawing>
          <wp:inline distT="0" distB="0" distL="0" distR="0">
            <wp:extent cx="5760720" cy="4075430"/>
            <wp:effectExtent l="0" t="0" r="0" b="0"/>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8"/>
                    <a:stretch>
                      <a:fillRect/>
                    </a:stretch>
                  </pic:blipFill>
                  <pic:spPr bwMode="auto">
                    <a:xfrm>
                      <a:off x="0" y="0"/>
                      <a:ext cx="5760720" cy="4075430"/>
                    </a:xfrm>
                    <a:prstGeom prst="rect">
                      <a:avLst/>
                    </a:prstGeom>
                  </pic:spPr>
                </pic:pic>
              </a:graphicData>
            </a:graphic>
          </wp:inline>
        </w:drawing>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b/>
          <w:bCs/>
          <w:lang w:val="en-GB"/>
        </w:rPr>
        <w:t xml:space="preserve">Figure S7. </w:t>
      </w:r>
      <w:r>
        <w:rPr>
          <w:rFonts w:cs="Times New Roman" w:ascii="Times New Roman" w:hAnsi="Times New Roman"/>
          <w:lang w:val="en-GB"/>
        </w:rPr>
        <w:t>LC-MS report of the purified fraction obtained after the second purification round</w:t>
      </w:r>
    </w:p>
    <w:p>
      <w:pPr>
        <w:pStyle w:val="Normal"/>
        <w:spacing w:lineRule="auto" w:line="360" w:before="0" w:after="160"/>
        <w:contextualSpacing/>
        <w:jc w:val="both"/>
        <w:rPr>
          <w:rFonts w:ascii="Times New Roman" w:hAnsi="Times New Roman" w:cs="Times New Roman"/>
          <w:lang w:val="en-GB"/>
        </w:rPr>
      </w:pPr>
      <w:r>
        <w:rPr>
          <w:rFonts w:cs="Times New Roman" w:ascii="Times New Roman" w:hAnsi="Times New Roman"/>
          <w:lang w:val="en-GB"/>
        </w:rPr>
      </w:r>
    </w:p>
    <w:p>
      <w:pPr>
        <w:pStyle w:val="Normal"/>
        <w:rPr>
          <w:lang w:val="en-US"/>
        </w:rPr>
      </w:pPr>
      <w:r>
        <w:rPr>
          <w:lang w:val="en-US"/>
        </w:rPr>
      </w:r>
    </w:p>
    <w:p>
      <w:pPr>
        <w:pStyle w:val="Normal"/>
        <w:rPr>
          <w:lang w:val="en-US"/>
        </w:rPr>
      </w:pPr>
      <w:r>
        <w:rPr>
          <w:lang w:val="en-US"/>
        </w:rPr>
      </w:r>
    </w:p>
    <w:p>
      <w:pPr>
        <w:pStyle w:val="Normal"/>
        <w:rPr>
          <w:lang w:val="en-US"/>
        </w:rPr>
      </w:pPr>
      <w:r>
        <w:rPr/>
      </w:r>
    </w:p>
    <w:sectPr>
      <w:footerReference w:type="default" r:id="rId9"/>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Times New Roman">
    <w:charset w:val="01"/>
    <w:family w:val="roman"/>
    <w:pitch w:val="variable"/>
  </w:font>
  <w:font w:name="Aptos Display">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39314711"/>
    </w:sdtPr>
    <w:sdtContent>
      <w:p>
        <w:pPr>
          <w:pStyle w:val="Footer"/>
          <w:jc w:val="right"/>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2"/>
    <w:lvlOverride w:ilvl="0">
      <w:startOverride w:val="1"/>
    </w:lvlOverride>
  </w:num>
  <w:num w:numId="5">
    <w:abstractNumId w:val="2"/>
  </w:num>
</w:numbering>
</file>

<file path=word/settings.xml><?xml version="1.0" encoding="utf-8"?>
<w:settings xmlns:w="http://schemas.openxmlformats.org/wordprocessingml/2006/main">
  <w:zoom w:percent="19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等线" w:cs="" w:asciiTheme="minorHAnsi" w:cstheme="minorBidi" w:eastAsiaTheme="minorEastAsia" w:hAnsiTheme="minorHAnsi"/>
        <w:kern w:val="2"/>
        <w:sz w:val="24"/>
        <w:szCs w:val="24"/>
        <w:lang w:val="fr-FR" w:eastAsia="zh-CN"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24cd"/>
    <w:pPr>
      <w:widowControl/>
      <w:suppressAutoHyphens w:val="true"/>
      <w:bidi w:val="0"/>
      <w:spacing w:before="0" w:after="0"/>
      <w:contextualSpacing/>
      <w:jc w:val="left"/>
    </w:pPr>
    <w:rPr>
      <w:rFonts w:ascii="Aptos" w:hAnsi="Aptos" w:eastAsia="等线" w:cs="" w:asciiTheme="minorHAnsi" w:cstheme="minorBidi" w:eastAsiaTheme="minorEastAsia" w:hAnsiTheme="minorHAnsi"/>
      <w:color w:val="auto"/>
      <w:kern w:val="2"/>
      <w:sz w:val="24"/>
      <w:szCs w:val="24"/>
      <w:lang w:val="fr-FR" w:eastAsia="zh-CN" w:bidi="ar-SA"/>
      <w14:ligatures w14:val="standardContextual"/>
    </w:rPr>
  </w:style>
  <w:style w:type="paragraph" w:styleId="Heading1">
    <w:name w:val="Heading 1"/>
    <w:basedOn w:val="Normal"/>
    <w:next w:val="Normal"/>
    <w:link w:val="Titre1Car"/>
    <w:uiPriority w:val="9"/>
    <w:qFormat/>
    <w:rsid w:val="00b2001c"/>
    <w:pPr>
      <w:keepNext w:val="true"/>
      <w:keepLines/>
      <w:spacing w:before="360" w:after="80"/>
      <w:contextualSpacing/>
      <w:outlineLvl w:val="0"/>
    </w:pPr>
    <w:rPr>
      <w:rFonts w:ascii="Times New Roman" w:hAnsi="Times New Roman" w:eastAsia="等线 Light" w:cs="" w:cstheme="majorBidi" w:eastAsiaTheme="majorEastAsia"/>
      <w:b/>
      <w:color w:val="000000" w:themeColor="text1"/>
      <w:szCs w:val="40"/>
    </w:rPr>
  </w:style>
  <w:style w:type="paragraph" w:styleId="Heading2">
    <w:name w:val="Heading 2"/>
    <w:basedOn w:val="Normal"/>
    <w:next w:val="Normal"/>
    <w:link w:val="Titre2Car"/>
    <w:uiPriority w:val="9"/>
    <w:semiHidden/>
    <w:unhideWhenUsed/>
    <w:qFormat/>
    <w:rsid w:val="00a9784f"/>
    <w:pPr>
      <w:keepNext w:val="true"/>
      <w:keepLines/>
      <w:spacing w:before="160" w:after="80"/>
      <w:contextualSpacing/>
      <w:outlineLvl w:val="1"/>
    </w:pPr>
    <w:rPr>
      <w:rFonts w:ascii="Aptos Display" w:hAnsi="Aptos Display" w:eastAsia="等线 Light" w:cs="" w:asciiTheme="majorHAnsi" w:cstheme="majorBidi" w:eastAsiaTheme="majorEastAsia" w:hAnsiTheme="majorHAnsi"/>
      <w:color w:val="0F4761" w:themeColor="accent1" w:themeShade="bf"/>
      <w:sz w:val="32"/>
      <w:szCs w:val="32"/>
    </w:rPr>
  </w:style>
  <w:style w:type="paragraph" w:styleId="Heading3">
    <w:name w:val="Heading 3"/>
    <w:basedOn w:val="Normal"/>
    <w:next w:val="Normal"/>
    <w:link w:val="Titre3Car"/>
    <w:uiPriority w:val="9"/>
    <w:semiHidden/>
    <w:unhideWhenUsed/>
    <w:qFormat/>
    <w:rsid w:val="00a9784f"/>
    <w:pPr>
      <w:keepNext w:val="true"/>
      <w:keepLines/>
      <w:spacing w:before="160" w:after="80"/>
      <w:contextualSpacing/>
      <w:outlineLvl w:val="2"/>
    </w:pPr>
    <w:rPr>
      <w:rFonts w:eastAsia="等线 Light" w:cs="" w:cstheme="majorBidi" w:eastAsiaTheme="majorEastAsia"/>
      <w:color w:val="0F4761" w:themeColor="accent1" w:themeShade="bf"/>
      <w:sz w:val="28"/>
      <w:szCs w:val="28"/>
    </w:rPr>
  </w:style>
  <w:style w:type="paragraph" w:styleId="Heading4">
    <w:name w:val="Heading 4"/>
    <w:basedOn w:val="Normal"/>
    <w:next w:val="Normal"/>
    <w:link w:val="Titre4Car"/>
    <w:uiPriority w:val="9"/>
    <w:semiHidden/>
    <w:unhideWhenUsed/>
    <w:qFormat/>
    <w:rsid w:val="00a9784f"/>
    <w:pPr>
      <w:keepNext w:val="true"/>
      <w:keepLines/>
      <w:spacing w:before="80" w:after="40"/>
      <w:contextualSpacing/>
      <w:outlineLvl w:val="3"/>
    </w:pPr>
    <w:rPr>
      <w:rFonts w:eastAsia="等线 Light" w:cs="" w:cstheme="majorBidi" w:eastAsiaTheme="majorEastAsia"/>
      <w:i/>
      <w:iCs/>
      <w:color w:val="0F4761" w:themeColor="accent1" w:themeShade="bf"/>
    </w:rPr>
  </w:style>
  <w:style w:type="paragraph" w:styleId="Heading5">
    <w:name w:val="Heading 5"/>
    <w:basedOn w:val="Normal"/>
    <w:next w:val="Normal"/>
    <w:link w:val="Titre5Car"/>
    <w:uiPriority w:val="9"/>
    <w:semiHidden/>
    <w:unhideWhenUsed/>
    <w:qFormat/>
    <w:rsid w:val="00a9784f"/>
    <w:pPr>
      <w:keepNext w:val="true"/>
      <w:keepLines/>
      <w:spacing w:before="80" w:after="40"/>
      <w:contextualSpacing/>
      <w:outlineLvl w:val="4"/>
    </w:pPr>
    <w:rPr>
      <w:rFonts w:eastAsia="等线 Light" w:cs="" w:cstheme="majorBidi" w:eastAsiaTheme="majorEastAsia"/>
      <w:color w:val="0F4761" w:themeColor="accent1" w:themeShade="bf"/>
    </w:rPr>
  </w:style>
  <w:style w:type="paragraph" w:styleId="Heading6">
    <w:name w:val="Heading 6"/>
    <w:basedOn w:val="Normal"/>
    <w:next w:val="Normal"/>
    <w:link w:val="Titre6Car"/>
    <w:uiPriority w:val="9"/>
    <w:semiHidden/>
    <w:unhideWhenUsed/>
    <w:qFormat/>
    <w:rsid w:val="00a9784f"/>
    <w:pPr>
      <w:keepNext w:val="true"/>
      <w:keepLines/>
      <w:spacing w:before="40" w:after="0"/>
      <w:contextualSpacing/>
      <w:outlineLvl w:val="5"/>
    </w:pPr>
    <w:rPr>
      <w:rFonts w:eastAsia="等线 Light" w:cs="" w:cstheme="majorBidi" w:eastAsiaTheme="majorEastAsia"/>
      <w:i/>
      <w:iCs/>
      <w:color w:val="595959" w:themeColor="text1" w:themeTint="a6"/>
    </w:rPr>
  </w:style>
  <w:style w:type="paragraph" w:styleId="Heading7">
    <w:name w:val="Heading 7"/>
    <w:basedOn w:val="Normal"/>
    <w:next w:val="Normal"/>
    <w:link w:val="Titre7Car"/>
    <w:uiPriority w:val="9"/>
    <w:semiHidden/>
    <w:unhideWhenUsed/>
    <w:qFormat/>
    <w:rsid w:val="00a9784f"/>
    <w:pPr>
      <w:keepNext w:val="true"/>
      <w:keepLines/>
      <w:spacing w:before="40" w:after="0"/>
      <w:contextualSpacing/>
      <w:outlineLvl w:val="6"/>
    </w:pPr>
    <w:rPr>
      <w:rFonts w:eastAsia="等线 Light" w:cs="" w:cstheme="majorBidi" w:eastAsiaTheme="majorEastAsia"/>
      <w:color w:val="595959" w:themeColor="text1" w:themeTint="a6"/>
    </w:rPr>
  </w:style>
  <w:style w:type="paragraph" w:styleId="Heading8">
    <w:name w:val="Heading 8"/>
    <w:basedOn w:val="Normal"/>
    <w:next w:val="Normal"/>
    <w:link w:val="Titre8Car"/>
    <w:uiPriority w:val="9"/>
    <w:semiHidden/>
    <w:unhideWhenUsed/>
    <w:qFormat/>
    <w:rsid w:val="00a9784f"/>
    <w:pPr>
      <w:keepNext w:val="true"/>
      <w:keepLines/>
      <w:outlineLvl w:val="7"/>
    </w:pPr>
    <w:rPr>
      <w:rFonts w:eastAsia="等线 Light" w:cs="" w:cstheme="majorBidi" w:eastAsiaTheme="majorEastAsia"/>
      <w:i/>
      <w:iCs/>
      <w:color w:val="272727" w:themeColor="text1" w:themeTint="d8"/>
    </w:rPr>
  </w:style>
  <w:style w:type="paragraph" w:styleId="Heading9">
    <w:name w:val="Heading 9"/>
    <w:basedOn w:val="Normal"/>
    <w:next w:val="Normal"/>
    <w:link w:val="Titre9Car"/>
    <w:uiPriority w:val="9"/>
    <w:semiHidden/>
    <w:unhideWhenUsed/>
    <w:qFormat/>
    <w:rsid w:val="00a9784f"/>
    <w:pPr>
      <w:keepNext w:val="true"/>
      <w:keepLines/>
      <w:outlineLvl w:val="8"/>
    </w:pPr>
    <w:rPr>
      <w:rFonts w:eastAsia="等线 Light"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Titre1Car" w:customStyle="1">
    <w:name w:val="Titre 1 Car"/>
    <w:basedOn w:val="DefaultParagraphFont"/>
    <w:link w:val="Heading1"/>
    <w:uiPriority w:val="9"/>
    <w:qFormat/>
    <w:rsid w:val="00b2001c"/>
    <w:rPr>
      <w:rFonts w:ascii="Times New Roman" w:hAnsi="Times New Roman" w:eastAsia="等线 Light" w:cs="" w:cstheme="majorBidi" w:eastAsiaTheme="majorEastAsia"/>
      <w:b/>
      <w:color w:val="000000" w:themeColor="text1"/>
      <w:szCs w:val="40"/>
    </w:rPr>
  </w:style>
  <w:style w:type="character" w:styleId="Titre2Car" w:customStyle="1">
    <w:name w:val="Titre 2 Car"/>
    <w:basedOn w:val="DefaultParagraphFont"/>
    <w:link w:val="Heading2"/>
    <w:uiPriority w:val="9"/>
    <w:semiHidden/>
    <w:qFormat/>
    <w:rsid w:val="00a9784f"/>
    <w:rPr>
      <w:rFonts w:ascii="Aptos Display" w:hAnsi="Aptos Display" w:eastAsia="等线 Light"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link w:val="Heading3"/>
    <w:uiPriority w:val="9"/>
    <w:semiHidden/>
    <w:qFormat/>
    <w:rsid w:val="00a9784f"/>
    <w:rPr>
      <w:rFonts w:eastAsia="等线 Light" w:cs="" w:cstheme="majorBidi" w:eastAsiaTheme="majorEastAsia"/>
      <w:color w:val="0F4761" w:themeColor="accent1" w:themeShade="bf"/>
      <w:sz w:val="28"/>
      <w:szCs w:val="28"/>
    </w:rPr>
  </w:style>
  <w:style w:type="character" w:styleId="Titre4Car" w:customStyle="1">
    <w:name w:val="Titre 4 Car"/>
    <w:basedOn w:val="DefaultParagraphFont"/>
    <w:link w:val="Heading4"/>
    <w:uiPriority w:val="9"/>
    <w:semiHidden/>
    <w:qFormat/>
    <w:rsid w:val="00a9784f"/>
    <w:rPr>
      <w:rFonts w:eastAsia="等线 Light" w:cs="" w:cstheme="majorBidi" w:eastAsiaTheme="majorEastAsia"/>
      <w:i/>
      <w:iCs/>
      <w:color w:val="0F4761" w:themeColor="accent1" w:themeShade="bf"/>
    </w:rPr>
  </w:style>
  <w:style w:type="character" w:styleId="Titre5Car" w:customStyle="1">
    <w:name w:val="Titre 5 Car"/>
    <w:basedOn w:val="DefaultParagraphFont"/>
    <w:link w:val="Heading5"/>
    <w:uiPriority w:val="9"/>
    <w:semiHidden/>
    <w:qFormat/>
    <w:rsid w:val="00a9784f"/>
    <w:rPr>
      <w:rFonts w:eastAsia="等线 Light" w:cs="" w:cstheme="majorBidi" w:eastAsiaTheme="majorEastAsia"/>
      <w:color w:val="0F4761" w:themeColor="accent1" w:themeShade="bf"/>
    </w:rPr>
  </w:style>
  <w:style w:type="character" w:styleId="Titre6Car" w:customStyle="1">
    <w:name w:val="Titre 6 Car"/>
    <w:basedOn w:val="DefaultParagraphFont"/>
    <w:link w:val="Heading6"/>
    <w:uiPriority w:val="9"/>
    <w:semiHidden/>
    <w:qFormat/>
    <w:rsid w:val="00a9784f"/>
    <w:rPr>
      <w:rFonts w:eastAsia="等线 Light" w:cs="" w:cstheme="majorBidi" w:eastAsiaTheme="majorEastAsia"/>
      <w:i/>
      <w:iCs/>
      <w:color w:val="595959" w:themeColor="text1" w:themeTint="a6"/>
    </w:rPr>
  </w:style>
  <w:style w:type="character" w:styleId="Titre7Car" w:customStyle="1">
    <w:name w:val="Titre 7 Car"/>
    <w:basedOn w:val="DefaultParagraphFont"/>
    <w:link w:val="Heading7"/>
    <w:uiPriority w:val="9"/>
    <w:semiHidden/>
    <w:qFormat/>
    <w:rsid w:val="00a9784f"/>
    <w:rPr>
      <w:rFonts w:eastAsia="等线 Light" w:cs="" w:cstheme="majorBidi" w:eastAsiaTheme="majorEastAsia"/>
      <w:color w:val="595959" w:themeColor="text1" w:themeTint="a6"/>
    </w:rPr>
  </w:style>
  <w:style w:type="character" w:styleId="Titre8Car" w:customStyle="1">
    <w:name w:val="Titre 8 Car"/>
    <w:basedOn w:val="DefaultParagraphFont"/>
    <w:link w:val="Heading8"/>
    <w:uiPriority w:val="9"/>
    <w:semiHidden/>
    <w:qFormat/>
    <w:rsid w:val="00a9784f"/>
    <w:rPr>
      <w:rFonts w:eastAsia="等线 Light" w:cs="" w:cstheme="majorBidi" w:eastAsiaTheme="majorEastAsia"/>
      <w:i/>
      <w:iCs/>
      <w:color w:val="272727" w:themeColor="text1" w:themeTint="d8"/>
    </w:rPr>
  </w:style>
  <w:style w:type="character" w:styleId="Titre9Car" w:customStyle="1">
    <w:name w:val="Titre 9 Car"/>
    <w:basedOn w:val="DefaultParagraphFont"/>
    <w:link w:val="Heading9"/>
    <w:uiPriority w:val="9"/>
    <w:semiHidden/>
    <w:qFormat/>
    <w:rsid w:val="00a9784f"/>
    <w:rPr>
      <w:rFonts w:eastAsia="等线 Light" w:cs="" w:cstheme="majorBidi" w:eastAsiaTheme="majorEastAsia"/>
      <w:color w:val="272727" w:themeColor="text1" w:themeTint="d8"/>
    </w:rPr>
  </w:style>
  <w:style w:type="character" w:styleId="TitreCar" w:customStyle="1">
    <w:name w:val="Titre Car"/>
    <w:basedOn w:val="DefaultParagraphFont"/>
    <w:link w:val="Title"/>
    <w:uiPriority w:val="10"/>
    <w:qFormat/>
    <w:rsid w:val="00a9784f"/>
    <w:rPr>
      <w:rFonts w:ascii="Aptos Display" w:hAnsi="Aptos Display" w:eastAsia="等线 Light" w:cs="" w:asciiTheme="majorHAnsi" w:cstheme="majorBidi" w:eastAsiaTheme="majorEastAsia" w:hAnsiTheme="majorHAnsi"/>
      <w:spacing w:val="-10"/>
      <w:kern w:val="2"/>
      <w:sz w:val="56"/>
      <w:szCs w:val="56"/>
    </w:rPr>
  </w:style>
  <w:style w:type="character" w:styleId="SoustitreCar" w:customStyle="1">
    <w:name w:val="Sous-titre Car"/>
    <w:basedOn w:val="DefaultParagraphFont"/>
    <w:link w:val="Subtitle"/>
    <w:uiPriority w:val="11"/>
    <w:qFormat/>
    <w:rsid w:val="00a9784f"/>
    <w:rPr>
      <w:rFonts w:eastAsia="等线 Light" w:cs="" w:cstheme="majorBidi" w:eastAsiaTheme="majorEastAsia"/>
      <w:color w:val="595959" w:themeColor="text1" w:themeTint="a6"/>
      <w:spacing w:val="15"/>
      <w:sz w:val="28"/>
      <w:szCs w:val="28"/>
    </w:rPr>
  </w:style>
  <w:style w:type="character" w:styleId="CitationCar" w:customStyle="1">
    <w:name w:val="Citation Car"/>
    <w:basedOn w:val="DefaultParagraphFont"/>
    <w:link w:val="Quote"/>
    <w:uiPriority w:val="29"/>
    <w:qFormat/>
    <w:rsid w:val="00a9784f"/>
    <w:rPr>
      <w:i/>
      <w:iCs/>
      <w:color w:val="404040" w:themeColor="text1" w:themeTint="bf"/>
    </w:rPr>
  </w:style>
  <w:style w:type="character" w:styleId="IntenseEmphasis">
    <w:name w:val="Intense Emphasis"/>
    <w:basedOn w:val="DefaultParagraphFont"/>
    <w:uiPriority w:val="21"/>
    <w:qFormat/>
    <w:rsid w:val="00a9784f"/>
    <w:rPr>
      <w:i/>
      <w:iCs/>
      <w:color w:val="0F4761" w:themeColor="accent1" w:themeShade="bf"/>
    </w:rPr>
  </w:style>
  <w:style w:type="character" w:styleId="CitationintenseCar" w:customStyle="1">
    <w:name w:val="Citation intense Car"/>
    <w:basedOn w:val="DefaultParagraphFont"/>
    <w:link w:val="IntenseQuote"/>
    <w:uiPriority w:val="30"/>
    <w:qFormat/>
    <w:rsid w:val="00a9784f"/>
    <w:rPr>
      <w:i/>
      <w:iCs/>
      <w:color w:val="0F4761" w:themeColor="accent1" w:themeShade="bf"/>
    </w:rPr>
  </w:style>
  <w:style w:type="character" w:styleId="IntenseReference">
    <w:name w:val="Intense Reference"/>
    <w:basedOn w:val="DefaultParagraphFont"/>
    <w:uiPriority w:val="32"/>
    <w:qFormat/>
    <w:rsid w:val="00a9784f"/>
    <w:rPr>
      <w:b/>
      <w:bCs/>
      <w:smallCaps/>
      <w:color w:val="0F4761" w:themeColor="accent1" w:themeShade="bf"/>
      <w:spacing w:val="5"/>
    </w:rPr>
  </w:style>
  <w:style w:type="character" w:styleId="Style1Char" w:customStyle="1">
    <w:name w:val="Style1 Char"/>
    <w:basedOn w:val="SoustitreCar"/>
    <w:link w:val="Style11"/>
    <w:qFormat/>
    <w:rsid w:val="00f12222"/>
    <w:rPr>
      <w:rFonts w:ascii="Times New Roman" w:hAnsi="Times New Roman" w:eastAsia="等线 Light" w:cs="Times New Roman" w:eastAsiaTheme="majorEastAsia"/>
      <w:b/>
      <w:bCs/>
      <w:color w:val="595959" w:themeColor="text1" w:themeTint="a6"/>
      <w:spacing w:val="15"/>
      <w:sz w:val="28"/>
      <w:szCs w:val="28"/>
      <w:lang w:val="en-US"/>
    </w:rPr>
  </w:style>
  <w:style w:type="character" w:styleId="InternetLink">
    <w:name w:val="Hyperlink"/>
    <w:rPr>
      <w:color w:val="000080"/>
      <w:u w:val="single"/>
    </w:rPr>
  </w:style>
  <w:style w:type="character" w:styleId="Linenumber">
    <w:name w:val="line number"/>
    <w:basedOn w:val="DefaultParagraphFont"/>
    <w:uiPriority w:val="99"/>
    <w:semiHidden/>
    <w:unhideWhenUsed/>
    <w:qFormat/>
    <w:rsid w:val="0096173f"/>
    <w:rPr/>
  </w:style>
  <w:style w:type="character" w:styleId="EntteCar" w:customStyle="1">
    <w:name w:val="En-tête Car"/>
    <w:basedOn w:val="DefaultParagraphFont"/>
    <w:link w:val="Header"/>
    <w:uiPriority w:val="99"/>
    <w:qFormat/>
    <w:rsid w:val="00cd11c6"/>
    <w:rPr/>
  </w:style>
  <w:style w:type="character" w:styleId="PieddepageCar" w:customStyle="1">
    <w:name w:val="Pied de page Car"/>
    <w:basedOn w:val="DefaultParagraphFont"/>
    <w:link w:val="Footer"/>
    <w:uiPriority w:val="99"/>
    <w:qFormat/>
    <w:rsid w:val="00cd11c6"/>
    <w:rPr/>
  </w:style>
  <w:style w:type="paragraph" w:styleId="Heading" w:customStyle="1">
    <w:name w:val="Heading"/>
    <w:basedOn w:val="Normal"/>
    <w:next w:val="TextBody"/>
    <w:qFormat/>
    <w:pPr>
      <w:keepNext w:val="true"/>
      <w:spacing w:before="240" w:after="120"/>
      <w:contextualSpacing w:val="false"/>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contextualSpacing w:val="false"/>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contextualSpacing w:val="false"/>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Caption1">
    <w:name w:val="caption"/>
    <w:basedOn w:val="Normal"/>
    <w:qFormat/>
    <w:pPr>
      <w:suppressLineNumbers/>
      <w:spacing w:before="120" w:after="120"/>
      <w:contextualSpacing w:val="false"/>
    </w:pPr>
    <w:rPr>
      <w:rFonts w:cs="Lohit Devanagari"/>
      <w:i/>
      <w:iCs/>
    </w:rPr>
  </w:style>
  <w:style w:type="paragraph" w:styleId="Title">
    <w:name w:val="Title"/>
    <w:basedOn w:val="Normal"/>
    <w:next w:val="Normal"/>
    <w:link w:val="TitreCar"/>
    <w:uiPriority w:val="10"/>
    <w:qFormat/>
    <w:rsid w:val="00a9784f"/>
    <w:pPr>
      <w:spacing w:before="0" w:after="80"/>
      <w:contextualSpacing/>
    </w:pPr>
    <w:rPr>
      <w:rFonts w:ascii="Aptos Display" w:hAnsi="Aptos Display" w:eastAsia="等线 Light" w:cs="" w:asciiTheme="majorHAnsi" w:cstheme="majorBidi" w:eastAsiaTheme="majorEastAsia" w:hAnsiTheme="majorHAnsi"/>
      <w:spacing w:val="-10"/>
      <w:sz w:val="56"/>
      <w:szCs w:val="56"/>
    </w:rPr>
  </w:style>
  <w:style w:type="paragraph" w:styleId="Subtitle">
    <w:name w:val="Subtitle"/>
    <w:basedOn w:val="Normal"/>
    <w:next w:val="Normal"/>
    <w:link w:val="SoustitreCar"/>
    <w:uiPriority w:val="11"/>
    <w:qFormat/>
    <w:rsid w:val="00a9784f"/>
    <w:pPr/>
    <w:rPr>
      <w:rFonts w:eastAsia="等线 Light"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a9784f"/>
    <w:pPr>
      <w:spacing w:before="160" w:after="0"/>
      <w:contextualSpacing/>
      <w:jc w:val="center"/>
    </w:pPr>
    <w:rPr>
      <w:i/>
      <w:iCs/>
      <w:color w:val="404040" w:themeColor="text1" w:themeTint="bf"/>
    </w:rPr>
  </w:style>
  <w:style w:type="paragraph" w:styleId="ListParagraph">
    <w:name w:val="List Paragraph"/>
    <w:basedOn w:val="Normal"/>
    <w:uiPriority w:val="34"/>
    <w:qFormat/>
    <w:rsid w:val="00a9784f"/>
    <w:pPr>
      <w:ind w:left="720" w:hanging="0"/>
    </w:pPr>
    <w:rPr/>
  </w:style>
  <w:style w:type="paragraph" w:styleId="IntenseQuote">
    <w:name w:val="Intense Quote"/>
    <w:basedOn w:val="Normal"/>
    <w:next w:val="Normal"/>
    <w:link w:val="CitationintenseCar"/>
    <w:uiPriority w:val="30"/>
    <w:qFormat/>
    <w:rsid w:val="00a9784f"/>
    <w:pPr>
      <w:pBdr>
        <w:top w:val="single" w:sz="4" w:space="10" w:color="0F4761"/>
        <w:bottom w:val="single" w:sz="4" w:space="10" w:color="0F4761"/>
      </w:pBdr>
      <w:spacing w:before="360" w:after="360"/>
      <w:ind w:left="864" w:right="864" w:hanging="0"/>
      <w:contextualSpacing/>
      <w:jc w:val="center"/>
    </w:pPr>
    <w:rPr>
      <w:i/>
      <w:iCs/>
      <w:color w:val="0F4761" w:themeColor="accent1" w:themeShade="bf"/>
    </w:rPr>
  </w:style>
  <w:style w:type="paragraph" w:styleId="Style11" w:customStyle="1">
    <w:name w:val="Style1"/>
    <w:basedOn w:val="Subtitle"/>
    <w:next w:val="Subtitle"/>
    <w:link w:val="Style1Char"/>
    <w:autoRedefine/>
    <w:qFormat/>
    <w:rsid w:val="00f12222"/>
    <w:pPr>
      <w:numPr>
        <w:ilvl w:val="0"/>
        <w:numId w:val="1"/>
      </w:numPr>
    </w:pPr>
    <w:rPr>
      <w:rFonts w:ascii="Times New Roman" w:hAnsi="Times New Roman" w:cs="Times New Roman"/>
      <w:b/>
      <w:bCs/>
      <w:color w:val="auto"/>
      <w:lang w:val="en-US"/>
    </w:rPr>
  </w:style>
  <w:style w:type="paragraph" w:styleId="HeaderandFooter">
    <w:name w:val="Header and Footer"/>
    <w:basedOn w:val="Normal"/>
    <w:qFormat/>
    <w:pPr/>
    <w:rPr/>
  </w:style>
  <w:style w:type="paragraph" w:styleId="Header">
    <w:name w:val="Header"/>
    <w:basedOn w:val="Normal"/>
    <w:link w:val="EntteCar"/>
    <w:uiPriority w:val="99"/>
    <w:unhideWhenUsed/>
    <w:rsid w:val="00cd11c6"/>
    <w:pPr>
      <w:tabs>
        <w:tab w:val="clear" w:pos="708"/>
        <w:tab w:val="center" w:pos="4536" w:leader="none"/>
        <w:tab w:val="right" w:pos="9072" w:leader="none"/>
      </w:tabs>
    </w:pPr>
    <w:rPr/>
  </w:style>
  <w:style w:type="paragraph" w:styleId="Footer">
    <w:name w:val="Footer"/>
    <w:basedOn w:val="Normal"/>
    <w:link w:val="PieddepageCar"/>
    <w:uiPriority w:val="99"/>
    <w:unhideWhenUsed/>
    <w:rsid w:val="00cd11c6"/>
    <w:pPr>
      <w:tabs>
        <w:tab w:val="clear" w:pos="708"/>
        <w:tab w:val="center" w:pos="4536" w:leader="none"/>
        <w:tab w:val="right" w:pos="9072" w:leader="none"/>
      </w:tabs>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auGrille5Fonc-Accentuation3">
    <w:name w:val="Grid Table 5 Dark Accent 3"/>
    <w:basedOn w:val="TableauNormal"/>
    <w:uiPriority w:val="50"/>
    <w:rsid w:val="00a9784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6">
    <w:name w:val="Grid Table 5 Dark Accent 6"/>
    <w:basedOn w:val="TableauNormal"/>
    <w:uiPriority w:val="50"/>
    <w:rsid w:val="00a9784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4-Accentuation5">
    <w:name w:val="Grid Table 4 Accent 5"/>
    <w:basedOn w:val="TableauNormal"/>
    <w:uiPriority w:val="49"/>
    <w:rsid w:val="00bf78d6"/>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Pr/>
    </w:tblStylePr>
    <w:tblStylePr w:type="lastCol">
      <w:rPr>
        <w:b/>
        <w:bCs/>
      </w:rPr>
      <w:tbl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1Clair">
    <w:name w:val="Grid Table 1 Light"/>
    <w:basedOn w:val="TableauNormal"/>
    <w:uiPriority w:val="46"/>
    <w:rsid w:val="00245a8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achid.BENHIDA@um6p.ma" TargetMode="External"/><Relationship Id="rId3" Type="http://schemas.openxmlformats.org/officeDocument/2006/relationships/image" Target="media/image1.jpe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Application>LibreOffice/7.3.7.2$Linux_X86_64 LibreOffice_project/30$Build-2</Application>
  <AppVersion>15.0000</AppVersion>
  <Pages>11</Pages>
  <Words>1573</Words>
  <Characters>8972</Characters>
  <CharactersWithSpaces>10250</CharactersWithSpaces>
  <Paragraphs>305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2026-06-19T16:38:00Z</dcterms:created>
  <dc:creator>Salma LOUKMAN</dc:creator>
  <dc:description/>
  <dc:language>en-US</dc:language>
  <cp:lastModifiedBy/>
  <dcterms:modified xsi:type="dcterms:W3CDTF">2026-09-22T18:27:15Z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