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1E0BA" w14:textId="77777777" w:rsidR="00540432" w:rsidRPr="00540432" w:rsidRDefault="00540432" w:rsidP="00540432">
      <w:pPr>
        <w:jc w:val="center"/>
        <w:rPr>
          <w:b/>
          <w:bCs/>
          <w:sz w:val="28"/>
          <w:szCs w:val="28"/>
        </w:rPr>
      </w:pPr>
      <w:r w:rsidRPr="00540432">
        <w:rPr>
          <w:i/>
          <w:iCs/>
          <w:sz w:val="28"/>
          <w:szCs w:val="28"/>
        </w:rPr>
        <w:t>Eichhornia crassipes</w:t>
      </w:r>
      <w:r w:rsidRPr="00540432">
        <w:rPr>
          <w:sz w:val="28"/>
          <w:szCs w:val="28"/>
        </w:rPr>
        <w:t xml:space="preserve"> management in a eutrophic reservoir: Cover reduction, rapid recolonization, and cyanobacterial dynamics</w:t>
      </w:r>
    </w:p>
    <w:p w14:paraId="25084092" w14:textId="77777777" w:rsidR="00540432" w:rsidRDefault="00540432" w:rsidP="00540432">
      <w:pPr>
        <w:pStyle w:val="Ttulo1"/>
        <w:jc w:val="center"/>
        <w:rPr>
          <w:b/>
          <w:bCs/>
          <w:color w:val="auto"/>
        </w:rPr>
      </w:pPr>
    </w:p>
    <w:p w14:paraId="3F7113D3" w14:textId="0951DFED" w:rsidR="00C26B65" w:rsidRDefault="00000000" w:rsidP="00540432">
      <w:pPr>
        <w:pStyle w:val="Ttulo1"/>
        <w:jc w:val="center"/>
        <w:rPr>
          <w:b/>
          <w:bCs/>
          <w:color w:val="auto"/>
        </w:rPr>
      </w:pPr>
      <w:r w:rsidRPr="002331FD">
        <w:rPr>
          <w:b/>
          <w:bCs/>
          <w:color w:val="auto"/>
        </w:rPr>
        <w:t>Supplementary Material</w:t>
      </w:r>
    </w:p>
    <w:p w14:paraId="05662C36" w14:textId="77777777" w:rsidR="00540432" w:rsidRPr="002331FD" w:rsidRDefault="00540432" w:rsidP="00540432">
      <w:pPr>
        <w:pStyle w:val="Ttulo1"/>
        <w:jc w:val="center"/>
        <w:rPr>
          <w:color w:val="auto"/>
          <w:sz w:val="36"/>
          <w:szCs w:val="36"/>
        </w:rPr>
      </w:pPr>
    </w:p>
    <w:p w14:paraId="0D4206CD" w14:textId="00580C68" w:rsidR="00C26B65" w:rsidRPr="002331FD" w:rsidRDefault="00000000" w:rsidP="002331FD">
      <w:pPr>
        <w:pStyle w:val="Ttulo2"/>
      </w:pPr>
      <w:r w:rsidRPr="002331FD">
        <w:t>S1. Random Forest model performance</w:t>
      </w:r>
    </w:p>
    <w:p w14:paraId="7A29071D" w14:textId="7A38D0AF" w:rsidR="00F42174" w:rsidRPr="00F42174" w:rsidRDefault="00F42174" w:rsidP="00F42174">
      <w:pPr>
        <w:spacing w:before="80" w:after="80"/>
        <w:jc w:val="both"/>
        <w:rPr>
          <w:sz w:val="24"/>
          <w:szCs w:val="24"/>
        </w:rPr>
      </w:pPr>
      <w:r w:rsidRPr="00F42174">
        <w:rPr>
          <w:sz w:val="24"/>
          <w:szCs w:val="24"/>
        </w:rPr>
        <w:t xml:space="preserve">The Random Forest models were built for ecological attribution rather than prediction, following the interpretable machine-learning framework common in water-quality studies </w:t>
      </w:r>
      <w:r>
        <w:rPr>
          <w:sz w:val="24"/>
          <w:szCs w:val="24"/>
        </w:rPr>
        <w:fldChar w:fldCharType="begin" w:fldLock="1"/>
      </w:r>
      <w:r>
        <w:rPr>
          <w:sz w:val="24"/>
          <w:szCs w:val="24"/>
        </w:rPr>
        <w:instrText>ADDIN CSL_CITATION {"citationItems":[{"id":"ITEM-1","itemData":{"DOI":"10.1016/j.jenvman.2024.122890","ISSN":"10958630","PMID":"39405849","abstract":"Freshwater lakes worldwide suffer from eutrophication caused by excessive nutrient loads, particularly nitrogen (N) and phosphorus (P) from wastewater and runoff, affecting aquatic life and public health. Using a large (1800 km2) subtropical lake as an example (Lake Okeechobee, Florida, USA), this study aims to (1) predict key water quality parameters using machine learning (ML) algorithms based on easily measurable variables, (2) identify spatial patterns of these parameters, and (3) determine environmental drivers influencing turbidity levels. The study employs four ML algorithms—Extreme Gradient Boosting (XGB), Light Gradient-Boosting Machine (LGBM), Support Vector Regression (SVR), and Random Forests (RFs)—to predict total phosphorus (TP), total nitrogen (TN), nitrate + nitrite (NOx-N), and turbidity, via station-specific and lake-wide modeling approaches. The station-specific models uncover spatial patterns, while the lake-wide models support operational decision-making. Results indicated that lake stage (water level), water temperature, and, most notably, turbidity were the main nutrient predictors, with XGB demonstrating superior prediction performance. Spatial analysis using K-means clustering identified three distinct lake regions based on nutrient levels and turbidity. Due to its importance, SHapley Additive exPlanations (SHAP) were employed to identify and quantify environmental factors affecting turbidity. Inflows and lake stage were found as primary drivers of turbidity near lake inlets, while wind speed and air temperature affected turbidity in the middle of the lake. This research advances the understanding of lake water quality dynamics, emphasizing the importance of frequent monitoring of turbidity and its environmental drivers for enhanced management and future mitigation efforts.","author":[{"dropping-particle":"","family":"Hasani","given":"Sajad","non-dropping-particle":"","parse-names":false,"suffix":""},{"dropping-particle":"","family":"Arias","given":"Mauricio E.","non-dropping-particle":"","parse-names":false,"suffix":""},{"dropping-particle":"","family":"Nguyen","given":"Hung Q.","non-dropping-particle":"","parse-names":false,"suffix":""},{"dropping-particle":"","family":"Tarabih","given":"Osama M.","non-dropping-particle":"","parse-names":false,"suffix":""},{"dropping-particle":"","family":"Welch","given":"Zachariah","non-dropping-particle":"","parse-names":false,"suffix":""},{"dropping-particle":"","family":"Zhang","given":"Qiong","non-dropping-particle":"","parse-names":false,"suffix":""}],"container-title":"Journal of Environmental Management","id":"ITEM-1","issue":"September","issued":{"date-parts":[["2024"]]},"page":"122890","publisher":"Elsevier Ltd","title":"Leveraging explainable machine learning for enhanced management of lake water quality","type":"article-journal","volume":"370"},"uris":["http://www.mendeley.com/documents/?uuid=f3e21e9c-b83d-4362-b0ae-17ce175ef942"]},{"id":"ITEM-2","itemData":{"DOI":"10.1016/j.scitotenv.2022.155070","ISSN":"18791026","PMID":"35398119","abstract":"Algal bloom is a significant issue when managing water quality in freshwater; specifically, predicting the concentration of algae is essential to maintaining the safety of the drinking water supply system. The chlorophyll-a (Chl-a) concentration is a commonly used indicator to obtain an estimation of algal concentration. In this study, an XGBoost ensemble machine learning (ML) model was developed from eighteen input variables to predict Chl-a concentration. The composition and pretreatment of input variables to the model are important factors for improving model performance. Explainable artificial intelligence (XAI) is an emerging area of ML modeling that provides a reasonable interpretation of model performance. The effect of input variable selection on model performance was estimated, where the priority of input variable selection was determined using three indices: Shapley value (SHAP), feature importance (FI), and variance inflation factor (VIF). SHAP analysis is an XAI algorithm designed to compute the relative importance of input variables with consistency, providing an interpretable analysis for model prediction. The XGB models simulated with independent variables selected using three indices were evaluated with root mean square error (RMSE), RMSE-observation standard deviation ratio, and Nash-Sutcliffe efficiency. This study shows that the model exhibited the most stable performance when the priority of input variables was determined by SHAP. This implies that on-site monitoring can be designed to collect the selected input variables from the SHAP analysis to reduce the cost of overall water quality analysis. The independent variables were further analyzed using SHAP summary plot, force plot, target plot, and partial dependency plot to provide understandable interpretation on the performance of the XGB model. While XAI is still in the early stages of development, this study successfully demonstrated a good example of XAI application to improve the interpretation of machine learning model performance in predicting water quality.","author":[{"dropping-particle":"","family":"Park","given":"Jungsu","non-dropping-particle":"","parse-names":false,"suffix":""},{"dropping-particle":"","family":"Lee","given":"Woo Hyoung","non-dropping-particle":"","parse-names":false,"suffix":""},{"dropping-particle":"","family":"Kim","given":"Keug Tae","non-dropping-particle":"","parse-names":false,"suffix":""},{"dropping-particle":"","family":"Park","given":"Cheol Young","non-dropping-particle":"","parse-names":false,"suffix":""},{"dropping-particle":"","family":"Lee","given":"Sanghun","non-dropping-particle":"","parse-names":false,"suffix":""},{"dropping-particle":"","family":"Heo","given":"Tae Young","non-dropping-particle":"","parse-names":false,"suffix":""}],"container-title":"Science of the Total Environment","id":"ITEM-2","issue":"January","issued":{"date-parts":[["2022"]]},"page":"155070","publisher":"Elsevier B.V.","title":"Interpretation of ensemble learning to predict water quality using explainable artificial intelligence","type":"article-journal","volume":"832"},"uris":["http://www.mendeley.com/documents/?uuid=bbd95454-d2cc-442a-9b4b-c8df506cdb64"]}],"mendeley":{"formattedCitation":"(Hasani et al., 2024; Park et al., 2022)","plainTextFormattedCitation":"(Hasani et al., 2024; Park et al., 2022)","previouslyFormattedCitation":"(Hasani et al., 2024; Park et al., 2022)"},"properties":{"noteIndex":0},"schema":"https://github.com/citation-style-language/schema/raw/master/csl-citation.json"}</w:instrText>
      </w:r>
      <w:r>
        <w:rPr>
          <w:sz w:val="24"/>
          <w:szCs w:val="24"/>
        </w:rPr>
        <w:fldChar w:fldCharType="separate"/>
      </w:r>
      <w:r w:rsidRPr="00F42174">
        <w:rPr>
          <w:noProof/>
          <w:sz w:val="24"/>
          <w:szCs w:val="24"/>
        </w:rPr>
        <w:t>(Hasani et al., 2024; Park et al., 2022)</w:t>
      </w:r>
      <w:r>
        <w:rPr>
          <w:sz w:val="24"/>
          <w:szCs w:val="24"/>
        </w:rPr>
        <w:fldChar w:fldCharType="end"/>
      </w:r>
      <w:r w:rsidRPr="00F42174">
        <w:rPr>
          <w:sz w:val="24"/>
          <w:szCs w:val="24"/>
        </w:rPr>
        <w:t>. To characterize their explanatory capacity, we report out-of-bag (OOB) R², root-mean-square error (RMSE) and mean absolute error (MAE) for each response and station (Table S1). Out-of-bag prediction uses, for each observation, only the trees that did not include it during training, providing an internal generalization estimate without a separate hold-out set.</w:t>
      </w:r>
    </w:p>
    <w:p w14:paraId="710A19DA" w14:textId="5E569CB6" w:rsidR="00F42174" w:rsidRPr="00F42174" w:rsidRDefault="00F42174" w:rsidP="00F42174">
      <w:pPr>
        <w:spacing w:before="80" w:after="80"/>
        <w:jc w:val="both"/>
        <w:rPr>
          <w:sz w:val="24"/>
          <w:szCs w:val="24"/>
        </w:rPr>
      </w:pPr>
      <w:r w:rsidRPr="00F42174">
        <w:rPr>
          <w:sz w:val="24"/>
          <w:szCs w:val="24"/>
        </w:rPr>
        <w:t xml:space="preserve">Explanatory capacity varied systematically with the response variable rather than with the station. Cyanobacterial density was the only response modelled with positive skill at all three stations (R²_OOB = 0.45, 0.05 and 0.27 at BP075, BP081 and BP085), whereas chlorophyll-a was captured at the upstream stations (0.28 and 0.27) but not downstream (0.06), and </w:t>
      </w:r>
      <w:proofErr w:type="spellStart"/>
      <w:r w:rsidRPr="00F42174">
        <w:rPr>
          <w:sz w:val="24"/>
          <w:szCs w:val="24"/>
        </w:rPr>
        <w:t>RCCa</w:t>
      </w:r>
      <w:proofErr w:type="spellEnd"/>
      <w:r w:rsidRPr="00F42174">
        <w:rPr>
          <w:sz w:val="24"/>
          <w:szCs w:val="24"/>
        </w:rPr>
        <w:t xml:space="preserve"> showed low or negative R²_OOB throughout (−0.25 to 0.13). This ordering is consistent with the station signatures in the descriptive data (Figure 1b): the upstream stations are defined by strong, structured gradients in nutrients and organic load, which the chlorophyll-a models could exploit, whereas at the reservoir outlet the cyanobacterial fraction — the response most strongly associated with macrophyte cover — carried the clearest signal. The failure of the </w:t>
      </w:r>
      <w:proofErr w:type="spellStart"/>
      <w:r w:rsidRPr="00F42174">
        <w:rPr>
          <w:sz w:val="24"/>
          <w:szCs w:val="24"/>
        </w:rPr>
        <w:t>RCCa</w:t>
      </w:r>
      <w:proofErr w:type="spellEnd"/>
      <w:r w:rsidRPr="00F42174">
        <w:rPr>
          <w:sz w:val="24"/>
          <w:szCs w:val="24"/>
        </w:rPr>
        <w:t xml:space="preserve"> models</w:t>
      </w:r>
      <w:r>
        <w:rPr>
          <w:sz w:val="24"/>
          <w:szCs w:val="24"/>
        </w:rPr>
        <w:t xml:space="preserve"> may</w:t>
      </w:r>
      <w:r w:rsidRPr="00F42174">
        <w:rPr>
          <w:sz w:val="24"/>
          <w:szCs w:val="24"/>
        </w:rPr>
        <w:t xml:space="preserve"> reflects its construction: as a ratio of cyanobacterial density to chlorophyll-a, inflating its variance and preventing reliable generalization</w:t>
      </w:r>
      <w:r w:rsidR="002331FD">
        <w:rPr>
          <w:sz w:val="24"/>
          <w:szCs w:val="24"/>
        </w:rPr>
        <w:t xml:space="preserve"> </w:t>
      </w:r>
      <w:r w:rsidR="002331FD">
        <w:rPr>
          <w:sz w:val="24"/>
          <w:szCs w:val="24"/>
        </w:rPr>
        <w:fldChar w:fldCharType="begin" w:fldLock="1"/>
      </w:r>
      <w:r w:rsidR="002331FD">
        <w:rPr>
          <w:sz w:val="24"/>
          <w:szCs w:val="24"/>
        </w:rPr>
        <w:instrText>ADDIN CSL_CITATION {"citationItems":[{"id":"ITEM-1","itemData":{"DOI":"10.1016/j.watres.2014.10.019","ISSN":"18792448","PMID":"25462730","abstract":"Remote sensing of the concentration ratio of phycocyanin (PC) to chlorophyll a (Chl-a) is important for water management, as it provides critical knowledge regarding the phytoplankton community. Using the observed in situ datasets, a simple empirical model was developed to estimate PC:Chl-a based on the band ratio index of Rrs(550)/Rrs(620) (Rrs: remote sensing reflectance) (R2=0.84; RMSE=1.01). This simple model exhibited relatively high validation accuracy using the independent validation dataset. In addition, the model can be successfully applied to AISA (Airborne Imaging Spectrometer for Application) image data, indicating the practicality of the developed model for determining the dominance of cyanobacteria among the total phytoplankton from airborne image data in inland waters. However, the present model cannot be used directly to estimate PC:Chl-a in extremely turbid waters with total suspended matter (TSM) concentrations higher than 25mg/l. For these waters, the model parameters may require local optimization according to the conditions of the water under analysis. The findings of this study indicate that our proposed model is able to detect the dominance of cyanobacteria among the phytoplankton in inland waters, where the turbidity is not too much high. This study improves our understanding of the species composition of phytoplankton biomass in optically complex inland bodies of water.","author":[{"dropping-particle":"","family":"Shi","given":"Kun","non-dropping-particle":"","parse-names":false,"suffix":""},{"dropping-particle":"","family":"Zhang","given":"Yunlin","non-dropping-particle":"","parse-names":false,"suffix":""},{"dropping-particle":"","family":"Li","given":"Yunmei","non-dropping-particle":"","parse-names":false,"suffix":""},{"dropping-particle":"","family":"Li","given":"Lin","non-dropping-particle":"","parse-names":false,"suffix":""},{"dropping-particle":"","family":"Lv","given":"Heng","non-dropping-particle":"","parse-names":false,"suffix":""},{"dropping-particle":"","family":"Liu","given":"Xiaohan","non-dropping-particle":"","parse-names":false,"suffix":""}],"container-title":"Water Research","id":"ITEM-1","issued":{"date-parts":[["2015"]]},"page":"217-226","publisher":"Elsevier Ltd","title":"Remote estimation of cyanobacteria-dominance ininland waters","type":"article-journal","volume":"68"},"uris":["http://www.mendeley.com/documents/?uuid=da27cfab-a7bb-450e-8571-a17107444041"]}],"mendeley":{"formattedCitation":"(Shi et al., 2015)","plainTextFormattedCitation":"(Shi et al., 2015)","previouslyFormattedCitation":"(Shi et al., 2015)"},"properties":{"noteIndex":0},"schema":"https://github.com/citation-style-language/schema/raw/master/csl-citation.json"}</w:instrText>
      </w:r>
      <w:r w:rsidR="002331FD">
        <w:rPr>
          <w:sz w:val="24"/>
          <w:szCs w:val="24"/>
        </w:rPr>
        <w:fldChar w:fldCharType="separate"/>
      </w:r>
      <w:r w:rsidR="002331FD" w:rsidRPr="00F42174">
        <w:rPr>
          <w:noProof/>
          <w:sz w:val="24"/>
          <w:szCs w:val="24"/>
        </w:rPr>
        <w:t>(Shi et al., 2015)</w:t>
      </w:r>
      <w:r w:rsidR="002331FD">
        <w:rPr>
          <w:sz w:val="24"/>
          <w:szCs w:val="24"/>
        </w:rPr>
        <w:fldChar w:fldCharType="end"/>
      </w:r>
      <w:r w:rsidRPr="00F42174">
        <w:rPr>
          <w:sz w:val="24"/>
          <w:szCs w:val="24"/>
        </w:rPr>
        <w:t>.</w:t>
      </w:r>
    </w:p>
    <w:p w14:paraId="25B66502" w14:textId="3BC6CFA1" w:rsidR="00F42174" w:rsidRDefault="00F42174" w:rsidP="00F42174">
      <w:pPr>
        <w:spacing w:before="80" w:after="80"/>
        <w:jc w:val="both"/>
        <w:rPr>
          <w:sz w:val="24"/>
          <w:szCs w:val="24"/>
        </w:rPr>
      </w:pPr>
      <w:r w:rsidRPr="00F42174">
        <w:rPr>
          <w:sz w:val="24"/>
          <w:szCs w:val="24"/>
        </w:rPr>
        <w:t xml:space="preserve">The SHAP summaries for chlorophyll-a and </w:t>
      </w:r>
      <w:proofErr w:type="spellStart"/>
      <w:r w:rsidRPr="00F42174">
        <w:rPr>
          <w:sz w:val="24"/>
          <w:szCs w:val="24"/>
        </w:rPr>
        <w:t>RCCa</w:t>
      </w:r>
      <w:proofErr w:type="spellEnd"/>
      <w:r w:rsidRPr="00F42174">
        <w:rPr>
          <w:sz w:val="24"/>
          <w:szCs w:val="24"/>
        </w:rPr>
        <w:t xml:space="preserve"> are provided to document the internal association structure of those models, not to support predictive claims.</w:t>
      </w:r>
    </w:p>
    <w:p w14:paraId="12CC2C1B" w14:textId="304D6F5F" w:rsidR="00C26B65" w:rsidRPr="00847F64" w:rsidRDefault="00000000" w:rsidP="00F42174">
      <w:pPr>
        <w:spacing w:before="80" w:after="80"/>
        <w:jc w:val="both"/>
        <w:rPr>
          <w:sz w:val="24"/>
          <w:szCs w:val="24"/>
        </w:rPr>
      </w:pPr>
      <w:r w:rsidRPr="00847F64">
        <w:rPr>
          <w:b/>
          <w:bCs/>
        </w:rPr>
        <w:t xml:space="preserve">Table S1. </w:t>
      </w:r>
      <w:r w:rsidRPr="00847F64">
        <w:t>Out-of-bag performance of the station</w:t>
      </w:r>
      <w:r w:rsidR="00847F64" w:rsidRPr="00847F64">
        <w:t xml:space="preserve"> </w:t>
      </w:r>
      <w:r w:rsidRPr="00847F64">
        <w:t>specific Random Forest models. RMSE and MAE are expressed in the units of each response. Cyanobacterial density was log₁₀</w:t>
      </w:r>
      <w:r w:rsidR="00847F64" w:rsidRPr="00847F64">
        <w:t xml:space="preserve"> </w:t>
      </w:r>
      <w:r w:rsidRPr="00847F64">
        <w:t xml:space="preserve">transformed; chlorophyll-a and </w:t>
      </w:r>
      <w:proofErr w:type="spellStart"/>
      <w:r w:rsidRPr="00847F64">
        <w:t>RCCa</w:t>
      </w:r>
      <w:proofErr w:type="spellEnd"/>
      <w:r w:rsidRPr="00847F64">
        <w:t xml:space="preserve"> were untransformed.</w:t>
      </w:r>
    </w:p>
    <w:tbl>
      <w:tblPr>
        <w:tblW w:w="8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95"/>
        <w:gridCol w:w="1048"/>
        <w:gridCol w:w="617"/>
        <w:gridCol w:w="1021"/>
        <w:gridCol w:w="998"/>
        <w:gridCol w:w="996"/>
        <w:gridCol w:w="1895"/>
      </w:tblGrid>
      <w:tr w:rsidR="00C26B65" w:rsidRPr="00847F64" w14:paraId="4601B47B" w14:textId="77777777">
        <w:trPr>
          <w:tblHeader/>
        </w:trPr>
        <w:tc>
          <w:tcPr>
            <w:tcW w:w="1900" w:type="dxa"/>
            <w:shd w:val="clear" w:color="auto" w:fill="D9E2F3"/>
            <w:tcMar>
              <w:top w:w="40" w:type="dxa"/>
              <w:left w:w="80" w:type="dxa"/>
              <w:bottom w:w="40" w:type="dxa"/>
              <w:right w:w="80" w:type="dxa"/>
            </w:tcMar>
          </w:tcPr>
          <w:p w14:paraId="3DC4D489" w14:textId="77777777" w:rsidR="00C26B65" w:rsidRPr="00847F64" w:rsidRDefault="00000000" w:rsidP="00847F64">
            <w:pPr>
              <w:jc w:val="both"/>
              <w:rPr>
                <w:sz w:val="24"/>
                <w:szCs w:val="24"/>
              </w:rPr>
            </w:pPr>
            <w:r w:rsidRPr="00847F64">
              <w:rPr>
                <w:b/>
                <w:bCs/>
              </w:rPr>
              <w:t>Response</w:t>
            </w:r>
          </w:p>
        </w:tc>
        <w:tc>
          <w:tcPr>
            <w:tcW w:w="1050" w:type="dxa"/>
            <w:shd w:val="clear" w:color="auto" w:fill="D9E2F3"/>
            <w:tcMar>
              <w:top w:w="40" w:type="dxa"/>
              <w:left w:w="80" w:type="dxa"/>
              <w:bottom w:w="40" w:type="dxa"/>
              <w:right w:w="80" w:type="dxa"/>
            </w:tcMar>
          </w:tcPr>
          <w:p w14:paraId="431A659C" w14:textId="77777777" w:rsidR="00C26B65" w:rsidRPr="00847F64" w:rsidRDefault="00000000" w:rsidP="00847F64">
            <w:pPr>
              <w:jc w:val="both"/>
              <w:rPr>
                <w:sz w:val="24"/>
                <w:szCs w:val="24"/>
              </w:rPr>
            </w:pPr>
            <w:r w:rsidRPr="00847F64">
              <w:rPr>
                <w:b/>
                <w:bCs/>
              </w:rPr>
              <w:t>Station</w:t>
            </w:r>
          </w:p>
        </w:tc>
        <w:tc>
          <w:tcPr>
            <w:tcW w:w="620" w:type="dxa"/>
            <w:shd w:val="clear" w:color="auto" w:fill="D9E2F3"/>
            <w:tcMar>
              <w:top w:w="40" w:type="dxa"/>
              <w:left w:w="80" w:type="dxa"/>
              <w:bottom w:w="40" w:type="dxa"/>
              <w:right w:w="80" w:type="dxa"/>
            </w:tcMar>
          </w:tcPr>
          <w:p w14:paraId="66B8E357" w14:textId="77777777" w:rsidR="00C26B65" w:rsidRPr="00847F64" w:rsidRDefault="00000000" w:rsidP="00847F64">
            <w:pPr>
              <w:jc w:val="both"/>
              <w:rPr>
                <w:sz w:val="24"/>
                <w:szCs w:val="24"/>
              </w:rPr>
            </w:pPr>
            <w:r w:rsidRPr="00847F64">
              <w:rPr>
                <w:b/>
                <w:bCs/>
              </w:rPr>
              <w:t>n</w:t>
            </w:r>
          </w:p>
        </w:tc>
        <w:tc>
          <w:tcPr>
            <w:tcW w:w="1000" w:type="dxa"/>
            <w:shd w:val="clear" w:color="auto" w:fill="D9E2F3"/>
            <w:tcMar>
              <w:top w:w="40" w:type="dxa"/>
              <w:left w:w="80" w:type="dxa"/>
              <w:bottom w:w="40" w:type="dxa"/>
              <w:right w:w="80" w:type="dxa"/>
            </w:tcMar>
          </w:tcPr>
          <w:p w14:paraId="5DF6805B" w14:textId="77777777" w:rsidR="00C26B65" w:rsidRPr="00847F64" w:rsidRDefault="00000000" w:rsidP="00847F64">
            <w:pPr>
              <w:jc w:val="both"/>
              <w:rPr>
                <w:sz w:val="24"/>
                <w:szCs w:val="24"/>
              </w:rPr>
            </w:pPr>
            <w:r w:rsidRPr="00847F64">
              <w:rPr>
                <w:b/>
                <w:bCs/>
              </w:rPr>
              <w:t>R²(OOB)</w:t>
            </w:r>
          </w:p>
        </w:tc>
        <w:tc>
          <w:tcPr>
            <w:tcW w:w="1000" w:type="dxa"/>
            <w:shd w:val="clear" w:color="auto" w:fill="D9E2F3"/>
            <w:tcMar>
              <w:top w:w="40" w:type="dxa"/>
              <w:left w:w="80" w:type="dxa"/>
              <w:bottom w:w="40" w:type="dxa"/>
              <w:right w:w="80" w:type="dxa"/>
            </w:tcMar>
          </w:tcPr>
          <w:p w14:paraId="54A717A5" w14:textId="77777777" w:rsidR="00C26B65" w:rsidRPr="00847F64" w:rsidRDefault="00000000" w:rsidP="00847F64">
            <w:pPr>
              <w:jc w:val="both"/>
              <w:rPr>
                <w:sz w:val="24"/>
                <w:szCs w:val="24"/>
              </w:rPr>
            </w:pPr>
            <w:r w:rsidRPr="00847F64">
              <w:rPr>
                <w:b/>
                <w:bCs/>
              </w:rPr>
              <w:t>RMSE</w:t>
            </w:r>
          </w:p>
        </w:tc>
        <w:tc>
          <w:tcPr>
            <w:tcW w:w="1000" w:type="dxa"/>
            <w:shd w:val="clear" w:color="auto" w:fill="D9E2F3"/>
            <w:tcMar>
              <w:top w:w="40" w:type="dxa"/>
              <w:left w:w="80" w:type="dxa"/>
              <w:bottom w:w="40" w:type="dxa"/>
              <w:right w:w="80" w:type="dxa"/>
            </w:tcMar>
          </w:tcPr>
          <w:p w14:paraId="2943070F" w14:textId="77777777" w:rsidR="00C26B65" w:rsidRPr="00847F64" w:rsidRDefault="00000000" w:rsidP="00847F64">
            <w:pPr>
              <w:jc w:val="both"/>
              <w:rPr>
                <w:sz w:val="24"/>
                <w:szCs w:val="24"/>
              </w:rPr>
            </w:pPr>
            <w:r w:rsidRPr="00847F64">
              <w:rPr>
                <w:b/>
                <w:bCs/>
              </w:rPr>
              <w:t>MAE</w:t>
            </w:r>
          </w:p>
        </w:tc>
        <w:tc>
          <w:tcPr>
            <w:tcW w:w="1900" w:type="dxa"/>
            <w:shd w:val="clear" w:color="auto" w:fill="D9E2F3"/>
            <w:tcMar>
              <w:top w:w="40" w:type="dxa"/>
              <w:left w:w="80" w:type="dxa"/>
              <w:bottom w:w="40" w:type="dxa"/>
              <w:right w:w="80" w:type="dxa"/>
            </w:tcMar>
          </w:tcPr>
          <w:p w14:paraId="0B72966E" w14:textId="77777777" w:rsidR="00C26B65" w:rsidRPr="00847F64" w:rsidRDefault="00000000" w:rsidP="00847F64">
            <w:pPr>
              <w:jc w:val="both"/>
              <w:rPr>
                <w:sz w:val="24"/>
                <w:szCs w:val="24"/>
              </w:rPr>
            </w:pPr>
            <w:r w:rsidRPr="00847F64">
              <w:rPr>
                <w:b/>
                <w:bCs/>
              </w:rPr>
              <w:t>Units</w:t>
            </w:r>
          </w:p>
        </w:tc>
      </w:tr>
      <w:tr w:rsidR="00C26B65" w:rsidRPr="00847F64" w14:paraId="30C80923" w14:textId="77777777">
        <w:tc>
          <w:tcPr>
            <w:tcW w:w="1900" w:type="dxa"/>
            <w:tcMar>
              <w:top w:w="40" w:type="dxa"/>
              <w:left w:w="80" w:type="dxa"/>
              <w:bottom w:w="40" w:type="dxa"/>
              <w:right w:w="80" w:type="dxa"/>
            </w:tcMar>
          </w:tcPr>
          <w:p w14:paraId="4A75A734" w14:textId="77777777" w:rsidR="00C26B65" w:rsidRPr="00847F64" w:rsidRDefault="00000000" w:rsidP="00847F64">
            <w:pPr>
              <w:jc w:val="both"/>
              <w:rPr>
                <w:sz w:val="24"/>
                <w:szCs w:val="24"/>
              </w:rPr>
            </w:pPr>
            <w:r w:rsidRPr="00847F64">
              <w:rPr>
                <w:i/>
                <w:iCs/>
              </w:rPr>
              <w:t>Cyanobacteria</w:t>
            </w:r>
          </w:p>
        </w:tc>
        <w:tc>
          <w:tcPr>
            <w:tcW w:w="1050" w:type="dxa"/>
            <w:tcMar>
              <w:top w:w="40" w:type="dxa"/>
              <w:left w:w="80" w:type="dxa"/>
              <w:bottom w:w="40" w:type="dxa"/>
              <w:right w:w="80" w:type="dxa"/>
            </w:tcMar>
          </w:tcPr>
          <w:p w14:paraId="1E9C4B89" w14:textId="77777777" w:rsidR="00C26B65" w:rsidRPr="00847F64" w:rsidRDefault="00000000" w:rsidP="00847F64">
            <w:pPr>
              <w:jc w:val="both"/>
              <w:rPr>
                <w:sz w:val="24"/>
                <w:szCs w:val="24"/>
              </w:rPr>
            </w:pPr>
            <w:r w:rsidRPr="00847F64">
              <w:t>BP075</w:t>
            </w:r>
          </w:p>
        </w:tc>
        <w:tc>
          <w:tcPr>
            <w:tcW w:w="620" w:type="dxa"/>
            <w:tcMar>
              <w:top w:w="40" w:type="dxa"/>
              <w:left w:w="80" w:type="dxa"/>
              <w:bottom w:w="40" w:type="dxa"/>
              <w:right w:w="80" w:type="dxa"/>
            </w:tcMar>
          </w:tcPr>
          <w:p w14:paraId="6D0A91D8" w14:textId="77777777" w:rsidR="00C26B65" w:rsidRPr="00847F64" w:rsidRDefault="00000000" w:rsidP="00847F64">
            <w:pPr>
              <w:jc w:val="both"/>
              <w:rPr>
                <w:sz w:val="24"/>
                <w:szCs w:val="24"/>
              </w:rPr>
            </w:pPr>
            <w:r w:rsidRPr="00847F64">
              <w:t>71</w:t>
            </w:r>
          </w:p>
        </w:tc>
        <w:tc>
          <w:tcPr>
            <w:tcW w:w="1000" w:type="dxa"/>
            <w:tcMar>
              <w:top w:w="40" w:type="dxa"/>
              <w:left w:w="80" w:type="dxa"/>
              <w:bottom w:w="40" w:type="dxa"/>
              <w:right w:w="80" w:type="dxa"/>
            </w:tcMar>
          </w:tcPr>
          <w:p w14:paraId="498A0BD2" w14:textId="77777777" w:rsidR="00C26B65" w:rsidRPr="00847F64" w:rsidRDefault="00000000" w:rsidP="00847F64">
            <w:pPr>
              <w:jc w:val="both"/>
              <w:rPr>
                <w:sz w:val="24"/>
                <w:szCs w:val="24"/>
              </w:rPr>
            </w:pPr>
            <w:r w:rsidRPr="00847F64">
              <w:t>0.45</w:t>
            </w:r>
          </w:p>
        </w:tc>
        <w:tc>
          <w:tcPr>
            <w:tcW w:w="1000" w:type="dxa"/>
            <w:tcMar>
              <w:top w:w="40" w:type="dxa"/>
              <w:left w:w="80" w:type="dxa"/>
              <w:bottom w:w="40" w:type="dxa"/>
              <w:right w:w="80" w:type="dxa"/>
            </w:tcMar>
          </w:tcPr>
          <w:p w14:paraId="4FF456F9" w14:textId="77777777" w:rsidR="00C26B65" w:rsidRPr="00847F64" w:rsidRDefault="00000000" w:rsidP="00847F64">
            <w:pPr>
              <w:jc w:val="both"/>
              <w:rPr>
                <w:sz w:val="24"/>
                <w:szCs w:val="24"/>
              </w:rPr>
            </w:pPr>
            <w:r w:rsidRPr="00847F64">
              <w:t>0.94</w:t>
            </w:r>
          </w:p>
        </w:tc>
        <w:tc>
          <w:tcPr>
            <w:tcW w:w="1000" w:type="dxa"/>
            <w:tcMar>
              <w:top w:w="40" w:type="dxa"/>
              <w:left w:w="80" w:type="dxa"/>
              <w:bottom w:w="40" w:type="dxa"/>
              <w:right w:w="80" w:type="dxa"/>
            </w:tcMar>
          </w:tcPr>
          <w:p w14:paraId="6BB96692" w14:textId="77777777" w:rsidR="00C26B65" w:rsidRPr="00847F64" w:rsidRDefault="00000000" w:rsidP="00847F64">
            <w:pPr>
              <w:jc w:val="both"/>
              <w:rPr>
                <w:sz w:val="24"/>
                <w:szCs w:val="24"/>
              </w:rPr>
            </w:pPr>
            <w:r w:rsidRPr="00847F64">
              <w:t>0.71</w:t>
            </w:r>
          </w:p>
        </w:tc>
        <w:tc>
          <w:tcPr>
            <w:tcW w:w="1900" w:type="dxa"/>
            <w:tcMar>
              <w:top w:w="40" w:type="dxa"/>
              <w:left w:w="80" w:type="dxa"/>
              <w:bottom w:w="40" w:type="dxa"/>
              <w:right w:w="80" w:type="dxa"/>
            </w:tcMar>
          </w:tcPr>
          <w:p w14:paraId="42A0E042" w14:textId="77777777" w:rsidR="00C26B65" w:rsidRPr="00847F64" w:rsidRDefault="00000000" w:rsidP="00847F64">
            <w:pPr>
              <w:jc w:val="both"/>
              <w:rPr>
                <w:sz w:val="24"/>
                <w:szCs w:val="24"/>
              </w:rPr>
            </w:pPr>
            <w:r w:rsidRPr="00847F64">
              <w:t>log₁₀ cells mL⁻¹</w:t>
            </w:r>
          </w:p>
        </w:tc>
      </w:tr>
      <w:tr w:rsidR="00C26B65" w:rsidRPr="00847F64" w14:paraId="60DB6CDE" w14:textId="77777777">
        <w:tc>
          <w:tcPr>
            <w:tcW w:w="1900" w:type="dxa"/>
            <w:tcMar>
              <w:top w:w="40" w:type="dxa"/>
              <w:left w:w="80" w:type="dxa"/>
              <w:bottom w:w="40" w:type="dxa"/>
              <w:right w:w="80" w:type="dxa"/>
            </w:tcMar>
          </w:tcPr>
          <w:p w14:paraId="0513504C" w14:textId="77777777" w:rsidR="00C26B65" w:rsidRPr="00847F64" w:rsidRDefault="00000000" w:rsidP="00847F64">
            <w:pPr>
              <w:jc w:val="both"/>
              <w:rPr>
                <w:sz w:val="24"/>
                <w:szCs w:val="24"/>
              </w:rPr>
            </w:pPr>
            <w:r w:rsidRPr="00847F64">
              <w:rPr>
                <w:i/>
                <w:iCs/>
              </w:rPr>
              <w:t>Cyanobacteria</w:t>
            </w:r>
          </w:p>
        </w:tc>
        <w:tc>
          <w:tcPr>
            <w:tcW w:w="1050" w:type="dxa"/>
            <w:tcMar>
              <w:top w:w="40" w:type="dxa"/>
              <w:left w:w="80" w:type="dxa"/>
              <w:bottom w:w="40" w:type="dxa"/>
              <w:right w:w="80" w:type="dxa"/>
            </w:tcMar>
          </w:tcPr>
          <w:p w14:paraId="50FC1926" w14:textId="77777777" w:rsidR="00C26B65" w:rsidRPr="00847F64" w:rsidRDefault="00000000" w:rsidP="00847F64">
            <w:pPr>
              <w:jc w:val="both"/>
              <w:rPr>
                <w:sz w:val="24"/>
                <w:szCs w:val="24"/>
              </w:rPr>
            </w:pPr>
            <w:r w:rsidRPr="00847F64">
              <w:t>BP081</w:t>
            </w:r>
          </w:p>
        </w:tc>
        <w:tc>
          <w:tcPr>
            <w:tcW w:w="620" w:type="dxa"/>
            <w:tcMar>
              <w:top w:w="40" w:type="dxa"/>
              <w:left w:w="80" w:type="dxa"/>
              <w:bottom w:w="40" w:type="dxa"/>
              <w:right w:w="80" w:type="dxa"/>
            </w:tcMar>
          </w:tcPr>
          <w:p w14:paraId="725DA0B7" w14:textId="77777777" w:rsidR="00C26B65" w:rsidRPr="00847F64" w:rsidRDefault="00000000" w:rsidP="00847F64">
            <w:pPr>
              <w:jc w:val="both"/>
              <w:rPr>
                <w:sz w:val="24"/>
                <w:szCs w:val="24"/>
              </w:rPr>
            </w:pPr>
            <w:r w:rsidRPr="00847F64">
              <w:t>69</w:t>
            </w:r>
          </w:p>
        </w:tc>
        <w:tc>
          <w:tcPr>
            <w:tcW w:w="1000" w:type="dxa"/>
            <w:tcMar>
              <w:top w:w="40" w:type="dxa"/>
              <w:left w:w="80" w:type="dxa"/>
              <w:bottom w:w="40" w:type="dxa"/>
              <w:right w:w="80" w:type="dxa"/>
            </w:tcMar>
          </w:tcPr>
          <w:p w14:paraId="0CEB8B7D" w14:textId="77777777" w:rsidR="00C26B65" w:rsidRPr="00847F64" w:rsidRDefault="00000000" w:rsidP="00847F64">
            <w:pPr>
              <w:jc w:val="both"/>
              <w:rPr>
                <w:sz w:val="24"/>
                <w:szCs w:val="24"/>
              </w:rPr>
            </w:pPr>
            <w:r w:rsidRPr="00847F64">
              <w:t>0.05</w:t>
            </w:r>
          </w:p>
        </w:tc>
        <w:tc>
          <w:tcPr>
            <w:tcW w:w="1000" w:type="dxa"/>
            <w:tcMar>
              <w:top w:w="40" w:type="dxa"/>
              <w:left w:w="80" w:type="dxa"/>
              <w:bottom w:w="40" w:type="dxa"/>
              <w:right w:w="80" w:type="dxa"/>
            </w:tcMar>
          </w:tcPr>
          <w:p w14:paraId="4352E964" w14:textId="77777777" w:rsidR="00C26B65" w:rsidRPr="00847F64" w:rsidRDefault="00000000" w:rsidP="00847F64">
            <w:pPr>
              <w:jc w:val="both"/>
              <w:rPr>
                <w:sz w:val="24"/>
                <w:szCs w:val="24"/>
              </w:rPr>
            </w:pPr>
            <w:r w:rsidRPr="00847F64">
              <w:t>1.02</w:t>
            </w:r>
          </w:p>
        </w:tc>
        <w:tc>
          <w:tcPr>
            <w:tcW w:w="1000" w:type="dxa"/>
            <w:tcMar>
              <w:top w:w="40" w:type="dxa"/>
              <w:left w:w="80" w:type="dxa"/>
              <w:bottom w:w="40" w:type="dxa"/>
              <w:right w:w="80" w:type="dxa"/>
            </w:tcMar>
          </w:tcPr>
          <w:p w14:paraId="5ED076E5" w14:textId="77777777" w:rsidR="00C26B65" w:rsidRPr="00847F64" w:rsidRDefault="00000000" w:rsidP="00847F64">
            <w:pPr>
              <w:jc w:val="both"/>
              <w:rPr>
                <w:sz w:val="24"/>
                <w:szCs w:val="24"/>
              </w:rPr>
            </w:pPr>
            <w:r w:rsidRPr="00847F64">
              <w:t>0.75</w:t>
            </w:r>
          </w:p>
        </w:tc>
        <w:tc>
          <w:tcPr>
            <w:tcW w:w="1900" w:type="dxa"/>
            <w:tcMar>
              <w:top w:w="40" w:type="dxa"/>
              <w:left w:w="80" w:type="dxa"/>
              <w:bottom w:w="40" w:type="dxa"/>
              <w:right w:w="80" w:type="dxa"/>
            </w:tcMar>
          </w:tcPr>
          <w:p w14:paraId="7E6E19A9" w14:textId="77777777" w:rsidR="00C26B65" w:rsidRPr="00847F64" w:rsidRDefault="00000000" w:rsidP="00847F64">
            <w:pPr>
              <w:jc w:val="both"/>
              <w:rPr>
                <w:sz w:val="24"/>
                <w:szCs w:val="24"/>
              </w:rPr>
            </w:pPr>
            <w:r w:rsidRPr="00847F64">
              <w:t>log₁₀ cells mL⁻¹</w:t>
            </w:r>
          </w:p>
        </w:tc>
      </w:tr>
      <w:tr w:rsidR="00C26B65" w:rsidRPr="00847F64" w14:paraId="4FC9A6A4" w14:textId="77777777">
        <w:tc>
          <w:tcPr>
            <w:tcW w:w="1900" w:type="dxa"/>
            <w:tcMar>
              <w:top w:w="40" w:type="dxa"/>
              <w:left w:w="80" w:type="dxa"/>
              <w:bottom w:w="40" w:type="dxa"/>
              <w:right w:w="80" w:type="dxa"/>
            </w:tcMar>
          </w:tcPr>
          <w:p w14:paraId="5CEC5FE1" w14:textId="77777777" w:rsidR="00C26B65" w:rsidRPr="00847F64" w:rsidRDefault="00000000" w:rsidP="00847F64">
            <w:pPr>
              <w:jc w:val="both"/>
              <w:rPr>
                <w:sz w:val="24"/>
                <w:szCs w:val="24"/>
              </w:rPr>
            </w:pPr>
            <w:r w:rsidRPr="00847F64">
              <w:rPr>
                <w:i/>
                <w:iCs/>
              </w:rPr>
              <w:t>Cyanobacteria</w:t>
            </w:r>
          </w:p>
        </w:tc>
        <w:tc>
          <w:tcPr>
            <w:tcW w:w="1050" w:type="dxa"/>
            <w:tcMar>
              <w:top w:w="40" w:type="dxa"/>
              <w:left w:w="80" w:type="dxa"/>
              <w:bottom w:w="40" w:type="dxa"/>
              <w:right w:w="80" w:type="dxa"/>
            </w:tcMar>
          </w:tcPr>
          <w:p w14:paraId="732735C5" w14:textId="77777777" w:rsidR="00C26B65" w:rsidRPr="00847F64" w:rsidRDefault="00000000" w:rsidP="00847F64">
            <w:pPr>
              <w:jc w:val="both"/>
              <w:rPr>
                <w:sz w:val="24"/>
                <w:szCs w:val="24"/>
              </w:rPr>
            </w:pPr>
            <w:r w:rsidRPr="00847F64">
              <w:t>BP085</w:t>
            </w:r>
          </w:p>
        </w:tc>
        <w:tc>
          <w:tcPr>
            <w:tcW w:w="620" w:type="dxa"/>
            <w:tcMar>
              <w:top w:w="40" w:type="dxa"/>
              <w:left w:w="80" w:type="dxa"/>
              <w:bottom w:w="40" w:type="dxa"/>
              <w:right w:w="80" w:type="dxa"/>
            </w:tcMar>
          </w:tcPr>
          <w:p w14:paraId="4246AA25" w14:textId="77777777" w:rsidR="00C26B65" w:rsidRPr="00847F64" w:rsidRDefault="00000000" w:rsidP="00847F64">
            <w:pPr>
              <w:jc w:val="both"/>
              <w:rPr>
                <w:sz w:val="24"/>
                <w:szCs w:val="24"/>
              </w:rPr>
            </w:pPr>
            <w:r w:rsidRPr="00847F64">
              <w:t>69</w:t>
            </w:r>
          </w:p>
        </w:tc>
        <w:tc>
          <w:tcPr>
            <w:tcW w:w="1000" w:type="dxa"/>
            <w:tcMar>
              <w:top w:w="40" w:type="dxa"/>
              <w:left w:w="80" w:type="dxa"/>
              <w:bottom w:w="40" w:type="dxa"/>
              <w:right w:w="80" w:type="dxa"/>
            </w:tcMar>
          </w:tcPr>
          <w:p w14:paraId="2BFA36B8" w14:textId="77777777" w:rsidR="00C26B65" w:rsidRPr="00847F64" w:rsidRDefault="00000000" w:rsidP="00847F64">
            <w:pPr>
              <w:jc w:val="both"/>
              <w:rPr>
                <w:sz w:val="24"/>
                <w:szCs w:val="24"/>
              </w:rPr>
            </w:pPr>
            <w:r w:rsidRPr="00847F64">
              <w:t>0.27</w:t>
            </w:r>
          </w:p>
        </w:tc>
        <w:tc>
          <w:tcPr>
            <w:tcW w:w="1000" w:type="dxa"/>
            <w:tcMar>
              <w:top w:w="40" w:type="dxa"/>
              <w:left w:w="80" w:type="dxa"/>
              <w:bottom w:w="40" w:type="dxa"/>
              <w:right w:w="80" w:type="dxa"/>
            </w:tcMar>
          </w:tcPr>
          <w:p w14:paraId="3911EC30" w14:textId="77777777" w:rsidR="00C26B65" w:rsidRPr="00847F64" w:rsidRDefault="00000000" w:rsidP="00847F64">
            <w:pPr>
              <w:jc w:val="both"/>
              <w:rPr>
                <w:sz w:val="24"/>
                <w:szCs w:val="24"/>
              </w:rPr>
            </w:pPr>
            <w:r w:rsidRPr="00847F64">
              <w:t>0.78</w:t>
            </w:r>
          </w:p>
        </w:tc>
        <w:tc>
          <w:tcPr>
            <w:tcW w:w="1000" w:type="dxa"/>
            <w:tcMar>
              <w:top w:w="40" w:type="dxa"/>
              <w:left w:w="80" w:type="dxa"/>
              <w:bottom w:w="40" w:type="dxa"/>
              <w:right w:w="80" w:type="dxa"/>
            </w:tcMar>
          </w:tcPr>
          <w:p w14:paraId="7F9EC1E1" w14:textId="77777777" w:rsidR="00C26B65" w:rsidRPr="00847F64" w:rsidRDefault="00000000" w:rsidP="00847F64">
            <w:pPr>
              <w:jc w:val="both"/>
              <w:rPr>
                <w:sz w:val="24"/>
                <w:szCs w:val="24"/>
              </w:rPr>
            </w:pPr>
            <w:r w:rsidRPr="00847F64">
              <w:t>0.62</w:t>
            </w:r>
          </w:p>
        </w:tc>
        <w:tc>
          <w:tcPr>
            <w:tcW w:w="1900" w:type="dxa"/>
            <w:tcMar>
              <w:top w:w="40" w:type="dxa"/>
              <w:left w:w="80" w:type="dxa"/>
              <w:bottom w:w="40" w:type="dxa"/>
              <w:right w:w="80" w:type="dxa"/>
            </w:tcMar>
          </w:tcPr>
          <w:p w14:paraId="0880C9C8" w14:textId="77777777" w:rsidR="00C26B65" w:rsidRPr="00847F64" w:rsidRDefault="00000000" w:rsidP="00847F64">
            <w:pPr>
              <w:jc w:val="both"/>
              <w:rPr>
                <w:sz w:val="24"/>
                <w:szCs w:val="24"/>
              </w:rPr>
            </w:pPr>
            <w:r w:rsidRPr="00847F64">
              <w:t>log₁₀ cells mL⁻¹</w:t>
            </w:r>
          </w:p>
        </w:tc>
      </w:tr>
      <w:tr w:rsidR="00C26B65" w:rsidRPr="00847F64" w14:paraId="295C2F1D" w14:textId="77777777">
        <w:tc>
          <w:tcPr>
            <w:tcW w:w="1900" w:type="dxa"/>
            <w:tcMar>
              <w:top w:w="40" w:type="dxa"/>
              <w:left w:w="80" w:type="dxa"/>
              <w:bottom w:w="40" w:type="dxa"/>
              <w:right w:w="80" w:type="dxa"/>
            </w:tcMar>
          </w:tcPr>
          <w:p w14:paraId="060AC922" w14:textId="77777777" w:rsidR="00C26B65" w:rsidRPr="00847F64" w:rsidRDefault="00000000" w:rsidP="00847F64">
            <w:pPr>
              <w:jc w:val="both"/>
              <w:rPr>
                <w:sz w:val="24"/>
                <w:szCs w:val="24"/>
              </w:rPr>
            </w:pPr>
            <w:r w:rsidRPr="00847F64">
              <w:rPr>
                <w:i/>
                <w:iCs/>
              </w:rPr>
              <w:t>Chlorophyll-a</w:t>
            </w:r>
          </w:p>
        </w:tc>
        <w:tc>
          <w:tcPr>
            <w:tcW w:w="1050" w:type="dxa"/>
            <w:tcMar>
              <w:top w:w="40" w:type="dxa"/>
              <w:left w:w="80" w:type="dxa"/>
              <w:bottom w:w="40" w:type="dxa"/>
              <w:right w:w="80" w:type="dxa"/>
            </w:tcMar>
          </w:tcPr>
          <w:p w14:paraId="66D2D1E0" w14:textId="77777777" w:rsidR="00C26B65" w:rsidRPr="00847F64" w:rsidRDefault="00000000" w:rsidP="00847F64">
            <w:pPr>
              <w:jc w:val="both"/>
              <w:rPr>
                <w:sz w:val="24"/>
                <w:szCs w:val="24"/>
              </w:rPr>
            </w:pPr>
            <w:r w:rsidRPr="00847F64">
              <w:t>BP075</w:t>
            </w:r>
          </w:p>
        </w:tc>
        <w:tc>
          <w:tcPr>
            <w:tcW w:w="620" w:type="dxa"/>
            <w:tcMar>
              <w:top w:w="40" w:type="dxa"/>
              <w:left w:w="80" w:type="dxa"/>
              <w:bottom w:w="40" w:type="dxa"/>
              <w:right w:w="80" w:type="dxa"/>
            </w:tcMar>
          </w:tcPr>
          <w:p w14:paraId="40CA64E1" w14:textId="77777777" w:rsidR="00C26B65" w:rsidRPr="00847F64" w:rsidRDefault="00000000" w:rsidP="00847F64">
            <w:pPr>
              <w:jc w:val="both"/>
              <w:rPr>
                <w:sz w:val="24"/>
                <w:szCs w:val="24"/>
              </w:rPr>
            </w:pPr>
            <w:r w:rsidRPr="00847F64">
              <w:t>80</w:t>
            </w:r>
          </w:p>
        </w:tc>
        <w:tc>
          <w:tcPr>
            <w:tcW w:w="1000" w:type="dxa"/>
            <w:tcMar>
              <w:top w:w="40" w:type="dxa"/>
              <w:left w:w="80" w:type="dxa"/>
              <w:bottom w:w="40" w:type="dxa"/>
              <w:right w:w="80" w:type="dxa"/>
            </w:tcMar>
          </w:tcPr>
          <w:p w14:paraId="2F8CD1CC" w14:textId="77777777" w:rsidR="00C26B65" w:rsidRPr="00847F64" w:rsidRDefault="00000000" w:rsidP="00847F64">
            <w:pPr>
              <w:jc w:val="both"/>
              <w:rPr>
                <w:sz w:val="24"/>
                <w:szCs w:val="24"/>
              </w:rPr>
            </w:pPr>
            <w:r w:rsidRPr="00847F64">
              <w:t>0.28</w:t>
            </w:r>
          </w:p>
        </w:tc>
        <w:tc>
          <w:tcPr>
            <w:tcW w:w="1000" w:type="dxa"/>
            <w:tcMar>
              <w:top w:w="40" w:type="dxa"/>
              <w:left w:w="80" w:type="dxa"/>
              <w:bottom w:w="40" w:type="dxa"/>
              <w:right w:w="80" w:type="dxa"/>
            </w:tcMar>
          </w:tcPr>
          <w:p w14:paraId="48595294" w14:textId="77777777" w:rsidR="00C26B65" w:rsidRPr="00847F64" w:rsidRDefault="00000000" w:rsidP="00847F64">
            <w:pPr>
              <w:jc w:val="both"/>
              <w:rPr>
                <w:sz w:val="24"/>
                <w:szCs w:val="24"/>
              </w:rPr>
            </w:pPr>
            <w:r w:rsidRPr="00847F64">
              <w:t>49.4</w:t>
            </w:r>
          </w:p>
        </w:tc>
        <w:tc>
          <w:tcPr>
            <w:tcW w:w="1000" w:type="dxa"/>
            <w:tcMar>
              <w:top w:w="40" w:type="dxa"/>
              <w:left w:w="80" w:type="dxa"/>
              <w:bottom w:w="40" w:type="dxa"/>
              <w:right w:w="80" w:type="dxa"/>
            </w:tcMar>
          </w:tcPr>
          <w:p w14:paraId="25C1DEF2" w14:textId="77777777" w:rsidR="00C26B65" w:rsidRPr="00847F64" w:rsidRDefault="00000000" w:rsidP="00847F64">
            <w:pPr>
              <w:jc w:val="both"/>
              <w:rPr>
                <w:sz w:val="24"/>
                <w:szCs w:val="24"/>
              </w:rPr>
            </w:pPr>
            <w:r w:rsidRPr="00847F64">
              <w:t>33.0</w:t>
            </w:r>
          </w:p>
        </w:tc>
        <w:tc>
          <w:tcPr>
            <w:tcW w:w="1900" w:type="dxa"/>
            <w:tcMar>
              <w:top w:w="40" w:type="dxa"/>
              <w:left w:w="80" w:type="dxa"/>
              <w:bottom w:w="40" w:type="dxa"/>
              <w:right w:w="80" w:type="dxa"/>
            </w:tcMar>
          </w:tcPr>
          <w:p w14:paraId="1992A1F7" w14:textId="77777777" w:rsidR="00C26B65" w:rsidRPr="00847F64" w:rsidRDefault="00000000" w:rsidP="00847F64">
            <w:pPr>
              <w:jc w:val="both"/>
              <w:rPr>
                <w:sz w:val="24"/>
                <w:szCs w:val="24"/>
              </w:rPr>
            </w:pPr>
            <w:r w:rsidRPr="00847F64">
              <w:t>µg L⁻¹</w:t>
            </w:r>
          </w:p>
        </w:tc>
      </w:tr>
      <w:tr w:rsidR="00C26B65" w:rsidRPr="00847F64" w14:paraId="55D44781" w14:textId="77777777">
        <w:tc>
          <w:tcPr>
            <w:tcW w:w="1900" w:type="dxa"/>
            <w:tcMar>
              <w:top w:w="40" w:type="dxa"/>
              <w:left w:w="80" w:type="dxa"/>
              <w:bottom w:w="40" w:type="dxa"/>
              <w:right w:w="80" w:type="dxa"/>
            </w:tcMar>
          </w:tcPr>
          <w:p w14:paraId="50882FB8" w14:textId="77777777" w:rsidR="00C26B65" w:rsidRPr="00847F64" w:rsidRDefault="00000000" w:rsidP="00847F64">
            <w:pPr>
              <w:jc w:val="both"/>
              <w:rPr>
                <w:sz w:val="24"/>
                <w:szCs w:val="24"/>
              </w:rPr>
            </w:pPr>
            <w:r w:rsidRPr="00847F64">
              <w:rPr>
                <w:i/>
                <w:iCs/>
              </w:rPr>
              <w:t>Chlorophyll-a</w:t>
            </w:r>
          </w:p>
        </w:tc>
        <w:tc>
          <w:tcPr>
            <w:tcW w:w="1050" w:type="dxa"/>
            <w:tcMar>
              <w:top w:w="40" w:type="dxa"/>
              <w:left w:w="80" w:type="dxa"/>
              <w:bottom w:w="40" w:type="dxa"/>
              <w:right w:w="80" w:type="dxa"/>
            </w:tcMar>
          </w:tcPr>
          <w:p w14:paraId="139B8AED" w14:textId="77777777" w:rsidR="00C26B65" w:rsidRPr="00847F64" w:rsidRDefault="00000000" w:rsidP="00847F64">
            <w:pPr>
              <w:jc w:val="both"/>
              <w:rPr>
                <w:sz w:val="24"/>
                <w:szCs w:val="24"/>
              </w:rPr>
            </w:pPr>
            <w:r w:rsidRPr="00847F64">
              <w:t>BP081</w:t>
            </w:r>
          </w:p>
        </w:tc>
        <w:tc>
          <w:tcPr>
            <w:tcW w:w="620" w:type="dxa"/>
            <w:tcMar>
              <w:top w:w="40" w:type="dxa"/>
              <w:left w:w="80" w:type="dxa"/>
              <w:bottom w:w="40" w:type="dxa"/>
              <w:right w:w="80" w:type="dxa"/>
            </w:tcMar>
          </w:tcPr>
          <w:p w14:paraId="512D5AD9" w14:textId="77777777" w:rsidR="00C26B65" w:rsidRPr="00847F64" w:rsidRDefault="00000000" w:rsidP="00847F64">
            <w:pPr>
              <w:jc w:val="both"/>
              <w:rPr>
                <w:sz w:val="24"/>
                <w:szCs w:val="24"/>
              </w:rPr>
            </w:pPr>
            <w:r w:rsidRPr="00847F64">
              <w:t>80</w:t>
            </w:r>
          </w:p>
        </w:tc>
        <w:tc>
          <w:tcPr>
            <w:tcW w:w="1000" w:type="dxa"/>
            <w:tcMar>
              <w:top w:w="40" w:type="dxa"/>
              <w:left w:w="80" w:type="dxa"/>
              <w:bottom w:w="40" w:type="dxa"/>
              <w:right w:w="80" w:type="dxa"/>
            </w:tcMar>
          </w:tcPr>
          <w:p w14:paraId="54030BE0" w14:textId="77777777" w:rsidR="00C26B65" w:rsidRPr="00847F64" w:rsidRDefault="00000000" w:rsidP="00847F64">
            <w:pPr>
              <w:jc w:val="both"/>
              <w:rPr>
                <w:sz w:val="24"/>
                <w:szCs w:val="24"/>
              </w:rPr>
            </w:pPr>
            <w:r w:rsidRPr="00847F64">
              <w:t>0.27</w:t>
            </w:r>
          </w:p>
        </w:tc>
        <w:tc>
          <w:tcPr>
            <w:tcW w:w="1000" w:type="dxa"/>
            <w:tcMar>
              <w:top w:w="40" w:type="dxa"/>
              <w:left w:w="80" w:type="dxa"/>
              <w:bottom w:w="40" w:type="dxa"/>
              <w:right w:w="80" w:type="dxa"/>
            </w:tcMar>
          </w:tcPr>
          <w:p w14:paraId="13EB7070" w14:textId="77777777" w:rsidR="00C26B65" w:rsidRPr="00847F64" w:rsidRDefault="00000000" w:rsidP="00847F64">
            <w:pPr>
              <w:jc w:val="both"/>
              <w:rPr>
                <w:sz w:val="24"/>
                <w:szCs w:val="24"/>
              </w:rPr>
            </w:pPr>
            <w:r w:rsidRPr="00847F64">
              <w:t>9.75</w:t>
            </w:r>
          </w:p>
        </w:tc>
        <w:tc>
          <w:tcPr>
            <w:tcW w:w="1000" w:type="dxa"/>
            <w:tcMar>
              <w:top w:w="40" w:type="dxa"/>
              <w:left w:w="80" w:type="dxa"/>
              <w:bottom w:w="40" w:type="dxa"/>
              <w:right w:w="80" w:type="dxa"/>
            </w:tcMar>
          </w:tcPr>
          <w:p w14:paraId="4A4526EB" w14:textId="77777777" w:rsidR="00C26B65" w:rsidRPr="00847F64" w:rsidRDefault="00000000" w:rsidP="00847F64">
            <w:pPr>
              <w:jc w:val="both"/>
              <w:rPr>
                <w:sz w:val="24"/>
                <w:szCs w:val="24"/>
              </w:rPr>
            </w:pPr>
            <w:r w:rsidRPr="00847F64">
              <w:t>4.56</w:t>
            </w:r>
          </w:p>
        </w:tc>
        <w:tc>
          <w:tcPr>
            <w:tcW w:w="1900" w:type="dxa"/>
            <w:tcMar>
              <w:top w:w="40" w:type="dxa"/>
              <w:left w:w="80" w:type="dxa"/>
              <w:bottom w:w="40" w:type="dxa"/>
              <w:right w:w="80" w:type="dxa"/>
            </w:tcMar>
          </w:tcPr>
          <w:p w14:paraId="59F2E1FB" w14:textId="77777777" w:rsidR="00C26B65" w:rsidRPr="00847F64" w:rsidRDefault="00000000" w:rsidP="00847F64">
            <w:pPr>
              <w:jc w:val="both"/>
              <w:rPr>
                <w:sz w:val="24"/>
                <w:szCs w:val="24"/>
              </w:rPr>
            </w:pPr>
            <w:r w:rsidRPr="00847F64">
              <w:t>µg L⁻¹</w:t>
            </w:r>
          </w:p>
        </w:tc>
      </w:tr>
      <w:tr w:rsidR="00C26B65" w:rsidRPr="00847F64" w14:paraId="02D3EFA3" w14:textId="77777777">
        <w:tc>
          <w:tcPr>
            <w:tcW w:w="1900" w:type="dxa"/>
            <w:tcMar>
              <w:top w:w="40" w:type="dxa"/>
              <w:left w:w="80" w:type="dxa"/>
              <w:bottom w:w="40" w:type="dxa"/>
              <w:right w:w="80" w:type="dxa"/>
            </w:tcMar>
          </w:tcPr>
          <w:p w14:paraId="4BC7FA3A" w14:textId="77777777" w:rsidR="00C26B65" w:rsidRPr="00847F64" w:rsidRDefault="00000000" w:rsidP="00847F64">
            <w:pPr>
              <w:jc w:val="both"/>
              <w:rPr>
                <w:sz w:val="24"/>
                <w:szCs w:val="24"/>
              </w:rPr>
            </w:pPr>
            <w:r w:rsidRPr="00847F64">
              <w:rPr>
                <w:i/>
                <w:iCs/>
              </w:rPr>
              <w:t>Chlorophyll-a</w:t>
            </w:r>
          </w:p>
        </w:tc>
        <w:tc>
          <w:tcPr>
            <w:tcW w:w="1050" w:type="dxa"/>
            <w:tcMar>
              <w:top w:w="40" w:type="dxa"/>
              <w:left w:w="80" w:type="dxa"/>
              <w:bottom w:w="40" w:type="dxa"/>
              <w:right w:w="80" w:type="dxa"/>
            </w:tcMar>
          </w:tcPr>
          <w:p w14:paraId="51D75F28" w14:textId="77777777" w:rsidR="00C26B65" w:rsidRPr="00847F64" w:rsidRDefault="00000000" w:rsidP="00847F64">
            <w:pPr>
              <w:jc w:val="both"/>
              <w:rPr>
                <w:sz w:val="24"/>
                <w:szCs w:val="24"/>
              </w:rPr>
            </w:pPr>
            <w:r w:rsidRPr="00847F64">
              <w:t>BP085</w:t>
            </w:r>
          </w:p>
        </w:tc>
        <w:tc>
          <w:tcPr>
            <w:tcW w:w="620" w:type="dxa"/>
            <w:tcMar>
              <w:top w:w="40" w:type="dxa"/>
              <w:left w:w="80" w:type="dxa"/>
              <w:bottom w:w="40" w:type="dxa"/>
              <w:right w:w="80" w:type="dxa"/>
            </w:tcMar>
          </w:tcPr>
          <w:p w14:paraId="4E6A6470" w14:textId="77777777" w:rsidR="00C26B65" w:rsidRPr="00847F64" w:rsidRDefault="00000000" w:rsidP="00847F64">
            <w:pPr>
              <w:jc w:val="both"/>
              <w:rPr>
                <w:sz w:val="24"/>
                <w:szCs w:val="24"/>
              </w:rPr>
            </w:pPr>
            <w:r w:rsidRPr="00847F64">
              <w:t>73</w:t>
            </w:r>
          </w:p>
        </w:tc>
        <w:tc>
          <w:tcPr>
            <w:tcW w:w="1000" w:type="dxa"/>
            <w:tcMar>
              <w:top w:w="40" w:type="dxa"/>
              <w:left w:w="80" w:type="dxa"/>
              <w:bottom w:w="40" w:type="dxa"/>
              <w:right w:w="80" w:type="dxa"/>
            </w:tcMar>
          </w:tcPr>
          <w:p w14:paraId="629BED89" w14:textId="77777777" w:rsidR="00C26B65" w:rsidRPr="00847F64" w:rsidRDefault="00000000" w:rsidP="00847F64">
            <w:pPr>
              <w:jc w:val="both"/>
              <w:rPr>
                <w:sz w:val="24"/>
                <w:szCs w:val="24"/>
              </w:rPr>
            </w:pPr>
            <w:r w:rsidRPr="00847F64">
              <w:t>0.06</w:t>
            </w:r>
          </w:p>
        </w:tc>
        <w:tc>
          <w:tcPr>
            <w:tcW w:w="1000" w:type="dxa"/>
            <w:tcMar>
              <w:top w:w="40" w:type="dxa"/>
              <w:left w:w="80" w:type="dxa"/>
              <w:bottom w:w="40" w:type="dxa"/>
              <w:right w:w="80" w:type="dxa"/>
            </w:tcMar>
          </w:tcPr>
          <w:p w14:paraId="12F47A3D" w14:textId="77777777" w:rsidR="00C26B65" w:rsidRPr="00847F64" w:rsidRDefault="00000000" w:rsidP="00847F64">
            <w:pPr>
              <w:jc w:val="both"/>
              <w:rPr>
                <w:sz w:val="24"/>
                <w:szCs w:val="24"/>
              </w:rPr>
            </w:pPr>
            <w:r w:rsidRPr="00847F64">
              <w:t>18.8</w:t>
            </w:r>
          </w:p>
        </w:tc>
        <w:tc>
          <w:tcPr>
            <w:tcW w:w="1000" w:type="dxa"/>
            <w:tcMar>
              <w:top w:w="40" w:type="dxa"/>
              <w:left w:w="80" w:type="dxa"/>
              <w:bottom w:w="40" w:type="dxa"/>
              <w:right w:w="80" w:type="dxa"/>
            </w:tcMar>
          </w:tcPr>
          <w:p w14:paraId="480224FD" w14:textId="77777777" w:rsidR="00C26B65" w:rsidRPr="00847F64" w:rsidRDefault="00000000" w:rsidP="00847F64">
            <w:pPr>
              <w:jc w:val="both"/>
              <w:rPr>
                <w:sz w:val="24"/>
                <w:szCs w:val="24"/>
              </w:rPr>
            </w:pPr>
            <w:r w:rsidRPr="00847F64">
              <w:t>11.6</w:t>
            </w:r>
          </w:p>
        </w:tc>
        <w:tc>
          <w:tcPr>
            <w:tcW w:w="1900" w:type="dxa"/>
            <w:tcMar>
              <w:top w:w="40" w:type="dxa"/>
              <w:left w:w="80" w:type="dxa"/>
              <w:bottom w:w="40" w:type="dxa"/>
              <w:right w:w="80" w:type="dxa"/>
            </w:tcMar>
          </w:tcPr>
          <w:p w14:paraId="1551EBE8" w14:textId="77777777" w:rsidR="00C26B65" w:rsidRPr="00847F64" w:rsidRDefault="00000000" w:rsidP="00847F64">
            <w:pPr>
              <w:jc w:val="both"/>
              <w:rPr>
                <w:sz w:val="24"/>
                <w:szCs w:val="24"/>
              </w:rPr>
            </w:pPr>
            <w:r w:rsidRPr="00847F64">
              <w:t>µg L⁻¹</w:t>
            </w:r>
          </w:p>
        </w:tc>
      </w:tr>
      <w:tr w:rsidR="00C26B65" w:rsidRPr="00847F64" w14:paraId="0BA79CF6" w14:textId="77777777">
        <w:tc>
          <w:tcPr>
            <w:tcW w:w="1900" w:type="dxa"/>
            <w:tcMar>
              <w:top w:w="40" w:type="dxa"/>
              <w:left w:w="80" w:type="dxa"/>
              <w:bottom w:w="40" w:type="dxa"/>
              <w:right w:w="80" w:type="dxa"/>
            </w:tcMar>
          </w:tcPr>
          <w:p w14:paraId="179CF737" w14:textId="77777777" w:rsidR="00C26B65" w:rsidRPr="00847F64" w:rsidRDefault="00000000" w:rsidP="00847F64">
            <w:pPr>
              <w:jc w:val="both"/>
              <w:rPr>
                <w:sz w:val="24"/>
                <w:szCs w:val="24"/>
              </w:rPr>
            </w:pPr>
            <w:proofErr w:type="spellStart"/>
            <w:r w:rsidRPr="00847F64">
              <w:rPr>
                <w:i/>
                <w:iCs/>
              </w:rPr>
              <w:t>RCCa</w:t>
            </w:r>
            <w:proofErr w:type="spellEnd"/>
          </w:p>
        </w:tc>
        <w:tc>
          <w:tcPr>
            <w:tcW w:w="1050" w:type="dxa"/>
            <w:tcMar>
              <w:top w:w="40" w:type="dxa"/>
              <w:left w:w="80" w:type="dxa"/>
              <w:bottom w:w="40" w:type="dxa"/>
              <w:right w:w="80" w:type="dxa"/>
            </w:tcMar>
          </w:tcPr>
          <w:p w14:paraId="7BC4B8E5" w14:textId="77777777" w:rsidR="00C26B65" w:rsidRPr="00847F64" w:rsidRDefault="00000000" w:rsidP="00847F64">
            <w:pPr>
              <w:jc w:val="both"/>
              <w:rPr>
                <w:sz w:val="24"/>
                <w:szCs w:val="24"/>
              </w:rPr>
            </w:pPr>
            <w:r w:rsidRPr="00847F64">
              <w:t>BP075</w:t>
            </w:r>
          </w:p>
        </w:tc>
        <w:tc>
          <w:tcPr>
            <w:tcW w:w="620" w:type="dxa"/>
            <w:tcMar>
              <w:top w:w="40" w:type="dxa"/>
              <w:left w:w="80" w:type="dxa"/>
              <w:bottom w:w="40" w:type="dxa"/>
              <w:right w:w="80" w:type="dxa"/>
            </w:tcMar>
          </w:tcPr>
          <w:p w14:paraId="44F617B6" w14:textId="77777777" w:rsidR="00C26B65" w:rsidRPr="00847F64" w:rsidRDefault="00000000" w:rsidP="00847F64">
            <w:pPr>
              <w:jc w:val="both"/>
              <w:rPr>
                <w:sz w:val="24"/>
                <w:szCs w:val="24"/>
              </w:rPr>
            </w:pPr>
            <w:r w:rsidRPr="00847F64">
              <w:t>78</w:t>
            </w:r>
          </w:p>
        </w:tc>
        <w:tc>
          <w:tcPr>
            <w:tcW w:w="1000" w:type="dxa"/>
            <w:tcMar>
              <w:top w:w="40" w:type="dxa"/>
              <w:left w:w="80" w:type="dxa"/>
              <w:bottom w:w="40" w:type="dxa"/>
              <w:right w:w="80" w:type="dxa"/>
            </w:tcMar>
          </w:tcPr>
          <w:p w14:paraId="2FF877F6" w14:textId="77777777" w:rsidR="00C26B65" w:rsidRPr="00847F64" w:rsidRDefault="00000000" w:rsidP="00847F64">
            <w:pPr>
              <w:jc w:val="both"/>
              <w:rPr>
                <w:sz w:val="24"/>
                <w:szCs w:val="24"/>
              </w:rPr>
            </w:pPr>
            <w:r w:rsidRPr="00847F64">
              <w:t>−0.02</w:t>
            </w:r>
          </w:p>
        </w:tc>
        <w:tc>
          <w:tcPr>
            <w:tcW w:w="1000" w:type="dxa"/>
            <w:tcMar>
              <w:top w:w="40" w:type="dxa"/>
              <w:left w:w="80" w:type="dxa"/>
              <w:bottom w:w="40" w:type="dxa"/>
              <w:right w:w="80" w:type="dxa"/>
            </w:tcMar>
          </w:tcPr>
          <w:p w14:paraId="6A1EDFD9" w14:textId="77777777" w:rsidR="00C26B65" w:rsidRPr="00847F64" w:rsidRDefault="00000000" w:rsidP="00847F64">
            <w:pPr>
              <w:jc w:val="both"/>
              <w:rPr>
                <w:sz w:val="24"/>
                <w:szCs w:val="24"/>
              </w:rPr>
            </w:pPr>
            <w:r w:rsidRPr="00847F64">
              <w:t>2355</w:t>
            </w:r>
          </w:p>
        </w:tc>
        <w:tc>
          <w:tcPr>
            <w:tcW w:w="1000" w:type="dxa"/>
            <w:tcMar>
              <w:top w:w="40" w:type="dxa"/>
              <w:left w:w="80" w:type="dxa"/>
              <w:bottom w:w="40" w:type="dxa"/>
              <w:right w:w="80" w:type="dxa"/>
            </w:tcMar>
          </w:tcPr>
          <w:p w14:paraId="3D7E6C9C" w14:textId="77777777" w:rsidR="00C26B65" w:rsidRPr="00847F64" w:rsidRDefault="00000000" w:rsidP="00847F64">
            <w:pPr>
              <w:jc w:val="both"/>
              <w:rPr>
                <w:sz w:val="24"/>
                <w:szCs w:val="24"/>
              </w:rPr>
            </w:pPr>
            <w:r w:rsidRPr="00847F64">
              <w:t>1234</w:t>
            </w:r>
          </w:p>
        </w:tc>
        <w:tc>
          <w:tcPr>
            <w:tcW w:w="1900" w:type="dxa"/>
            <w:tcMar>
              <w:top w:w="40" w:type="dxa"/>
              <w:left w:w="80" w:type="dxa"/>
              <w:bottom w:w="40" w:type="dxa"/>
              <w:right w:w="80" w:type="dxa"/>
            </w:tcMar>
          </w:tcPr>
          <w:p w14:paraId="36198247" w14:textId="77777777" w:rsidR="00C26B65" w:rsidRPr="00847F64" w:rsidRDefault="00000000" w:rsidP="00847F64">
            <w:pPr>
              <w:jc w:val="both"/>
              <w:rPr>
                <w:sz w:val="24"/>
                <w:szCs w:val="24"/>
              </w:rPr>
            </w:pPr>
            <w:r w:rsidRPr="00847F64">
              <w:t>dimensionless</w:t>
            </w:r>
          </w:p>
        </w:tc>
      </w:tr>
      <w:tr w:rsidR="00C26B65" w:rsidRPr="00847F64" w14:paraId="5CE4B17B" w14:textId="77777777">
        <w:tc>
          <w:tcPr>
            <w:tcW w:w="1900" w:type="dxa"/>
            <w:tcMar>
              <w:top w:w="40" w:type="dxa"/>
              <w:left w:w="80" w:type="dxa"/>
              <w:bottom w:w="40" w:type="dxa"/>
              <w:right w:w="80" w:type="dxa"/>
            </w:tcMar>
          </w:tcPr>
          <w:p w14:paraId="383D4190" w14:textId="77777777" w:rsidR="00C26B65" w:rsidRPr="00847F64" w:rsidRDefault="00000000" w:rsidP="00847F64">
            <w:pPr>
              <w:jc w:val="both"/>
              <w:rPr>
                <w:sz w:val="24"/>
                <w:szCs w:val="24"/>
              </w:rPr>
            </w:pPr>
            <w:proofErr w:type="spellStart"/>
            <w:r w:rsidRPr="00847F64">
              <w:rPr>
                <w:i/>
                <w:iCs/>
              </w:rPr>
              <w:t>RCCa</w:t>
            </w:r>
            <w:proofErr w:type="spellEnd"/>
          </w:p>
        </w:tc>
        <w:tc>
          <w:tcPr>
            <w:tcW w:w="1050" w:type="dxa"/>
            <w:tcMar>
              <w:top w:w="40" w:type="dxa"/>
              <w:left w:w="80" w:type="dxa"/>
              <w:bottom w:w="40" w:type="dxa"/>
              <w:right w:w="80" w:type="dxa"/>
            </w:tcMar>
          </w:tcPr>
          <w:p w14:paraId="210913FF" w14:textId="77777777" w:rsidR="00C26B65" w:rsidRPr="00847F64" w:rsidRDefault="00000000" w:rsidP="00847F64">
            <w:pPr>
              <w:jc w:val="both"/>
              <w:rPr>
                <w:sz w:val="24"/>
                <w:szCs w:val="24"/>
              </w:rPr>
            </w:pPr>
            <w:r w:rsidRPr="00847F64">
              <w:t>BP081</w:t>
            </w:r>
          </w:p>
        </w:tc>
        <w:tc>
          <w:tcPr>
            <w:tcW w:w="620" w:type="dxa"/>
            <w:tcMar>
              <w:top w:w="40" w:type="dxa"/>
              <w:left w:w="80" w:type="dxa"/>
              <w:bottom w:w="40" w:type="dxa"/>
              <w:right w:w="80" w:type="dxa"/>
            </w:tcMar>
          </w:tcPr>
          <w:p w14:paraId="7450D994" w14:textId="77777777" w:rsidR="00C26B65" w:rsidRPr="00847F64" w:rsidRDefault="00000000" w:rsidP="00847F64">
            <w:pPr>
              <w:jc w:val="both"/>
              <w:rPr>
                <w:sz w:val="24"/>
                <w:szCs w:val="24"/>
              </w:rPr>
            </w:pPr>
            <w:r w:rsidRPr="00847F64">
              <w:t>78</w:t>
            </w:r>
          </w:p>
        </w:tc>
        <w:tc>
          <w:tcPr>
            <w:tcW w:w="1000" w:type="dxa"/>
            <w:tcMar>
              <w:top w:w="40" w:type="dxa"/>
              <w:left w:w="80" w:type="dxa"/>
              <w:bottom w:w="40" w:type="dxa"/>
              <w:right w:w="80" w:type="dxa"/>
            </w:tcMar>
          </w:tcPr>
          <w:p w14:paraId="5CB7E897" w14:textId="77777777" w:rsidR="00C26B65" w:rsidRPr="00847F64" w:rsidRDefault="00000000" w:rsidP="00847F64">
            <w:pPr>
              <w:jc w:val="both"/>
              <w:rPr>
                <w:sz w:val="24"/>
                <w:szCs w:val="24"/>
              </w:rPr>
            </w:pPr>
            <w:r w:rsidRPr="00847F64">
              <w:t>−0.25</w:t>
            </w:r>
          </w:p>
        </w:tc>
        <w:tc>
          <w:tcPr>
            <w:tcW w:w="1000" w:type="dxa"/>
            <w:tcMar>
              <w:top w:w="40" w:type="dxa"/>
              <w:left w:w="80" w:type="dxa"/>
              <w:bottom w:w="40" w:type="dxa"/>
              <w:right w:w="80" w:type="dxa"/>
            </w:tcMar>
          </w:tcPr>
          <w:p w14:paraId="1662E35E" w14:textId="77777777" w:rsidR="00C26B65" w:rsidRPr="00847F64" w:rsidRDefault="00000000" w:rsidP="00847F64">
            <w:pPr>
              <w:jc w:val="both"/>
              <w:rPr>
                <w:sz w:val="24"/>
                <w:szCs w:val="24"/>
              </w:rPr>
            </w:pPr>
            <w:r w:rsidRPr="00847F64">
              <w:t>31430</w:t>
            </w:r>
          </w:p>
        </w:tc>
        <w:tc>
          <w:tcPr>
            <w:tcW w:w="1000" w:type="dxa"/>
            <w:tcMar>
              <w:top w:w="40" w:type="dxa"/>
              <w:left w:w="80" w:type="dxa"/>
              <w:bottom w:w="40" w:type="dxa"/>
              <w:right w:w="80" w:type="dxa"/>
            </w:tcMar>
          </w:tcPr>
          <w:p w14:paraId="6AB93FF3" w14:textId="77777777" w:rsidR="00C26B65" w:rsidRPr="00847F64" w:rsidRDefault="00000000" w:rsidP="00847F64">
            <w:pPr>
              <w:jc w:val="both"/>
              <w:rPr>
                <w:sz w:val="24"/>
                <w:szCs w:val="24"/>
              </w:rPr>
            </w:pPr>
            <w:r w:rsidRPr="00847F64">
              <w:t>9675</w:t>
            </w:r>
          </w:p>
        </w:tc>
        <w:tc>
          <w:tcPr>
            <w:tcW w:w="1900" w:type="dxa"/>
            <w:tcMar>
              <w:top w:w="40" w:type="dxa"/>
              <w:left w:w="80" w:type="dxa"/>
              <w:bottom w:w="40" w:type="dxa"/>
              <w:right w:w="80" w:type="dxa"/>
            </w:tcMar>
          </w:tcPr>
          <w:p w14:paraId="5FD72CF6" w14:textId="77777777" w:rsidR="00C26B65" w:rsidRPr="00847F64" w:rsidRDefault="00000000" w:rsidP="00847F64">
            <w:pPr>
              <w:jc w:val="both"/>
              <w:rPr>
                <w:sz w:val="24"/>
                <w:szCs w:val="24"/>
              </w:rPr>
            </w:pPr>
            <w:r w:rsidRPr="00847F64">
              <w:t>dimensionless</w:t>
            </w:r>
          </w:p>
        </w:tc>
      </w:tr>
      <w:tr w:rsidR="00C26B65" w:rsidRPr="00847F64" w14:paraId="5FC962C6" w14:textId="77777777">
        <w:tc>
          <w:tcPr>
            <w:tcW w:w="1900" w:type="dxa"/>
            <w:tcMar>
              <w:top w:w="40" w:type="dxa"/>
              <w:left w:w="80" w:type="dxa"/>
              <w:bottom w:w="40" w:type="dxa"/>
              <w:right w:w="80" w:type="dxa"/>
            </w:tcMar>
          </w:tcPr>
          <w:p w14:paraId="4C79ACE6" w14:textId="77777777" w:rsidR="00C26B65" w:rsidRPr="00847F64" w:rsidRDefault="00000000" w:rsidP="00847F64">
            <w:pPr>
              <w:jc w:val="both"/>
              <w:rPr>
                <w:sz w:val="24"/>
                <w:szCs w:val="24"/>
              </w:rPr>
            </w:pPr>
            <w:proofErr w:type="spellStart"/>
            <w:r w:rsidRPr="00847F64">
              <w:rPr>
                <w:i/>
                <w:iCs/>
              </w:rPr>
              <w:t>RCCa</w:t>
            </w:r>
            <w:proofErr w:type="spellEnd"/>
          </w:p>
        </w:tc>
        <w:tc>
          <w:tcPr>
            <w:tcW w:w="1050" w:type="dxa"/>
            <w:tcMar>
              <w:top w:w="40" w:type="dxa"/>
              <w:left w:w="80" w:type="dxa"/>
              <w:bottom w:w="40" w:type="dxa"/>
              <w:right w:w="80" w:type="dxa"/>
            </w:tcMar>
          </w:tcPr>
          <w:p w14:paraId="72EADF00" w14:textId="77777777" w:rsidR="00C26B65" w:rsidRPr="00847F64" w:rsidRDefault="00000000" w:rsidP="00847F64">
            <w:pPr>
              <w:jc w:val="both"/>
              <w:rPr>
                <w:sz w:val="24"/>
                <w:szCs w:val="24"/>
              </w:rPr>
            </w:pPr>
            <w:r w:rsidRPr="00847F64">
              <w:t>BP085</w:t>
            </w:r>
          </w:p>
        </w:tc>
        <w:tc>
          <w:tcPr>
            <w:tcW w:w="620" w:type="dxa"/>
            <w:tcMar>
              <w:top w:w="40" w:type="dxa"/>
              <w:left w:w="80" w:type="dxa"/>
              <w:bottom w:w="40" w:type="dxa"/>
              <w:right w:w="80" w:type="dxa"/>
            </w:tcMar>
          </w:tcPr>
          <w:p w14:paraId="3779EEF9" w14:textId="77777777" w:rsidR="00C26B65" w:rsidRPr="00847F64" w:rsidRDefault="00000000" w:rsidP="00847F64">
            <w:pPr>
              <w:jc w:val="both"/>
              <w:rPr>
                <w:sz w:val="24"/>
                <w:szCs w:val="24"/>
              </w:rPr>
            </w:pPr>
            <w:r w:rsidRPr="00847F64">
              <w:t>73</w:t>
            </w:r>
          </w:p>
        </w:tc>
        <w:tc>
          <w:tcPr>
            <w:tcW w:w="1000" w:type="dxa"/>
            <w:tcMar>
              <w:top w:w="40" w:type="dxa"/>
              <w:left w:w="80" w:type="dxa"/>
              <w:bottom w:w="40" w:type="dxa"/>
              <w:right w:w="80" w:type="dxa"/>
            </w:tcMar>
          </w:tcPr>
          <w:p w14:paraId="5BD1968E" w14:textId="77777777" w:rsidR="00C26B65" w:rsidRPr="00847F64" w:rsidRDefault="00000000" w:rsidP="00847F64">
            <w:pPr>
              <w:jc w:val="both"/>
              <w:rPr>
                <w:sz w:val="24"/>
                <w:szCs w:val="24"/>
              </w:rPr>
            </w:pPr>
            <w:r w:rsidRPr="00847F64">
              <w:t>0.13</w:t>
            </w:r>
          </w:p>
        </w:tc>
        <w:tc>
          <w:tcPr>
            <w:tcW w:w="1000" w:type="dxa"/>
            <w:tcMar>
              <w:top w:w="40" w:type="dxa"/>
              <w:left w:w="80" w:type="dxa"/>
              <w:bottom w:w="40" w:type="dxa"/>
              <w:right w:w="80" w:type="dxa"/>
            </w:tcMar>
          </w:tcPr>
          <w:p w14:paraId="1289A619" w14:textId="77777777" w:rsidR="00C26B65" w:rsidRPr="00847F64" w:rsidRDefault="00000000" w:rsidP="00847F64">
            <w:pPr>
              <w:jc w:val="both"/>
              <w:rPr>
                <w:sz w:val="24"/>
                <w:szCs w:val="24"/>
              </w:rPr>
            </w:pPr>
            <w:r w:rsidRPr="00847F64">
              <w:t>6219</w:t>
            </w:r>
          </w:p>
        </w:tc>
        <w:tc>
          <w:tcPr>
            <w:tcW w:w="1000" w:type="dxa"/>
            <w:tcMar>
              <w:top w:w="40" w:type="dxa"/>
              <w:left w:w="80" w:type="dxa"/>
              <w:bottom w:w="40" w:type="dxa"/>
              <w:right w:w="80" w:type="dxa"/>
            </w:tcMar>
          </w:tcPr>
          <w:p w14:paraId="45B5BEC2" w14:textId="77777777" w:rsidR="00C26B65" w:rsidRPr="00847F64" w:rsidRDefault="00000000" w:rsidP="00847F64">
            <w:pPr>
              <w:jc w:val="both"/>
              <w:rPr>
                <w:sz w:val="24"/>
                <w:szCs w:val="24"/>
              </w:rPr>
            </w:pPr>
            <w:r w:rsidRPr="00847F64">
              <w:t>3392</w:t>
            </w:r>
          </w:p>
        </w:tc>
        <w:tc>
          <w:tcPr>
            <w:tcW w:w="1900" w:type="dxa"/>
            <w:tcMar>
              <w:top w:w="40" w:type="dxa"/>
              <w:left w:w="80" w:type="dxa"/>
              <w:bottom w:w="40" w:type="dxa"/>
              <w:right w:w="80" w:type="dxa"/>
            </w:tcMar>
          </w:tcPr>
          <w:p w14:paraId="686402B9" w14:textId="77777777" w:rsidR="00C26B65" w:rsidRPr="00847F64" w:rsidRDefault="00000000" w:rsidP="00847F64">
            <w:pPr>
              <w:jc w:val="both"/>
              <w:rPr>
                <w:sz w:val="24"/>
                <w:szCs w:val="24"/>
              </w:rPr>
            </w:pPr>
            <w:r w:rsidRPr="00847F64">
              <w:t>dimensionless</w:t>
            </w:r>
          </w:p>
        </w:tc>
      </w:tr>
    </w:tbl>
    <w:p w14:paraId="4BDF3187" w14:textId="04F214F7" w:rsidR="00C26B65" w:rsidRPr="00847F64" w:rsidRDefault="00000000" w:rsidP="002331FD">
      <w:pPr>
        <w:pStyle w:val="Ttulo2"/>
      </w:pPr>
      <w:r w:rsidRPr="00847F64">
        <w:t>S2. Station</w:t>
      </w:r>
      <w:r w:rsidR="00847F64" w:rsidRPr="00847F64">
        <w:t xml:space="preserve"> </w:t>
      </w:r>
      <w:r w:rsidRPr="00847F64">
        <w:t>wise Spearman correlations</w:t>
      </w:r>
    </w:p>
    <w:p w14:paraId="4C7BDB96" w14:textId="7706B50F" w:rsidR="00C26B65" w:rsidRPr="00847F64" w:rsidRDefault="00000000" w:rsidP="00847F64">
      <w:pPr>
        <w:spacing w:after="120"/>
        <w:jc w:val="both"/>
        <w:rPr>
          <w:sz w:val="24"/>
          <w:szCs w:val="24"/>
        </w:rPr>
      </w:pPr>
      <w:r w:rsidRPr="00847F64">
        <w:rPr>
          <w:sz w:val="24"/>
          <w:szCs w:val="24"/>
        </w:rPr>
        <w:t xml:space="preserve">Before the multivariate analysis, Spearman rank correlations </w:t>
      </w:r>
      <w:r w:rsidR="00F42174">
        <w:rPr>
          <w:sz w:val="24"/>
          <w:szCs w:val="24"/>
        </w:rPr>
        <w:t xml:space="preserve">were computed </w:t>
      </w:r>
      <w:r w:rsidRPr="00847F64">
        <w:rPr>
          <w:sz w:val="24"/>
          <w:szCs w:val="24"/>
        </w:rPr>
        <w:t>between each water</w:t>
      </w:r>
      <w:r w:rsidR="00847F64" w:rsidRPr="00847F64">
        <w:rPr>
          <w:sz w:val="24"/>
          <w:szCs w:val="24"/>
        </w:rPr>
        <w:t xml:space="preserve"> </w:t>
      </w:r>
      <w:r w:rsidRPr="00847F64">
        <w:rPr>
          <w:sz w:val="24"/>
          <w:szCs w:val="24"/>
        </w:rPr>
        <w:t>quality predictor and the three phytoplankton responses at each station (Figure S1). Upstream, phytoplankton metrics were associated mainly with nutrient, organic</w:t>
      </w:r>
      <w:r w:rsidR="00847F64" w:rsidRPr="00847F64">
        <w:rPr>
          <w:sz w:val="24"/>
          <w:szCs w:val="24"/>
        </w:rPr>
        <w:t xml:space="preserve"> </w:t>
      </w:r>
      <w:r w:rsidRPr="00847F64">
        <w:rPr>
          <w:sz w:val="24"/>
          <w:szCs w:val="24"/>
        </w:rPr>
        <w:t xml:space="preserve">load and </w:t>
      </w:r>
      <w:r w:rsidRPr="00847F64">
        <w:rPr>
          <w:sz w:val="24"/>
          <w:szCs w:val="24"/>
        </w:rPr>
        <w:lastRenderedPageBreak/>
        <w:t>physical descriptors, and all cyanobacterial associations were weak (|ρ| ≤ 0.34). At BP081, the station with the strongest sewage signature, both cyanobacterial density and chlorophyll-a correlated positively with total phosphorus and ammoniacal nitrogen, consistent with the well</w:t>
      </w:r>
      <w:r w:rsidR="00847F64" w:rsidRPr="00847F64">
        <w:rPr>
          <w:sz w:val="24"/>
          <w:szCs w:val="24"/>
        </w:rPr>
        <w:t xml:space="preserve"> </w:t>
      </w:r>
      <w:r w:rsidRPr="00847F64">
        <w:rPr>
          <w:sz w:val="24"/>
          <w:szCs w:val="24"/>
        </w:rPr>
        <w:t xml:space="preserve">established role of nitrogen and phosphorus supply in </w:t>
      </w:r>
      <w:r w:rsidRPr="00847F64">
        <w:rPr>
          <w:i/>
          <w:iCs/>
          <w:sz w:val="24"/>
          <w:szCs w:val="24"/>
        </w:rPr>
        <w:t>Eichhornia crassipes</w:t>
      </w:r>
      <w:r w:rsidR="00847F64" w:rsidRPr="00847F64">
        <w:rPr>
          <w:sz w:val="24"/>
          <w:szCs w:val="24"/>
        </w:rPr>
        <w:t xml:space="preserve"> </w:t>
      </w:r>
      <w:r w:rsidRPr="00847F64">
        <w:rPr>
          <w:sz w:val="24"/>
          <w:szCs w:val="24"/>
        </w:rPr>
        <w:t xml:space="preserve">dominated, eutrophic systems </w:t>
      </w:r>
      <w:r w:rsidR="00703B89">
        <w:rPr>
          <w:sz w:val="24"/>
          <w:szCs w:val="24"/>
        </w:rPr>
        <w:fldChar w:fldCharType="begin" w:fldLock="1"/>
      </w:r>
      <w:r w:rsidR="00703B89">
        <w:rPr>
          <w:sz w:val="24"/>
          <w:szCs w:val="24"/>
        </w:rPr>
        <w:instrText>ADDIN CSL_CITATION {"citationItems":[{"id":"ITEM-1","itemData":{"DOI":"10.1016/0304-3770(89)90089-2","ISSN":"03043770","abstract":"The effect of nitrogen (N) levels of the culture medium (0.5-50.5 mg N l-1 or 38-3820 mg N m-2 day-1) on net productivity and nutrient (N, phosphorus (P) and potassium (K)) storage by water hyacinth (Eichhornia crassipes (Mart.) Solms) plants was investigated using outdoor tanks. Net productivity increased with N supply rate of up to 5.5 mg N l-1 (or 416 mg N m-2 day-1); higher concentrations did not significantly increase the yield. The net productivity increased until plant tissue N content reached 16 mg N g-1 dry weight, but additional increase in tissue N content did not improve yield. However, N storage in the plant tissue increased in response to N supply rate with maximum N storage (80 g N m-2) measured in plants cultured at 50.5 mg N l-1. Plant density affected N storage in the tissue; when water hyacinths were cultured in N-limited water, plant tissue-N decreased by 75% within 4 weeks of growth. The storage of P and K in the plant tissue was increased up to 5.5 mg N l-1 and 2.5 mg N l-1 in the culture medium, respectively. © 1989.","author":[{"dropping-particle":"","family":"Reddy","given":"K. R.","non-dropping-particle":"","parse-names":false,"suffix":""},{"dropping-particle":"","family":"Agami","given":"M.","non-dropping-particle":"","parse-names":false,"suffix":""},{"dropping-particle":"","family":"Tucker","given":"J. C.","non-dropping-particle":"","parse-names":false,"suffix":""}],"container-title":"Aquatic Botany","id":"ITEM-1","issue":"1","issued":{"date-parts":[["1989"]]},"page":"33-43","title":"Influence of nitrogen supply rates on growth and nutrient storage by water hyacinth (Eichhornia crassipes) plants","type":"article-journal","volume":"36"},"uris":["http://www.mendeley.com/documents/?uuid=8b608562-566f-41f1-a11f-4f1fd5de5996"]},{"id":"ITEM-2","itemData":{"DOI":"10.1016/0304-3770(90)90021-C","ISSN":"03043770","abstract":"The net productivity and nutrient (phosphorus (P), nitrogen (N), and potassium (K) uptake and storage by water hyacinth (Eichhornia crassipes (Mart.) Solms) were evaluated at P concentrations of 0.06, 0.26, 0.56, 1.06, 2.56 and 10.06 mg P l-1 in the culture medium, using 1000-l outdoor tanks with a surface area of 1.7 m2. Biomass yield increased with an increase of P up to 1.06 mg P l-1, but higher concentrations did not increase biomass yield. Phosphorus storage by water hyacinth increased and decreased in response to P concentrations in the water. Maximum net productivity was measured at a plant tissue P content of 4.3 mg P g-1. Further increase in tissue P did not increase productivity. Plant density affected P storage in the tissue. When water hyacinth plants were cultured at a low P concentration (0.06 mg P l-1), plant tissue P decreased by 50% within the first week of growth. Nitrogen and K storage in plant tissue increased with P supply of up to 2.56 and 1.06 mg P l-1 in the culture medium, respectively. © 1990.","author":[{"dropping-particle":"","family":"Reddy","given":"K. R.","non-dropping-particle":"","parse-names":false,"suffix":""},{"dropping-particle":"","family":"Agami","given":"M.","non-dropping-particle":"","parse-names":false,"suffix":""},{"dropping-particle":"","family":"Tucker","given":"J. C.","non-dropping-particle":"","parse-names":false,"suffix":""}],"container-title":"Aquatic Botany","id":"ITEM-2","issue":"4","issued":{"date-parts":[["1990"]]},"page":"355-365","title":"Influence of phosphorus on growth and nutrient storage by water hyacinth (Eichhornia crassipes (Mart.) Solms) plants","type":"article-journal","volume":"37"},"uris":["http://www.mendeley.com/documents/?uuid=de1efff2-d15c-430e-a806-ac55375ed213"]}],"mendeley":{"formattedCitation":"(Reddy et al., 1989, 1990)","plainTextFormattedCitation":"(Reddy et al., 1989, 1990)","previouslyFormattedCitation":"(Reddy et al., 1989, 1990)"},"properties":{"noteIndex":0},"schema":"https://github.com/citation-style-language/schema/raw/master/csl-citation.json"}</w:instrText>
      </w:r>
      <w:r w:rsidR="00703B89">
        <w:rPr>
          <w:sz w:val="24"/>
          <w:szCs w:val="24"/>
        </w:rPr>
        <w:fldChar w:fldCharType="separate"/>
      </w:r>
      <w:r w:rsidR="00703B89" w:rsidRPr="00703B89">
        <w:rPr>
          <w:noProof/>
          <w:sz w:val="24"/>
          <w:szCs w:val="24"/>
        </w:rPr>
        <w:t>(Reddy et al., 1989, 1990)</w:t>
      </w:r>
      <w:r w:rsidR="00703B89">
        <w:rPr>
          <w:sz w:val="24"/>
          <w:szCs w:val="24"/>
        </w:rPr>
        <w:fldChar w:fldCharType="end"/>
      </w:r>
      <w:r w:rsidRPr="00847F64">
        <w:rPr>
          <w:sz w:val="24"/>
          <w:szCs w:val="24"/>
        </w:rPr>
        <w:t>; chlorophyll-a additionally followed a coherent organic</w:t>
      </w:r>
      <w:r w:rsidR="00847F64" w:rsidRPr="00847F64">
        <w:rPr>
          <w:sz w:val="24"/>
          <w:szCs w:val="24"/>
        </w:rPr>
        <w:t xml:space="preserve"> </w:t>
      </w:r>
      <w:r w:rsidRPr="00847F64">
        <w:rPr>
          <w:sz w:val="24"/>
          <w:szCs w:val="24"/>
        </w:rPr>
        <w:t>load signal (chemical and biochemical oxygen demand). At BP075 the associations were fewer and less structured. The weak absolute strength of the cyanobacterial correlations is itself consistent with the multi</w:t>
      </w:r>
      <w:r w:rsidR="00847F64" w:rsidRPr="00847F64">
        <w:rPr>
          <w:sz w:val="24"/>
          <w:szCs w:val="24"/>
        </w:rPr>
        <w:t xml:space="preserve"> </w:t>
      </w:r>
      <w:r w:rsidRPr="00847F64">
        <w:rPr>
          <w:sz w:val="24"/>
          <w:szCs w:val="24"/>
        </w:rPr>
        <w:t xml:space="preserve">factor control of bloom formation, in which no single variable dominates </w:t>
      </w:r>
      <w:r w:rsidR="00703B89">
        <w:rPr>
          <w:sz w:val="24"/>
          <w:szCs w:val="24"/>
        </w:rPr>
        <w:fldChar w:fldCharType="begin" w:fldLock="1"/>
      </w:r>
      <w:r w:rsidR="00703B89">
        <w:rPr>
          <w:sz w:val="24"/>
          <w:szCs w:val="24"/>
        </w:rPr>
        <w:instrText>ADDIN CSL_CITATION {"citationItems":[{"id":"ITEM-1","itemData":{"DOI":"10.1016/j.watres.2008.11.048","ISSN":"00431354","PMID":"19101006","abstract":"The Algae Online Analyser (AOA) fluorometer simultaneously distinguishes four different phytoplankton groups by their specific fluorescence spectra and thus allows for real-time in-situ chlorophyll a measurements per algal group. This AOA was used for monitoring cyanobacterial chlorophyll a in the drinking water at the Bronisławow Bay abstraction point in Sulejow Reservoir (Poland). The main goal of this research was to develop an early warning method for the detection of cyanobacterial biovolume in the source water, in order to establish an Alert Level Framework for the drinking water abstraction point in Sulejow Reservoir. A positive correlation between cyanobacterial biovolume, as determined by conventional methods, and cyanobacterial chlorophyll a, as measured by the AOA, was found (p &lt; 0.05). The results of this study were used to determine threshold values for the Alert Level Framework, based on cyanobacterial chlorophyll a concentrations in the source water of Sulejow Reservoir. The presented threshold values are determined specifically for this abstraction point, but the principles can be applied to other locations. © 2008 Elsevier Ltd. All rights reserved.","author":[{"dropping-particle":"","family":"Izydorczyk","given":"Katarzyna","non-dropping-particle":"","parse-names":false,"suffix":""},{"dropping-particle":"","family":"Carpentier","given":"Corina","non-dropping-particle":"","parse-names":false,"suffix":""},{"dropping-particle":"","family":"Mrówczyński","given":"Jarosław","non-dropping-particle":"","parse-names":false,"suffix":""},{"dropping-particle":"","family":"Wagenvoort","given":"Arco","non-dropping-particle":"","parse-names":false,"suffix":""},{"dropping-particle":"","family":"Jurczak","given":"Tomasz","non-dropping-particle":"","parse-names":false,"suffix":""},{"dropping-particle":"","family":"Tarczyńska","given":"Małgorzata","non-dropping-particle":"","parse-names":false,"suffix":""}],"container-title":"Water Research","id":"ITEM-1","issue":"4","issued":{"date-parts":[["2009"]]},"page":"989-996","title":"Establishment of an Alert Level Framework for cyanobacteria in drinking water resources by using the Algae Online Analyser for monitoring cyanobacterial chlorophyll a","type":"article-journal","volume":"43"},"uris":["http://www.mendeley.com/documents/?uuid=c36b5c4c-5a88-42eb-911d-6258ac56af7e"]}],"mendeley":{"formattedCitation":"(Izydorczyk et al., 2009)","plainTextFormattedCitation":"(Izydorczyk et al., 2009)","previouslyFormattedCitation":"(Izydorczyk et al., 2009)"},"properties":{"noteIndex":0},"schema":"https://github.com/citation-style-language/schema/raw/master/csl-citation.json"}</w:instrText>
      </w:r>
      <w:r w:rsidR="00703B89">
        <w:rPr>
          <w:sz w:val="24"/>
          <w:szCs w:val="24"/>
        </w:rPr>
        <w:fldChar w:fldCharType="separate"/>
      </w:r>
      <w:r w:rsidR="00703B89" w:rsidRPr="00703B89">
        <w:rPr>
          <w:noProof/>
          <w:sz w:val="24"/>
          <w:szCs w:val="24"/>
        </w:rPr>
        <w:t>(Izydorczyk et al., 2009)</w:t>
      </w:r>
      <w:r w:rsidR="00703B89">
        <w:rPr>
          <w:sz w:val="24"/>
          <w:szCs w:val="24"/>
        </w:rPr>
        <w:fldChar w:fldCharType="end"/>
      </w:r>
      <w:r w:rsidRPr="00847F64">
        <w:rPr>
          <w:sz w:val="24"/>
          <w:szCs w:val="24"/>
        </w:rPr>
        <w:t>.</w:t>
      </w:r>
    </w:p>
    <w:p w14:paraId="46A3F7A3" w14:textId="5C4752B8" w:rsidR="00C26B65" w:rsidRPr="00847F64" w:rsidRDefault="00000000" w:rsidP="00847F64">
      <w:pPr>
        <w:spacing w:after="120"/>
        <w:jc w:val="both"/>
        <w:rPr>
          <w:sz w:val="24"/>
          <w:szCs w:val="24"/>
        </w:rPr>
      </w:pPr>
      <w:r w:rsidRPr="00847F64">
        <w:rPr>
          <w:sz w:val="24"/>
          <w:szCs w:val="24"/>
        </w:rPr>
        <w:t>Downstream, at BP085, macrophyte cover became the distinguishing correlate, negatively associated with cyanobacterial density (ρ = −0.45) and with cyanobacterial dominance (</w:t>
      </w:r>
      <w:proofErr w:type="spellStart"/>
      <w:r w:rsidRPr="00847F64">
        <w:rPr>
          <w:sz w:val="24"/>
          <w:szCs w:val="24"/>
        </w:rPr>
        <w:t>RCCa</w:t>
      </w:r>
      <w:proofErr w:type="spellEnd"/>
      <w:r w:rsidRPr="00847F64">
        <w:rPr>
          <w:sz w:val="24"/>
          <w:szCs w:val="24"/>
        </w:rPr>
        <w:t>, ρ = −0.53) but not with chlorophyll-a. This selective association</w:t>
      </w:r>
      <w:r w:rsidR="00847F64" w:rsidRPr="00847F64">
        <w:rPr>
          <w:sz w:val="24"/>
          <w:szCs w:val="24"/>
        </w:rPr>
        <w:t>,</w:t>
      </w:r>
      <w:r w:rsidRPr="00847F64">
        <w:rPr>
          <w:sz w:val="24"/>
          <w:szCs w:val="24"/>
        </w:rPr>
        <w:t xml:space="preserve"> with the cyanobacterial fraction rather than with total phytoplankton biomass</w:t>
      </w:r>
      <w:r w:rsidR="00847F64" w:rsidRPr="00847F64">
        <w:rPr>
          <w:sz w:val="24"/>
          <w:szCs w:val="24"/>
        </w:rPr>
        <w:t>,</w:t>
      </w:r>
      <w:r w:rsidRPr="00847F64">
        <w:rPr>
          <w:sz w:val="24"/>
          <w:szCs w:val="24"/>
        </w:rPr>
        <w:t xml:space="preserve"> is consistent with evidence that dense macrophyte stands restructure phytoplankton communities through shading, nutrient competition and allelopathy rather than uniformly reducing biomass </w:t>
      </w:r>
      <w:r w:rsidR="00703B89">
        <w:rPr>
          <w:sz w:val="24"/>
          <w:szCs w:val="24"/>
        </w:rPr>
        <w:fldChar w:fldCharType="begin" w:fldLock="1"/>
      </w:r>
      <w:r w:rsidR="00703B89">
        <w:rPr>
          <w:sz w:val="24"/>
          <w:szCs w:val="24"/>
        </w:rPr>
        <w:instrText>ADDIN CSL_CITATION {"citationItems":[{"id":"ITEM-1","itemData":{"DOI":"10.1046/j.1529-8817.2002.t01-1-02001.x","author":[{"dropping-particle":"","family":"Körner","given":"Sabine","non-dropping-particle":"","parse-names":false,"suffix":""},{"dropping-particle":"","family":"Nicklisch","given":"Andreas","non-dropping-particle":"","parse-names":false,"suffix":""}],"container-title":"Journal of Phycology","id":"ITEM-1","issue":"June","issued":{"date-parts":[["2002"]]},"page":"862-871","title":"Allelopathic Growth Inhibition of Selected Phytoplankton Species by Submerged Macrophytes","type":"article-journal","volume":"38(5)"},"uris":["http://www.mendeley.com/documents/?uuid=0136740d-3506-45b9-b430-2bfd3cff16b6"]},{"id":"ITEM-2","itemData":{"DOI":"10.1016/j.ecoleng.2018.12.026","ISSN":"09258574","abstract":"Interactions between macrophytes and phytoplankton have been studied extensively in temperate water bodies, but far less attention has been paid to those for emergent macrophytes in the tropics. We investigated the effects of six emergent macrophyte species (Brachiaria mutica, Ipomoea aquatica, Sphagneticola trilobata, Ludwigia adscendens, Pandanus amaryllifolius and Persicaria barbata) on the phytoplankton community of a tropical reservoir using ex situ experiments with multiple planting densities (Treatment 1: 0.108, Treatment 2: 0.24, Treatment 3: 0.40, Treatment 4: 0.58 g dry weight L −1 ) in 100-L mesocosms. Chlorophyll a (as a proxy of total phytoplankton biomass) and phytoplankton community structure were examined. The initial phytoplankton community (average chlorophyll a: 20.36 ± 0.69 µg L −1 ) was dominated by cyanobacteria: Planktolyngybya, Pseudanabaena and Cylindrospermopsis (average relative biovolume 0.68 ± 0.03). Over four weeks, L. adscendens (Treatments 3 and 4) and P. barbata (Treatments 2 to 4) significantly reduced chlorophyll a concentrations by 3.29–6.69 µg L −1 compared to the controls. Comparing species effects over four weeks for Treatment 4, P. barbata significantly lowered chlorophyll a concentrations compared to I. aquatica while there were no significant differences between all other species. All treatments of L. adscendens and P. barbata significantly reduced the relative biovolume of cyanobacteria in the phytoplankton communities by 0.19–0.39 compared to the controls. The highest-density treatments of all six macrophyte species led to significant shifts in the phytoplankton community structure by reducing the relative abundance of filamentous cyanobacteria (Planktolyngbya, Pseudanabaena) and/or increasing the relative abundance of cryptomonads (Chroomonas, Rhodomonas). This study shows the potential of emergent macrophyte species, especially L. adscendens and P. barbata, to reduce total phytoplankton biomass and cyanobacterial dominance in tropical water bodies, and a range of plant densities which were effective.","author":[{"dropping-particle":"","family":"Mowe","given":"Maxine A.D.","non-dropping-particle":"","parse-names":false,"suffix":""},{"dropping-particle":"","family":"Song","given":"Yiluan","non-dropping-particle":"","parse-names":false,"suffix":""},{"dropping-particle":"","family":"Sim","given":"Darren Z.H.","non-dropping-particle":"","parse-names":false,"suffix":""},{"dropping-particle":"","family":"Lu","given":"Joy","non-dropping-particle":"","parse-names":false,"suffix":""},{"dropping-particle":"","family":"Mitrovic","given":"Simon M.","non-dropping-particle":"","parse-names":false,"suffix":""},{"dropping-particle":"","family":"Tan","given":"Hugh T.W.","non-dropping-particle":"","parse-names":false,"suffix":""},{"dropping-particle":"","family":"Yeo","given":"Darren C.J.","non-dropping-particle":"","parse-names":false,"suffix":""}],"container-title":"Ecological Engineering","id":"ITEM-2","issue":"January","issued":{"date-parts":[["2019"]]},"page":"11-21","publisher":"Elsevier","title":"Comparative study of six emergent macrophyte species for controlling cyanobacterial blooms in a tropical reservoir","type":"article-journal","volume":"129"},"uris":["http://www.mendeley.com/documents/?uuid=6b808455-5803-4df2-8240-94d7a3f7a92a"]},{"id":"ITEM-3","itemData":{"DOI":"10.1016/j.jhazmat.2025.138163","ISSN":"18733336","PMID":"40188544","abstract":"Although macrophytes can control filamentous cyanobacteria that produce 2-methylisoborneol (2-MIB) in lakes, there is a lack of evidence regarding the inhibitory effects of different macrophyte growth forms on 2-MIB producers, as well as the underlying mechanisms. To address this knowledge gap, this study compared the impact of floating-leaved and submerged macrophytes on Pseudanabaena growth and 2-MIB release, combing a field investigation and culture experiments. The field survey showed that both the Pseudanabaena cell density and 2-MIB concentrations were significantly lower in areas dominated by floating-leaved or submerged macrophytes than in phytoplankton-dominated areas. In the culture experiments, floating-leaved macrophytes exhibited overall stronger inhibitory effects on Pseudanabaena than submerged macrophytes. Allelopathic effects emerged as a more critical mechanism than nutrient competition and light limitation in controlling Pseudanabaena growth and 2-MIB release by regulating the photosynthetic activity, gene abundance, and cell density. Allelopathic experiments further confirmed that the dissolved organic matter released from Nymphoides peltate, Trapa bispinosa and Myriophyllum spicatum contained higher concentrations of allelochemicals than that released from Vallisneria natans and Ceratophyllum demersum, driving the photosynthetic inhibition pathway. These findings demonstrate that biological control has great promise as an effective method for odorant management in eutrophic shallow lakes.","author":[{"dropping-particle":"","family":"Cui","given":"Zhijie","non-dropping-particle":"","parse-names":false,"suffix":""},{"dropping-particle":"","family":"Yang","given":"Changtao","non-dropping-particle":"","parse-names":false,"suffix":""},{"dropping-particle":"","family":"Ma","given":"Limin","non-dropping-particle":"","parse-names":false,"suffix":""},{"dropping-particle":"","family":"Gu","given":"Xiaoyan","non-dropping-particle":"","parse-names":false,"suffix":""},{"dropping-particle":"","family":"Shen","given":"Xiaobing","non-dropping-particle":"","parse-names":false,"suffix":""},{"dropping-particle":"","family":"Wan","given":"Bin","non-dropping-particle":"","parse-names":false,"suffix":""},{"dropping-particle":"","family":"Tao","given":"Yuwei","non-dropping-particle":"","parse-names":false,"suffix":""},{"dropping-particle":"","family":"Sang","given":"Yuting","non-dropping-particle":"","parse-names":false,"suffix":""},{"dropping-particle":"","family":"Huang","given":"Qinghui","non-dropping-particle":"","parse-names":false,"suffix":""}],"container-title":"Journal of Hazardous Materials","id":"ITEM-3","issue":"January","issued":{"date-parts":[["2025"]]},"page":"138163","publisher":"Elsevier B.V.","title":"Floating-leaved and submerged macrophytes suppress filamentous cyanobacteria blooms and 2-MIB episodes in eutrophic shallow lakes","type":"article-journal","volume":"492"},"uris":["http://www.mendeley.com/documents/?uuid=310ffafa-5ddf-41a7-8929-46da4dbf1a14"]}],"mendeley":{"formattedCitation":"(Cui et al., 2025; Körner &amp; Nicklisch, 2002; Mowe et al., 2019)","plainTextFormattedCitation":"(Cui et al., 2025; Körner &amp; Nicklisch, 2002; Mowe et al., 2019)","previouslyFormattedCitation":"(Cui et al., 2025; Körner &amp; Nicklisch, 2002; Mowe et al., 2019)"},"properties":{"noteIndex":0},"schema":"https://github.com/citation-style-language/schema/raw/master/csl-citation.json"}</w:instrText>
      </w:r>
      <w:r w:rsidR="00703B89">
        <w:rPr>
          <w:sz w:val="24"/>
          <w:szCs w:val="24"/>
        </w:rPr>
        <w:fldChar w:fldCharType="separate"/>
      </w:r>
      <w:r w:rsidR="00703B89" w:rsidRPr="00703B89">
        <w:rPr>
          <w:noProof/>
          <w:sz w:val="24"/>
          <w:szCs w:val="24"/>
        </w:rPr>
        <w:t>(Cui et al., 2025; Körner &amp; Nicklisch, 2002; Mowe et al., 2019)</w:t>
      </w:r>
      <w:r w:rsidR="00703B89">
        <w:rPr>
          <w:sz w:val="24"/>
          <w:szCs w:val="24"/>
        </w:rPr>
        <w:fldChar w:fldCharType="end"/>
      </w:r>
      <w:r w:rsidRPr="00847F64">
        <w:rPr>
          <w:sz w:val="24"/>
          <w:szCs w:val="24"/>
        </w:rPr>
        <w:t xml:space="preserve">. True color was the strongest single correlate of both cyanobacterial density (ρ = −0.55) and </w:t>
      </w:r>
      <w:proofErr w:type="spellStart"/>
      <w:r w:rsidRPr="00847F64">
        <w:rPr>
          <w:sz w:val="24"/>
          <w:szCs w:val="24"/>
        </w:rPr>
        <w:t>RCCa</w:t>
      </w:r>
      <w:proofErr w:type="spellEnd"/>
      <w:r w:rsidRPr="00847F64">
        <w:rPr>
          <w:sz w:val="24"/>
          <w:szCs w:val="24"/>
        </w:rPr>
        <w:t xml:space="preserve"> (ρ = −0.59), and was itself positively correlated with macrophyte cover (ρ = +0.53, p &lt; 0.001). The two are therefore not independent predictors but likely index a common pathway, whereby colored dissolved organic matter released by dense and senescing floating mats links mat dynamics to the optical and chemical state of the water column </w:t>
      </w:r>
      <w:r w:rsidR="00703B89">
        <w:rPr>
          <w:sz w:val="24"/>
          <w:szCs w:val="24"/>
        </w:rPr>
        <w:fldChar w:fldCharType="begin" w:fldLock="1"/>
      </w:r>
      <w:r w:rsidR="00F26C92">
        <w:rPr>
          <w:sz w:val="24"/>
          <w:szCs w:val="24"/>
        </w:rPr>
        <w:instrText>ADDIN CSL_CITATION {"citationItems":[{"id":"ITEM-1","itemData":{"DOI":"10.1016/j.envpol.2006.06.005","ISSN":"02697491","PMID":"16905226","abstract":"The beneficial uptake of nutrients by wetland plants is countered to some extent by nutrient release back into the aquatic environment due to vegetative die-back. This current study examined whether Leersia oryzoides, a common wetland plant, exhibits luxury uptake of nutrients from simulated farm runoff. The study also tested whether with subsequent decomposition, these nutrients are released back into the water column. When exposed to elevated (&gt;2 mg/L N and P) runoff, L. oryzoides assimilated significantly higher concentrations of nitrogen (p &lt; 0.001) and phosphorus (p &lt; 0.001) in above-ground biomass as compared to non-enriched treatments (&lt;0.05 mg/L N and P). Subsequently, senescence of enriched above-ground biomass yielded significantly higher concentrations of phosphorus (2.19 ± 0.84 mg P/L). Using L. oryzoides as our model, this study demonstrates nitrogen and phosphorus sequestration during the growing season and release of phosphorus in the winter. © 2006 Elsevier Ltd. All rights reserved.","author":[{"dropping-particle":"","family":"Kröger","given":"R.","non-dropping-particle":"","parse-names":false,"suffix":""},{"dropping-particle":"","family":"Holland","given":"M. M.","non-dropping-particle":"","parse-names":false,"suffix":""},{"dropping-particle":"","family":"Moore","given":"M. T.","non-dropping-particle":"","parse-names":false,"suffix":""},{"dropping-particle":"","family":"Cooper","given":"C. M.","non-dropping-particle":"","parse-names":false,"suffix":""}],"container-title":"Environmental Pollution","id":"ITEM-1","issue":"1","issued":{"date-parts":[["2007"]]},"page":"114-119","title":"Plant senescence: A mechanism for nutrient release in temperate agricultural wetlands","type":"article-journal","volume":"146"},"uris":["http://www.mendeley.com/documents/?uuid=50404312-7382-4e41-8ad4-9581fc360e57"]}],"mendeley":{"formattedCitation":"(Kröger et al., 2007)","plainTextFormattedCitation":"(Kröger et al., 2007)","previouslyFormattedCitation":"(Kröger et al., 2007)"},"properties":{"noteIndex":0},"schema":"https://github.com/citation-style-language/schema/raw/master/csl-citation.json"}</w:instrText>
      </w:r>
      <w:r w:rsidR="00703B89">
        <w:rPr>
          <w:sz w:val="24"/>
          <w:szCs w:val="24"/>
        </w:rPr>
        <w:fldChar w:fldCharType="separate"/>
      </w:r>
      <w:r w:rsidR="00703B89" w:rsidRPr="00703B89">
        <w:rPr>
          <w:noProof/>
          <w:sz w:val="24"/>
          <w:szCs w:val="24"/>
        </w:rPr>
        <w:t>(Kröger et al., 2007)</w:t>
      </w:r>
      <w:r w:rsidR="00703B89">
        <w:rPr>
          <w:sz w:val="24"/>
          <w:szCs w:val="24"/>
        </w:rPr>
        <w:fldChar w:fldCharType="end"/>
      </w:r>
      <w:r w:rsidRPr="00847F64">
        <w:rPr>
          <w:sz w:val="24"/>
          <w:szCs w:val="24"/>
        </w:rPr>
        <w:t>.</w:t>
      </w:r>
    </w:p>
    <w:p w14:paraId="1B600282" w14:textId="77777777" w:rsidR="00C26B65" w:rsidRPr="00847F64" w:rsidRDefault="00000000" w:rsidP="00847F64">
      <w:pPr>
        <w:spacing w:before="80" w:after="80"/>
        <w:jc w:val="both"/>
        <w:rPr>
          <w:sz w:val="24"/>
          <w:szCs w:val="24"/>
        </w:rPr>
      </w:pPr>
      <w:r w:rsidRPr="00847F64">
        <w:rPr>
          <w:noProof/>
          <w:sz w:val="24"/>
          <w:szCs w:val="24"/>
        </w:rPr>
        <w:drawing>
          <wp:inline distT="0" distB="0" distL="0" distR="0" wp14:anchorId="1D633D70" wp14:editId="0338A95D">
            <wp:extent cx="5715000" cy="2746058"/>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5715000" cy="2746058"/>
                    </a:xfrm>
                    <a:prstGeom prst="rect">
                      <a:avLst/>
                    </a:prstGeom>
                  </pic:spPr>
                </pic:pic>
              </a:graphicData>
            </a:graphic>
          </wp:inline>
        </w:drawing>
      </w:r>
    </w:p>
    <w:p w14:paraId="4D4CE3FB" w14:textId="77777777" w:rsidR="00C26B65" w:rsidRPr="00847F64" w:rsidRDefault="00000000" w:rsidP="00847F64">
      <w:pPr>
        <w:spacing w:after="200"/>
        <w:jc w:val="both"/>
        <w:rPr>
          <w:sz w:val="24"/>
          <w:szCs w:val="24"/>
        </w:rPr>
      </w:pPr>
      <w:r w:rsidRPr="00847F64">
        <w:rPr>
          <w:b/>
          <w:bCs/>
        </w:rPr>
        <w:t xml:space="preserve">Figure S1. </w:t>
      </w:r>
      <w:r w:rsidRPr="00847F64">
        <w:t xml:space="preserve">Spearman rank correlations between water-quality predictors and cyanobacterial density (log₁₀), chlorophyll-a and the </w:t>
      </w:r>
      <w:proofErr w:type="spellStart"/>
      <w:r w:rsidRPr="00847F64">
        <w:t>RCCa</w:t>
      </w:r>
      <w:proofErr w:type="spellEnd"/>
      <w:r w:rsidRPr="00847F64">
        <w:t xml:space="preserve"> index, per station. Macrophyte cover was included only at BP085, where floating mats occur within the reservoir. Asterisks indicate statistically significant correlations (p &lt; 0.05).</w:t>
      </w:r>
    </w:p>
    <w:p w14:paraId="19D2FB36" w14:textId="78F17AF9" w:rsidR="00C26B65" w:rsidRPr="00847F64" w:rsidRDefault="002331FD" w:rsidP="002331FD">
      <w:pPr>
        <w:pStyle w:val="Ttulo2"/>
      </w:pPr>
      <w:r>
        <w:t>R</w:t>
      </w:r>
      <w:r w:rsidRPr="00847F64">
        <w:t>eferences</w:t>
      </w:r>
    </w:p>
    <w:p w14:paraId="0C93BF12" w14:textId="5DE0866B" w:rsidR="00F26C92" w:rsidRPr="00F26C92" w:rsidRDefault="00F26C92" w:rsidP="00F26C92">
      <w:pPr>
        <w:widowControl w:val="0"/>
        <w:autoSpaceDE w:val="0"/>
        <w:autoSpaceDN w:val="0"/>
        <w:adjustRightInd w:val="0"/>
        <w:spacing w:after="80"/>
        <w:ind w:left="480" w:hanging="480"/>
        <w:rPr>
          <w:noProof/>
          <w:sz w:val="24"/>
        </w:rPr>
      </w:pPr>
      <w:r>
        <w:rPr>
          <w:sz w:val="24"/>
          <w:szCs w:val="24"/>
        </w:rPr>
        <w:fldChar w:fldCharType="begin" w:fldLock="1"/>
      </w:r>
      <w:r>
        <w:rPr>
          <w:sz w:val="24"/>
          <w:szCs w:val="24"/>
        </w:rPr>
        <w:instrText xml:space="preserve">ADDIN Mendeley Bibliography CSL_BIBLIOGRAPHY </w:instrText>
      </w:r>
      <w:r>
        <w:rPr>
          <w:sz w:val="24"/>
          <w:szCs w:val="24"/>
        </w:rPr>
        <w:fldChar w:fldCharType="separate"/>
      </w:r>
      <w:r w:rsidRPr="00F26C92">
        <w:rPr>
          <w:noProof/>
          <w:sz w:val="24"/>
        </w:rPr>
        <w:t xml:space="preserve">Cui, Z., Yang, C., Ma, L., Gu, X., Shen, X., Wan, B., Tao, Y., Sang, Y., &amp; Huang, Q. (2025). Floating-leaved and submerged macrophytes suppress filamentous cyanobacteria blooms and 2-MIB episodes in eutrophic shallow lakes. </w:t>
      </w:r>
      <w:r w:rsidRPr="00F26C92">
        <w:rPr>
          <w:i/>
          <w:iCs/>
          <w:noProof/>
          <w:sz w:val="24"/>
        </w:rPr>
        <w:t>Journal of Hazardous Materials</w:t>
      </w:r>
      <w:r w:rsidRPr="00F26C92">
        <w:rPr>
          <w:noProof/>
          <w:sz w:val="24"/>
        </w:rPr>
        <w:t xml:space="preserve">, </w:t>
      </w:r>
      <w:r w:rsidRPr="00F26C92">
        <w:rPr>
          <w:i/>
          <w:iCs/>
          <w:noProof/>
          <w:sz w:val="24"/>
        </w:rPr>
        <w:t>492</w:t>
      </w:r>
      <w:r w:rsidRPr="00F26C92">
        <w:rPr>
          <w:noProof/>
          <w:sz w:val="24"/>
        </w:rPr>
        <w:t>(January), 138163. https://doi.org/10.1016/j.jhazmat.2025.138163</w:t>
      </w:r>
    </w:p>
    <w:p w14:paraId="1B15C725" w14:textId="77777777" w:rsidR="00F26C92" w:rsidRPr="00F26C92" w:rsidRDefault="00F26C92" w:rsidP="00F26C92">
      <w:pPr>
        <w:widowControl w:val="0"/>
        <w:autoSpaceDE w:val="0"/>
        <w:autoSpaceDN w:val="0"/>
        <w:adjustRightInd w:val="0"/>
        <w:spacing w:after="80"/>
        <w:ind w:left="480" w:hanging="480"/>
        <w:rPr>
          <w:noProof/>
          <w:sz w:val="24"/>
        </w:rPr>
      </w:pPr>
      <w:r w:rsidRPr="00F26C92">
        <w:rPr>
          <w:noProof/>
          <w:sz w:val="24"/>
        </w:rPr>
        <w:t xml:space="preserve">Hasani, S., Arias, M. E., Nguyen, H. Q., Tarabih, O. M., Welch, Z., &amp; Zhang, Q. (2024). Leveraging explainable machine learning for enhanced management of lake water </w:t>
      </w:r>
      <w:r w:rsidRPr="00F26C92">
        <w:rPr>
          <w:noProof/>
          <w:sz w:val="24"/>
        </w:rPr>
        <w:lastRenderedPageBreak/>
        <w:t xml:space="preserve">quality. </w:t>
      </w:r>
      <w:r w:rsidRPr="00F26C92">
        <w:rPr>
          <w:i/>
          <w:iCs/>
          <w:noProof/>
          <w:sz w:val="24"/>
        </w:rPr>
        <w:t>Journal of Environmental Management</w:t>
      </w:r>
      <w:r w:rsidRPr="00F26C92">
        <w:rPr>
          <w:noProof/>
          <w:sz w:val="24"/>
        </w:rPr>
        <w:t xml:space="preserve">, </w:t>
      </w:r>
      <w:r w:rsidRPr="00F26C92">
        <w:rPr>
          <w:i/>
          <w:iCs/>
          <w:noProof/>
          <w:sz w:val="24"/>
        </w:rPr>
        <w:t>370</w:t>
      </w:r>
      <w:r w:rsidRPr="00F26C92">
        <w:rPr>
          <w:noProof/>
          <w:sz w:val="24"/>
        </w:rPr>
        <w:t>(September), 122890. https://doi.org/10.1016/j.jenvman.2024.122890</w:t>
      </w:r>
    </w:p>
    <w:p w14:paraId="2D85935C" w14:textId="77777777" w:rsidR="00F26C92" w:rsidRPr="00F26C92" w:rsidRDefault="00F26C92" w:rsidP="00F26C92">
      <w:pPr>
        <w:widowControl w:val="0"/>
        <w:autoSpaceDE w:val="0"/>
        <w:autoSpaceDN w:val="0"/>
        <w:adjustRightInd w:val="0"/>
        <w:spacing w:after="80"/>
        <w:ind w:left="480" w:hanging="480"/>
        <w:rPr>
          <w:noProof/>
          <w:sz w:val="24"/>
        </w:rPr>
      </w:pPr>
      <w:r w:rsidRPr="00F26C92">
        <w:rPr>
          <w:noProof/>
          <w:sz w:val="24"/>
        </w:rPr>
        <w:t xml:space="preserve">Izydorczyk, K., Carpentier, C., Mrówczyński, J., Wagenvoort, A., Jurczak, T., &amp; Tarczyńska, M. (2009). Establishment of an Alert Level Framework for cyanobacteria in drinking water resources by using the Algae Online Analyser for monitoring cyanobacterial chlorophyll a. </w:t>
      </w:r>
      <w:r w:rsidRPr="00F26C92">
        <w:rPr>
          <w:i/>
          <w:iCs/>
          <w:noProof/>
          <w:sz w:val="24"/>
        </w:rPr>
        <w:t>Water Research</w:t>
      </w:r>
      <w:r w:rsidRPr="00F26C92">
        <w:rPr>
          <w:noProof/>
          <w:sz w:val="24"/>
        </w:rPr>
        <w:t xml:space="preserve">, </w:t>
      </w:r>
      <w:r w:rsidRPr="00F26C92">
        <w:rPr>
          <w:i/>
          <w:iCs/>
          <w:noProof/>
          <w:sz w:val="24"/>
        </w:rPr>
        <w:t>43</w:t>
      </w:r>
      <w:r w:rsidRPr="00F26C92">
        <w:rPr>
          <w:noProof/>
          <w:sz w:val="24"/>
        </w:rPr>
        <w:t>(4), 989–996. https://doi.org/10.1016/j.watres.2008.11.048</w:t>
      </w:r>
    </w:p>
    <w:p w14:paraId="7872FDBF" w14:textId="77777777" w:rsidR="00F26C92" w:rsidRPr="00F26C92" w:rsidRDefault="00F26C92" w:rsidP="00F26C92">
      <w:pPr>
        <w:widowControl w:val="0"/>
        <w:autoSpaceDE w:val="0"/>
        <w:autoSpaceDN w:val="0"/>
        <w:adjustRightInd w:val="0"/>
        <w:spacing w:after="80"/>
        <w:ind w:left="480" w:hanging="480"/>
        <w:rPr>
          <w:noProof/>
          <w:sz w:val="24"/>
        </w:rPr>
      </w:pPr>
      <w:r w:rsidRPr="00F26C92">
        <w:rPr>
          <w:noProof/>
          <w:sz w:val="24"/>
        </w:rPr>
        <w:t xml:space="preserve">Körner, S., &amp; Nicklisch, A. (2002). Allelopathic Growth Inhibition of Selected Phytoplankton Species by Submerged Macrophytes. </w:t>
      </w:r>
      <w:r w:rsidRPr="00F26C92">
        <w:rPr>
          <w:i/>
          <w:iCs/>
          <w:noProof/>
          <w:sz w:val="24"/>
        </w:rPr>
        <w:t>Journal of Phycology</w:t>
      </w:r>
      <w:r w:rsidRPr="00F26C92">
        <w:rPr>
          <w:noProof/>
          <w:sz w:val="24"/>
        </w:rPr>
        <w:t xml:space="preserve">, </w:t>
      </w:r>
      <w:r w:rsidRPr="00F26C92">
        <w:rPr>
          <w:i/>
          <w:iCs/>
          <w:noProof/>
          <w:sz w:val="24"/>
        </w:rPr>
        <w:t>38(5)</w:t>
      </w:r>
      <w:r w:rsidRPr="00F26C92">
        <w:rPr>
          <w:noProof/>
          <w:sz w:val="24"/>
        </w:rPr>
        <w:t>(June), 862–871. https://doi.org/10.1046/j.1529-8817.2002.t01-1-02001.x</w:t>
      </w:r>
    </w:p>
    <w:p w14:paraId="6E7D739B" w14:textId="77777777" w:rsidR="00F26C92" w:rsidRPr="00F26C92" w:rsidRDefault="00F26C92" w:rsidP="00F26C92">
      <w:pPr>
        <w:widowControl w:val="0"/>
        <w:autoSpaceDE w:val="0"/>
        <w:autoSpaceDN w:val="0"/>
        <w:adjustRightInd w:val="0"/>
        <w:spacing w:after="80"/>
        <w:ind w:left="480" w:hanging="480"/>
        <w:rPr>
          <w:noProof/>
          <w:sz w:val="24"/>
        </w:rPr>
      </w:pPr>
      <w:r w:rsidRPr="00F26C92">
        <w:rPr>
          <w:noProof/>
          <w:sz w:val="24"/>
        </w:rPr>
        <w:t xml:space="preserve">Kröger, R., Holland, M. M., Moore, M. T., &amp; Cooper, C. M. (2007). Plant senescence: A mechanism for nutrient release in temperate agricultural wetlands. </w:t>
      </w:r>
      <w:r w:rsidRPr="00F26C92">
        <w:rPr>
          <w:i/>
          <w:iCs/>
          <w:noProof/>
          <w:sz w:val="24"/>
        </w:rPr>
        <w:t>Environmental Pollution</w:t>
      </w:r>
      <w:r w:rsidRPr="00F26C92">
        <w:rPr>
          <w:noProof/>
          <w:sz w:val="24"/>
        </w:rPr>
        <w:t xml:space="preserve">, </w:t>
      </w:r>
      <w:r w:rsidRPr="00F26C92">
        <w:rPr>
          <w:i/>
          <w:iCs/>
          <w:noProof/>
          <w:sz w:val="24"/>
        </w:rPr>
        <w:t>146</w:t>
      </w:r>
      <w:r w:rsidRPr="00F26C92">
        <w:rPr>
          <w:noProof/>
          <w:sz w:val="24"/>
        </w:rPr>
        <w:t>(1), 114–119. https://doi.org/10.1016/j.envpol.2006.06.005</w:t>
      </w:r>
    </w:p>
    <w:p w14:paraId="5DC8FED0" w14:textId="77777777" w:rsidR="00F26C92" w:rsidRPr="00F26C92" w:rsidRDefault="00F26C92" w:rsidP="00F26C92">
      <w:pPr>
        <w:widowControl w:val="0"/>
        <w:autoSpaceDE w:val="0"/>
        <w:autoSpaceDN w:val="0"/>
        <w:adjustRightInd w:val="0"/>
        <w:spacing w:after="80"/>
        <w:ind w:left="480" w:hanging="480"/>
        <w:rPr>
          <w:noProof/>
          <w:sz w:val="24"/>
        </w:rPr>
      </w:pPr>
      <w:r w:rsidRPr="00F26C92">
        <w:rPr>
          <w:noProof/>
          <w:sz w:val="24"/>
        </w:rPr>
        <w:t xml:space="preserve">Mowe, M. A. D., Song, Y., Sim, D. Z. H., Lu, J., Mitrovic, S. M., Tan, H. T. W., &amp; Yeo, D. C. J. (2019). Comparative study of six emergent macrophyte species for controlling cyanobacterial blooms in a tropical reservoir. </w:t>
      </w:r>
      <w:r w:rsidRPr="00F26C92">
        <w:rPr>
          <w:i/>
          <w:iCs/>
          <w:noProof/>
          <w:sz w:val="24"/>
        </w:rPr>
        <w:t>Ecological Engineering</w:t>
      </w:r>
      <w:r w:rsidRPr="00F26C92">
        <w:rPr>
          <w:noProof/>
          <w:sz w:val="24"/>
        </w:rPr>
        <w:t xml:space="preserve">, </w:t>
      </w:r>
      <w:r w:rsidRPr="00F26C92">
        <w:rPr>
          <w:i/>
          <w:iCs/>
          <w:noProof/>
          <w:sz w:val="24"/>
        </w:rPr>
        <w:t>129</w:t>
      </w:r>
      <w:r w:rsidRPr="00F26C92">
        <w:rPr>
          <w:noProof/>
          <w:sz w:val="24"/>
        </w:rPr>
        <w:t>(January), 11–21. https://doi.org/10.1016/j.ecoleng.2018.12.026</w:t>
      </w:r>
    </w:p>
    <w:p w14:paraId="02E454FF" w14:textId="77777777" w:rsidR="00F26C92" w:rsidRPr="00F26C92" w:rsidRDefault="00F26C92" w:rsidP="00F26C92">
      <w:pPr>
        <w:widowControl w:val="0"/>
        <w:autoSpaceDE w:val="0"/>
        <w:autoSpaceDN w:val="0"/>
        <w:adjustRightInd w:val="0"/>
        <w:spacing w:after="80"/>
        <w:ind w:left="480" w:hanging="480"/>
        <w:rPr>
          <w:noProof/>
          <w:sz w:val="24"/>
        </w:rPr>
      </w:pPr>
      <w:r w:rsidRPr="00F26C92">
        <w:rPr>
          <w:noProof/>
          <w:sz w:val="24"/>
        </w:rPr>
        <w:t xml:space="preserve">Park, J., Lee, W. H., Kim, K. T., Park, C. Y., Lee, S., &amp; Heo, T. Y. (2022). Interpretation of ensemble learning to predict water quality using explainable artificial intelligence. </w:t>
      </w:r>
      <w:r w:rsidRPr="00F26C92">
        <w:rPr>
          <w:i/>
          <w:iCs/>
          <w:noProof/>
          <w:sz w:val="24"/>
        </w:rPr>
        <w:t>Science of the Total Environment</w:t>
      </w:r>
      <w:r w:rsidRPr="00F26C92">
        <w:rPr>
          <w:noProof/>
          <w:sz w:val="24"/>
        </w:rPr>
        <w:t xml:space="preserve">, </w:t>
      </w:r>
      <w:r w:rsidRPr="00F26C92">
        <w:rPr>
          <w:i/>
          <w:iCs/>
          <w:noProof/>
          <w:sz w:val="24"/>
        </w:rPr>
        <w:t>832</w:t>
      </w:r>
      <w:r w:rsidRPr="00F26C92">
        <w:rPr>
          <w:noProof/>
          <w:sz w:val="24"/>
        </w:rPr>
        <w:t>(January), 155070. https://doi.org/10.1016/j.scitotenv.2022.155070</w:t>
      </w:r>
    </w:p>
    <w:p w14:paraId="0C9D6F8A" w14:textId="77777777" w:rsidR="00F26C92" w:rsidRPr="00F26C92" w:rsidRDefault="00F26C92" w:rsidP="00F26C92">
      <w:pPr>
        <w:widowControl w:val="0"/>
        <w:autoSpaceDE w:val="0"/>
        <w:autoSpaceDN w:val="0"/>
        <w:adjustRightInd w:val="0"/>
        <w:spacing w:after="80"/>
        <w:ind w:left="480" w:hanging="480"/>
        <w:rPr>
          <w:noProof/>
          <w:sz w:val="24"/>
        </w:rPr>
      </w:pPr>
      <w:r w:rsidRPr="00F26C92">
        <w:rPr>
          <w:noProof/>
          <w:sz w:val="24"/>
        </w:rPr>
        <w:t xml:space="preserve">Reddy, K. R., Agami, M., &amp; Tucker, J. C. (1989). Influence of nitrogen supply rates on growth and nutrient storage by water hyacinth (Eichhornia crassipes) plants. </w:t>
      </w:r>
      <w:r w:rsidRPr="00F26C92">
        <w:rPr>
          <w:i/>
          <w:iCs/>
          <w:noProof/>
          <w:sz w:val="24"/>
        </w:rPr>
        <w:t>Aquatic Botany</w:t>
      </w:r>
      <w:r w:rsidRPr="00F26C92">
        <w:rPr>
          <w:noProof/>
          <w:sz w:val="24"/>
        </w:rPr>
        <w:t xml:space="preserve">, </w:t>
      </w:r>
      <w:r w:rsidRPr="00F26C92">
        <w:rPr>
          <w:i/>
          <w:iCs/>
          <w:noProof/>
          <w:sz w:val="24"/>
        </w:rPr>
        <w:t>36</w:t>
      </w:r>
      <w:r w:rsidRPr="00F26C92">
        <w:rPr>
          <w:noProof/>
          <w:sz w:val="24"/>
        </w:rPr>
        <w:t>(1), 33–43. https://doi.org/10.1016/0304-3770(89)90089-2</w:t>
      </w:r>
    </w:p>
    <w:p w14:paraId="0ECCBDC1" w14:textId="77777777" w:rsidR="00F26C92" w:rsidRPr="00F26C92" w:rsidRDefault="00F26C92" w:rsidP="00F26C92">
      <w:pPr>
        <w:widowControl w:val="0"/>
        <w:autoSpaceDE w:val="0"/>
        <w:autoSpaceDN w:val="0"/>
        <w:adjustRightInd w:val="0"/>
        <w:spacing w:after="80"/>
        <w:ind w:left="480" w:hanging="480"/>
        <w:rPr>
          <w:noProof/>
          <w:sz w:val="24"/>
        </w:rPr>
      </w:pPr>
      <w:r w:rsidRPr="00F26C92">
        <w:rPr>
          <w:noProof/>
          <w:sz w:val="24"/>
        </w:rPr>
        <w:t xml:space="preserve">Reddy, K. R., Agami, M., &amp; Tucker, J. C. (1990). Influence of phosphorus on growth and nutrient storage by water hyacinth (Eichhornia crassipes (Mart.) Solms) plants. </w:t>
      </w:r>
      <w:r w:rsidRPr="00F26C92">
        <w:rPr>
          <w:i/>
          <w:iCs/>
          <w:noProof/>
          <w:sz w:val="24"/>
        </w:rPr>
        <w:t>Aquatic Botany</w:t>
      </w:r>
      <w:r w:rsidRPr="00F26C92">
        <w:rPr>
          <w:noProof/>
          <w:sz w:val="24"/>
        </w:rPr>
        <w:t xml:space="preserve">, </w:t>
      </w:r>
      <w:r w:rsidRPr="00F26C92">
        <w:rPr>
          <w:i/>
          <w:iCs/>
          <w:noProof/>
          <w:sz w:val="24"/>
        </w:rPr>
        <w:t>37</w:t>
      </w:r>
      <w:r w:rsidRPr="00F26C92">
        <w:rPr>
          <w:noProof/>
          <w:sz w:val="24"/>
        </w:rPr>
        <w:t>(4), 355–365. https://doi.org/10.1016/0304-3770(90)90021-C</w:t>
      </w:r>
    </w:p>
    <w:p w14:paraId="5F985D8F" w14:textId="77777777" w:rsidR="00F26C92" w:rsidRPr="00F26C92" w:rsidRDefault="00F26C92" w:rsidP="00F26C92">
      <w:pPr>
        <w:widowControl w:val="0"/>
        <w:autoSpaceDE w:val="0"/>
        <w:autoSpaceDN w:val="0"/>
        <w:adjustRightInd w:val="0"/>
        <w:spacing w:after="80"/>
        <w:ind w:left="480" w:hanging="480"/>
        <w:rPr>
          <w:noProof/>
          <w:sz w:val="24"/>
        </w:rPr>
      </w:pPr>
      <w:r w:rsidRPr="00F26C92">
        <w:rPr>
          <w:noProof/>
          <w:sz w:val="24"/>
        </w:rPr>
        <w:t xml:space="preserve">Shi, K., Zhang, Y., Li, Y., Li, L., Lv, H., &amp; Liu, X. (2015). Remote estimation of cyanobacteria-dominance ininland waters. </w:t>
      </w:r>
      <w:r w:rsidRPr="00F26C92">
        <w:rPr>
          <w:i/>
          <w:iCs/>
          <w:noProof/>
          <w:sz w:val="24"/>
        </w:rPr>
        <w:t>Water Research</w:t>
      </w:r>
      <w:r w:rsidRPr="00F26C92">
        <w:rPr>
          <w:noProof/>
          <w:sz w:val="24"/>
        </w:rPr>
        <w:t xml:space="preserve">, </w:t>
      </w:r>
      <w:r w:rsidRPr="00F26C92">
        <w:rPr>
          <w:i/>
          <w:iCs/>
          <w:noProof/>
          <w:sz w:val="24"/>
        </w:rPr>
        <w:t>68</w:t>
      </w:r>
      <w:r w:rsidRPr="00F26C92">
        <w:rPr>
          <w:noProof/>
          <w:sz w:val="24"/>
        </w:rPr>
        <w:t>, 217–226. https://doi.org/10.1016/j.watres.2014.10.019</w:t>
      </w:r>
    </w:p>
    <w:p w14:paraId="4B47D27F" w14:textId="6E2A0A78" w:rsidR="00C26B65" w:rsidRPr="00847F64" w:rsidRDefault="00F26C92" w:rsidP="00847F64">
      <w:pPr>
        <w:spacing w:after="80"/>
        <w:ind w:left="360" w:hanging="360"/>
        <w:jc w:val="both"/>
        <w:rPr>
          <w:sz w:val="24"/>
          <w:szCs w:val="24"/>
        </w:rPr>
      </w:pPr>
      <w:r>
        <w:rPr>
          <w:sz w:val="24"/>
          <w:szCs w:val="24"/>
        </w:rPr>
        <w:fldChar w:fldCharType="end"/>
      </w:r>
    </w:p>
    <w:sectPr w:rsidR="00C26B65" w:rsidRPr="00847F64">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E21915"/>
    <w:multiLevelType w:val="hybridMultilevel"/>
    <w:tmpl w:val="BF72143E"/>
    <w:lvl w:ilvl="0" w:tplc="0ADCD786">
      <w:start w:val="1"/>
      <w:numFmt w:val="bullet"/>
      <w:lvlText w:val="●"/>
      <w:lvlJc w:val="left"/>
      <w:pPr>
        <w:ind w:left="720" w:hanging="360"/>
      </w:pPr>
    </w:lvl>
    <w:lvl w:ilvl="1" w:tplc="E22443DA">
      <w:start w:val="1"/>
      <w:numFmt w:val="bullet"/>
      <w:lvlText w:val="○"/>
      <w:lvlJc w:val="left"/>
      <w:pPr>
        <w:ind w:left="1440" w:hanging="360"/>
      </w:pPr>
    </w:lvl>
    <w:lvl w:ilvl="2" w:tplc="690C6BBC">
      <w:start w:val="1"/>
      <w:numFmt w:val="bullet"/>
      <w:lvlText w:val="■"/>
      <w:lvlJc w:val="left"/>
      <w:pPr>
        <w:ind w:left="2160" w:hanging="360"/>
      </w:pPr>
    </w:lvl>
    <w:lvl w:ilvl="3" w:tplc="83D88D00">
      <w:start w:val="1"/>
      <w:numFmt w:val="bullet"/>
      <w:lvlText w:val="●"/>
      <w:lvlJc w:val="left"/>
      <w:pPr>
        <w:ind w:left="2880" w:hanging="360"/>
      </w:pPr>
    </w:lvl>
    <w:lvl w:ilvl="4" w:tplc="9BAA5312">
      <w:start w:val="1"/>
      <w:numFmt w:val="bullet"/>
      <w:lvlText w:val="○"/>
      <w:lvlJc w:val="left"/>
      <w:pPr>
        <w:ind w:left="3600" w:hanging="360"/>
      </w:pPr>
    </w:lvl>
    <w:lvl w:ilvl="5" w:tplc="672EE6DC">
      <w:start w:val="1"/>
      <w:numFmt w:val="bullet"/>
      <w:lvlText w:val="■"/>
      <w:lvlJc w:val="left"/>
      <w:pPr>
        <w:ind w:left="4320" w:hanging="360"/>
      </w:pPr>
    </w:lvl>
    <w:lvl w:ilvl="6" w:tplc="013CC03C">
      <w:start w:val="1"/>
      <w:numFmt w:val="bullet"/>
      <w:lvlText w:val="●"/>
      <w:lvlJc w:val="left"/>
      <w:pPr>
        <w:ind w:left="5040" w:hanging="360"/>
      </w:pPr>
    </w:lvl>
    <w:lvl w:ilvl="7" w:tplc="3D38F5E8">
      <w:start w:val="1"/>
      <w:numFmt w:val="bullet"/>
      <w:lvlText w:val="●"/>
      <w:lvlJc w:val="left"/>
      <w:pPr>
        <w:ind w:left="5760" w:hanging="360"/>
      </w:pPr>
    </w:lvl>
    <w:lvl w:ilvl="8" w:tplc="5604338C">
      <w:start w:val="1"/>
      <w:numFmt w:val="bullet"/>
      <w:lvlText w:val="●"/>
      <w:lvlJc w:val="left"/>
      <w:pPr>
        <w:ind w:left="6480" w:hanging="360"/>
      </w:pPr>
    </w:lvl>
  </w:abstractNum>
  <w:num w:numId="1" w16cid:durableId="148558772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6B65"/>
    <w:rsid w:val="00192EE9"/>
    <w:rsid w:val="002331FD"/>
    <w:rsid w:val="00540432"/>
    <w:rsid w:val="006C3485"/>
    <w:rsid w:val="00703B89"/>
    <w:rsid w:val="00847F64"/>
    <w:rsid w:val="00BB054E"/>
    <w:rsid w:val="00C26B65"/>
    <w:rsid w:val="00EC1218"/>
    <w:rsid w:val="00F26C92"/>
    <w:rsid w:val="00F421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33FFD"/>
  <w15:docId w15:val="{5534836C-BF48-42FA-B815-CC924DCE5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unhideWhenUsed/>
    <w:qFormat/>
    <w:rsid w:val="002331FD"/>
    <w:pPr>
      <w:spacing w:before="200" w:after="80"/>
      <w:jc w:val="both"/>
      <w:outlineLvl w:val="1"/>
    </w:pPr>
    <w:rPr>
      <w:b/>
      <w:bCs/>
      <w:sz w:val="28"/>
      <w:szCs w:val="28"/>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uiPriority w:val="10"/>
    <w:qFormat/>
    <w:rPr>
      <w:sz w:val="56"/>
      <w:szCs w:val="56"/>
    </w:rPr>
  </w:style>
  <w:style w:type="paragraph" w:customStyle="1" w:styleId="Forte1">
    <w:name w:val="Forte1"/>
    <w:qFormat/>
    <w:rPr>
      <w:b/>
      <w:bCs/>
    </w:rPr>
  </w:style>
  <w:style w:type="paragraph" w:styleId="PargrafodaLista">
    <w:name w:val="List Paragraph"/>
    <w:qFormat/>
  </w:style>
  <w:style w:type="character" w:styleId="Hyperlink">
    <w:name w:val="Hyperlink"/>
    <w:uiPriority w:val="99"/>
    <w:unhideWhenUsed/>
    <w:rPr>
      <w:color w:val="0563C1"/>
      <w:u w:val="single"/>
    </w:rPr>
  </w:style>
  <w:style w:type="character" w:styleId="Refdenotaderodap">
    <w:name w:val="footnote reference"/>
    <w:uiPriority w:val="99"/>
    <w:semiHidden/>
    <w:unhideWhenUsed/>
    <w:rPr>
      <w:vertAlign w:val="superscript"/>
    </w:rPr>
  </w:style>
  <w:style w:type="paragraph" w:styleId="Textodenotaderodap">
    <w:name w:val="footnote text"/>
    <w:link w:val="TextodenotaderodapChar"/>
    <w:uiPriority w:val="99"/>
    <w:semiHidden/>
    <w:unhideWhenUsed/>
    <w:rPr>
      <w:sz w:val="20"/>
      <w:szCs w:val="20"/>
    </w:rPr>
  </w:style>
  <w:style w:type="character" w:customStyle="1" w:styleId="TextodenotaderodapChar">
    <w:name w:val="Texto de nota de rodapé Char"/>
    <w:link w:val="Textodenotaderodap"/>
    <w:uiPriority w:val="99"/>
    <w:semiHidden/>
    <w:unhideWhenUsed/>
    <w:rPr>
      <w:sz w:val="20"/>
      <w:szCs w:val="20"/>
    </w:rPr>
  </w:style>
  <w:style w:type="character" w:styleId="Refdenotadefim">
    <w:name w:val="endnote reference"/>
    <w:uiPriority w:val="99"/>
    <w:semiHidden/>
    <w:unhideWhenUsed/>
    <w:rPr>
      <w:vertAlign w:val="superscript"/>
    </w:rPr>
  </w:style>
  <w:style w:type="paragraph" w:styleId="Textodenotadefim">
    <w:name w:val="endnote text"/>
    <w:link w:val="TextodenotadefimChar"/>
    <w:uiPriority w:val="99"/>
    <w:semiHidden/>
    <w:unhideWhenUsed/>
    <w:rPr>
      <w:sz w:val="20"/>
      <w:szCs w:val="20"/>
    </w:rPr>
  </w:style>
  <w:style w:type="character" w:customStyle="1" w:styleId="TextodenotadefimChar">
    <w:name w:val="Texto de nota de fim Char"/>
    <w:link w:val="Textodenotadefim"/>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64F0E730-CD9C-4CFE-AC29-126C6A1C9B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5125</Words>
  <Characters>29216</Characters>
  <Application>Microsoft Office Word</Application>
  <DocSecurity>0</DocSecurity>
  <Lines>243</Lines>
  <Paragraphs>68</Paragraphs>
  <ScaleCrop>false</ScaleCrop>
  <Company/>
  <LinksUpToDate>false</LinksUpToDate>
  <CharactersWithSpaces>34273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Material</dc:title>
  <dc:creator>Supplementary</dc:creator>
  <cp:lastModifiedBy>daniel salim</cp:lastModifiedBy>
  <cp:revision>3</cp:revision>
  <dcterms:created xsi:type="dcterms:W3CDTF">2026-09-13T22:31:00Z</dcterms:created>
  <dcterms:modified xsi:type="dcterms:W3CDTF">2026-09-24T11:35:00Z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http://www.zotero.org/styles/chicago-note-bibliography</vt:lpwstr>
  </property>
  <property fmtid="{D5CDD505-2E9C-101B-9397-08002B2CF9AE}" pid="9" name="Mendeley Recent Style Name 3_1">
    <vt:lpwstr>Chicago Manual of Style 17th edition (note)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12th edition - Harvard</vt:lpwstr>
  </property>
  <property fmtid="{D5CDD505-2E9C-101B-9397-08002B2CF9AE}" pid="12" name="Mendeley Recent Style Id 5_1">
    <vt:lpwstr>http://www.zotero.org/styles/elsevier-without-titles</vt:lpwstr>
  </property>
  <property fmtid="{D5CDD505-2E9C-101B-9397-08002B2CF9AE}" pid="13" name="Mendeley Recent Style Name 5_1">
    <vt:lpwstr>Elsevier (numeric, without titles)</vt:lpwstr>
  </property>
  <property fmtid="{D5CDD505-2E9C-101B-9397-08002B2CF9AE}" pid="14" name="Mendeley Recent Style Id 6_1">
    <vt:lpwstr>http://www.zotero.org/styles/elsevier-harvard</vt:lpwstr>
  </property>
  <property fmtid="{D5CDD505-2E9C-101B-9397-08002B2CF9AE}" pid="15" name="Mendeley Recent Style Name 6_1">
    <vt:lpwstr>Elsevier - Harvard (with titles)</vt:lpwstr>
  </property>
  <property fmtid="{D5CDD505-2E9C-101B-9397-08002B2CF9AE}" pid="16" name="Mendeley Recent Style Id 7_1">
    <vt:lpwstr>http://www.zotero.org/styles/elsevier-vancouver-short-author-list</vt:lpwstr>
  </property>
  <property fmtid="{D5CDD505-2E9C-101B-9397-08002B2CF9AE}" pid="17" name="Mendeley Recent Style Name 7_1">
    <vt:lpwstr>Elsevier - Vancouver ("et al." for 3+ authors)</vt:lpwstr>
  </property>
  <property fmtid="{D5CDD505-2E9C-101B-9397-08002B2CF9AE}" pid="18" name="Mendeley Recent Style Id 8_1">
    <vt:lpwstr>http://www.zotero.org/styles/ieee</vt:lpwstr>
  </property>
  <property fmtid="{D5CDD505-2E9C-101B-9397-08002B2CF9AE}" pid="19" name="Mendeley Recent Style Name 8_1">
    <vt:lpwstr>IEEE</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ddf6273c-923d-360c-b45b-0bafe4b0cc9e</vt:lpwstr>
  </property>
  <property fmtid="{D5CDD505-2E9C-101B-9397-08002B2CF9AE}" pid="24" name="Mendeley Citation Style_1">
    <vt:lpwstr>http://www.zotero.org/styles/apa</vt:lpwstr>
  </property>
</Properties>
</file>