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1295" w14:textId="5A7C1F7B" w:rsidR="0049565F" w:rsidRDefault="00FB05F6">
      <w:pPr>
        <w:rPr>
          <w:b/>
          <w:bCs/>
          <w:lang w:val="en-US"/>
        </w:rPr>
      </w:pPr>
      <w:r w:rsidRPr="00FB05F6">
        <w:rPr>
          <w:b/>
          <w:bCs/>
          <w:lang w:val="en-US"/>
        </w:rPr>
        <w:t>Supplementary File 1: Data Harmonization and Processing Protocol</w:t>
      </w:r>
    </w:p>
    <w:p w14:paraId="10549C6A" w14:textId="77777777" w:rsidR="00FB05F6" w:rsidRPr="00D819A8" w:rsidRDefault="00FB05F6" w:rsidP="00FB05F6">
      <w:pPr>
        <w:jc w:val="both"/>
        <w:rPr>
          <w:rFonts w:ascii="Times New Roman" w:hAnsi="Times New Roman" w:cs="Times New Roman"/>
          <w:lang w:val="en-US"/>
        </w:rPr>
      </w:pPr>
      <w:r w:rsidRPr="00D819A8">
        <w:rPr>
          <w:rFonts w:ascii="Times New Roman" w:hAnsi="Times New Roman" w:cs="Times New Roman"/>
          <w:b/>
          <w:bCs/>
          <w:lang w:val="en-US"/>
        </w:rPr>
        <w:t>2.1.1. Epidemiological Malaria Data</w:t>
      </w:r>
    </w:p>
    <w:p w14:paraId="19014249" w14:textId="35656CCF"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The epidemiological data regarding malaria notifications were extracted from the structured platform Malaria Lite 1.2 </w:t>
      </w:r>
      <w:r w:rsidRPr="00D819A8">
        <w:rPr>
          <w:rFonts w:ascii="Times New Roman" w:hAnsi="Times New Roman" w:cs="Times New Roman"/>
          <w:lang w:val="en-US"/>
        </w:rPr>
        <w:fldChar w:fldCharType="begin" w:fldLock="1"/>
      </w:r>
      <w:r w:rsidR="004C301D">
        <w:rPr>
          <w:rFonts w:ascii="Times New Roman" w:hAnsi="Times New Roman" w:cs="Times New Roman"/>
          <w:lang w:val="en-US"/>
        </w:rPr>
        <w:instrText>ADDIN CSL_CITATION {"citationItems":[{"id":"ITEM-1","itemData":{"URL":"https://shiny.icict.fiocruz.br/publicirdmalaria/","author":[{"dropping-particle":"","family":"Fundação Oswaldo Cruz (Fiocruz)","given":"","non-dropping-particle":"","parse-names":false,"suffix":""}],"container-title":"Instituto de Comunicação e Informação Científica e Tecnológica em Saúde (ICICT)","id":"ITEM-1","issued":{"date-parts":[["2020"]]},"title":"Malaria Lite 1.2 (Expert version)","type":"webpage"},"uris":["http://www.mendeley.com/documents/?uuid=1abb7278-4b7d-45aa-8cae-7b2ef632aec3"]},{"id":"ITEM-2","itemData":{"DOI":"10.2196/15409","ISSN":"2369-2960","abstract":"Background: Cross-border malaria is a significant obstacle to achieving malaria control and elimination worldwide. Objective: This study aimed to build a cross-border surveillance system that can make comparable and qualified data available to all parties involved in malaria control between French Guiana and Brazil. Methods: Data reconciliation rules based on expert knowledge were defined and applied to the heterogeneous data provided by the existing malaria surveillance systems of both countries. Visualization dashboards were designed to facilitate progressive data exploration, analysis, and interpretation. Dedicated advanced open source and robust software solutions were chosen to facilitate solution sharing and reuse. Results: A database gathering the harmonized data on cross-border malaria epidemiology is updated monthly with new individual malaria cases from both countries. Online dashboards permit a progressive and user-friendly visualization of raw data and epidemiological indicators, in the form of time series, maps, and data quality indexes. The monitoring system was shown to be able to identify changes in time series that are related to control actions, as well as differentiated changes according to space and to population subgroups. Conclusions: This cross-border monitoring tool could help produce new scientific evidence on cross-border malaria dynamics, implementing cross-border cooperation for malaria control and elimination, and can be quickly adapted to other cross-border contexts. ","author":[{"dropping-particle":"","family":"Saldanha","given":"Raphael","non-dropping-particle":"","parse-names":false,"suffix":""},{"dropping-particle":"","family":"Mosnier","given":"Émilie","non-dropping-particle":"","parse-names":false,"suffix":""},{"dropping-particle":"","family":"Barcellos","given":"Christovam","non-dropping-particle":"","parse-names":false,"suffix":""},{"dropping-particle":"","family":"Carbunar","given":"Aurel","non-dropping-particle":"","parse-names":false,"suffix":""},{"dropping-particle":"","family":"Charron","given":"Christophe","non-dropping-particle":"","parse-names":false,"suffix":""},{"dropping-particle":"","family":"Desconnets","given":"Jean-Christophe","non-dropping-particle":"","parse-names":false,"suffix":""},{"dropping-particle":"","family":"Guarmit","given":"Basma","non-dropping-particle":"","parse-names":false,"suffix":""},{"dropping-particle":"","family":"Gomes","given":"Margarete Do Socorro Mendonça","non-dropping-particle":"","parse-names":false,"suffix":""},{"dropping-particle":"","family":"Mandon","given":"Théophile","non-dropping-particle":"","parse-names":false,"suffix":""},{"dropping-particle":"","family":"Mendes","given":"Anapaula Martins","non-dropping-particle":"","parse-names":false,"suffix":""},{"dropping-particle":"","family":"Peiter","given":"Paulo César","non-dropping-particle":"","parse-names":false,"suffix":""},{"dropping-particle":"","family":"Musset","given":"Lise","non-dropping-particle":"","parse-names":false,"suffix":""},{"dropping-particle":"","family":"Sanna","given":"Alice","non-dropping-particle":"","parse-names":false,"suffix":""},{"dropping-particle":"","family":"Gastel","given":"Benoît","non-dropping-particle":"Van","parse-names":false,"suffix":""},{"dropping-particle":"","family":"Roux","given":"Emmanuel","non-dropping-particle":"","parse-names":false,"suffix":""}],"container-title":"JMIR Public Health Surveill","id":"ITEM-2","issue":"3","issued":{"date-parts":[["2020"]]},"page":"e15409","title":"Contributing to Elimination of Cross-Border Malaria Through a Standardized Solution for Case Surveillance, Data Sharing, and Data Interpretation: Development of a Cross-Border Monitoring System","type":"article-journal","volume":"6"},"uris":["http://www.mendeley.com/documents/?uuid=595ea5f4-3b03-4ef5-813e-dd0fe194375c"]}],"mendeley":{"formattedCitation":"[1,2]","plainTextFormattedCitation":"[1,2]","previouslyFormattedCitation":"[1,2]"},"properties":{"noteIndex":0},"schema":"https://github.com/citation-style-language/schema/raw/master/csl-citation.json"}</w:instrText>
      </w:r>
      <w:r w:rsidRPr="00D819A8">
        <w:rPr>
          <w:rFonts w:ascii="Times New Roman" w:hAnsi="Times New Roman" w:cs="Times New Roman"/>
          <w:lang w:val="en-US"/>
        </w:rPr>
        <w:fldChar w:fldCharType="separate"/>
      </w:r>
      <w:r w:rsidR="003812C0" w:rsidRPr="003812C0">
        <w:rPr>
          <w:rFonts w:ascii="Times New Roman" w:hAnsi="Times New Roman" w:cs="Times New Roman"/>
          <w:noProof/>
          <w:lang w:val="en-US"/>
        </w:rPr>
        <w:t>[1,2]</w:t>
      </w:r>
      <w:r w:rsidRPr="00D819A8">
        <w:rPr>
          <w:rFonts w:ascii="Times New Roman" w:hAnsi="Times New Roman" w:cs="Times New Roman"/>
          <w:lang w:val="en-US"/>
        </w:rPr>
        <w:fldChar w:fldCharType="end"/>
      </w:r>
      <w:r w:rsidRPr="00D819A8">
        <w:rPr>
          <w:rFonts w:ascii="Times New Roman" w:hAnsi="Times New Roman" w:cs="Times New Roman"/>
          <w:lang w:val="en-US"/>
        </w:rPr>
        <w:t>, maintained by the Oswaldo Cruz Foundation (</w:t>
      </w:r>
      <w:proofErr w:type="spellStart"/>
      <w:r w:rsidRPr="00D819A8">
        <w:rPr>
          <w:rFonts w:ascii="Times New Roman" w:hAnsi="Times New Roman" w:cs="Times New Roman"/>
          <w:lang w:val="en-US"/>
        </w:rPr>
        <w:t>Fiocruz</w:t>
      </w:r>
      <w:proofErr w:type="spellEnd"/>
      <w:r w:rsidRPr="00D819A8">
        <w:rPr>
          <w:rFonts w:ascii="Times New Roman" w:hAnsi="Times New Roman" w:cs="Times New Roman"/>
          <w:lang w:val="en-US"/>
        </w:rPr>
        <w:t xml:space="preserve">). Given the complex cross-border dynamics of the </w:t>
      </w:r>
      <w:proofErr w:type="spellStart"/>
      <w:r w:rsidRPr="00D819A8">
        <w:rPr>
          <w:rFonts w:ascii="Times New Roman" w:hAnsi="Times New Roman" w:cs="Times New Roman"/>
          <w:lang w:val="en-US"/>
        </w:rPr>
        <w:t>Oiapoque</w:t>
      </w:r>
      <w:proofErr w:type="spellEnd"/>
      <w:r w:rsidRPr="00D819A8">
        <w:rPr>
          <w:rFonts w:ascii="Times New Roman" w:hAnsi="Times New Roman" w:cs="Times New Roman"/>
          <w:lang w:val="en-US"/>
        </w:rPr>
        <w:t xml:space="preserve"> basin, the dataset used represents a critical and harmonized consolidation between the registry databases of two distinct national health systems: the Malaria Epidemiological Surveillance Information System (SIVEP-Malária) of Brazil and the </w:t>
      </w:r>
      <w:proofErr w:type="spellStart"/>
      <w:r w:rsidRPr="00D819A8">
        <w:rPr>
          <w:rFonts w:ascii="Times New Roman" w:hAnsi="Times New Roman" w:cs="Times New Roman"/>
          <w:lang w:val="en-US"/>
        </w:rPr>
        <w:t>Centres</w:t>
      </w:r>
      <w:proofErr w:type="spellEnd"/>
      <w:r w:rsidRPr="00D819A8">
        <w:rPr>
          <w:rFonts w:ascii="Times New Roman" w:hAnsi="Times New Roman" w:cs="Times New Roman"/>
          <w:lang w:val="en-US"/>
        </w:rPr>
        <w:t xml:space="preserve"> Délocalisés de </w:t>
      </w:r>
      <w:proofErr w:type="spellStart"/>
      <w:r w:rsidRPr="00D819A8">
        <w:rPr>
          <w:rFonts w:ascii="Times New Roman" w:hAnsi="Times New Roman" w:cs="Times New Roman"/>
          <w:lang w:val="en-US"/>
        </w:rPr>
        <w:t>Prévention</w:t>
      </w:r>
      <w:proofErr w:type="spellEnd"/>
      <w:r w:rsidRPr="00D819A8">
        <w:rPr>
          <w:rFonts w:ascii="Times New Roman" w:hAnsi="Times New Roman" w:cs="Times New Roman"/>
          <w:lang w:val="en-US"/>
        </w:rPr>
        <w:t xml:space="preserve"> et de </w:t>
      </w:r>
      <w:proofErr w:type="spellStart"/>
      <w:r w:rsidRPr="00D819A8">
        <w:rPr>
          <w:rFonts w:ascii="Times New Roman" w:hAnsi="Times New Roman" w:cs="Times New Roman"/>
          <w:lang w:val="en-US"/>
        </w:rPr>
        <w:t>Soins</w:t>
      </w:r>
      <w:proofErr w:type="spellEnd"/>
      <w:r w:rsidRPr="00D819A8">
        <w:rPr>
          <w:rFonts w:ascii="Times New Roman" w:hAnsi="Times New Roman" w:cs="Times New Roman"/>
          <w:lang w:val="en-US"/>
        </w:rPr>
        <w:t xml:space="preserve"> (CDPS) of the Cayenne Hospital Center in French Guiana.</w:t>
      </w:r>
    </w:p>
    <w:p w14:paraId="6058B1B3"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The methodological harmonization of these databases allowed for the transnational standardization of fundamental epidemiological attributes for spatial modeling. The integrated and normalized variables include an anonymized patient identifier, clinical notification date, and the pathogenic diagnosis result (typically categorized into Plasmodium falciparum and non-falciparum infections, with the latter being predominantly associated with P. vivax).</w:t>
      </w:r>
    </w:p>
    <w:p w14:paraId="45A60F4C"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For the purposes of spatially explicit modeling (ABM-GIS), the analytical attribute of greatest weight extracted from this database was the Probable Place of Infection (LPI), cross-referenced with the municipality of residence. This cross-referencing made it possible to geographically anchor the cases and infer user mobility. The final dataset, after spatial filtering to the boundaries of the study area, encompasses a total of 81,808 notifications recorded from 03/2003 to 12/2024. These empirical data served as the primary ground truth for the parameterization of territorial risk, algorithmic validation, and sensitivity calibration of the agent-based model.</w:t>
      </w:r>
    </w:p>
    <w:p w14:paraId="0EA5A656" w14:textId="77777777" w:rsidR="00FB05F6" w:rsidRPr="00D819A8" w:rsidRDefault="00FB05F6" w:rsidP="00FB05F6">
      <w:pPr>
        <w:jc w:val="both"/>
        <w:rPr>
          <w:rFonts w:ascii="Times New Roman" w:hAnsi="Times New Roman" w:cs="Times New Roman"/>
          <w:lang w:val="en-US"/>
        </w:rPr>
      </w:pPr>
    </w:p>
    <w:p w14:paraId="03EAEEEA" w14:textId="77777777" w:rsidR="00FB05F6" w:rsidRPr="00D819A8" w:rsidRDefault="00FB05F6" w:rsidP="00FB05F6">
      <w:pPr>
        <w:jc w:val="both"/>
        <w:rPr>
          <w:rFonts w:ascii="Times New Roman" w:hAnsi="Times New Roman" w:cs="Times New Roman"/>
          <w:lang w:val="en-US"/>
        </w:rPr>
      </w:pPr>
      <w:r w:rsidRPr="00D819A8">
        <w:rPr>
          <w:rFonts w:ascii="Times New Roman" w:hAnsi="Times New Roman" w:cs="Times New Roman"/>
          <w:b/>
          <w:bCs/>
          <w:lang w:val="en-US"/>
        </w:rPr>
        <w:t>2.1.2. Climatic Variables and Temporal Lags</w:t>
      </w:r>
    </w:p>
    <w:p w14:paraId="66DC26ED" w14:textId="0816B802"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The extraction of continuous meteorological variables was conducted using the ERA5-Land climate reanalysis dataset </w:t>
      </w:r>
      <w:r w:rsidRPr="00D819A8">
        <w:rPr>
          <w:rFonts w:ascii="Times New Roman" w:hAnsi="Times New Roman" w:cs="Times New Roman"/>
          <w:lang w:val="en-US"/>
        </w:rPr>
        <w:fldChar w:fldCharType="begin" w:fldLock="1"/>
      </w:r>
      <w:r w:rsidR="004C301D">
        <w:rPr>
          <w:rFonts w:ascii="Times New Roman" w:hAnsi="Times New Roman" w:cs="Times New Roman"/>
          <w:lang w:val="en-US"/>
        </w:rPr>
        <w:instrText>ADDIN CSL_CITATION {"citationItems":[{"id":"ITEM-1","itemData":{"DOI":"10.24381/cds.68d2bb30","author":[{"dropping-particle":"","family":"Muñoz Sabater","given":"J.","non-dropping-particle":"","parse-names":false,"suffix":""}],"container-title":"Copernicus Climate Change Service (C3S) Climate Data Store (CDS)","id":"ITEM-1","issued":{"date-parts":[["2019"]]},"title":"ERA5-Land monthly averaged data from 1950 to present","type":"webpage"},"uris":["http://www.mendeley.com/documents/?uuid=9bde6439-2694-482c-acea-f92975bc1236"]},{"id":"ITEM-2","itemData":{"DOI":"10.5194/essd-13-4349-2021","author":[{"dropping-particle":"","family":"Muñoz-Sabater","given":"J","non-dropping-particle":"","parse-names":false,"suffix":""},{"dropping-particle":"","family":"Dutra","given":"E","non-dropping-particle":"","parse-names":false,"suffix":""},{"dropping-particle":"","family":"Agust\\'\\i-Panareda","given":"A","non-dropping-particle":"","parse-names":false,"suffix":""},{"dropping-particle":"","family":"Albergel","given":"C","non-dropping-particle":"","parse-names":false,"suffix":""},{"dropping-particle":"","family":"Arduini","given":"G","non-dropping-particle":"","parse-names":false,"suffix":""},{"dropping-particle":"","family":"Balsamo","given":"G","non-dropping-particle":"","parse-names":false,"suffix":""},{"dropping-particle":"","family":"Boussetta","given":"S","non-dropping-particle":"","parse-names":false,"suffix":""},{"dropping-particle":"","family":"Choulga","given":"M","non-dropping-particle":"","parse-names":false,"suffix":""},{"dropping-particle":"","family":"Harrigan","given":"S","non-dropping-particle":"","parse-names":false,"suffix":""},{"dropping-particle":"","family":"Hersbach","given":"H","non-dropping-particle":"","parse-names":false,"suffix":""},{"dropping-particle":"","family":"Martens","given":"B","non-dropping-particle":"","parse-names":false,"suffix":""},{"dropping-particle":"","family":"Miralles","given":"D G","non-dropping-particle":"","parse-names":false,"suffix":""},{"dropping-particle":"","family":"Piles","given":"M","non-dropping-particle":"","parse-names":false,"suffix":""},{"dropping-particle":"","family":"Rodr\\'\\iguez-Fernández","given":"N J","non-dropping-particle":"","parse-names":false,"suffix":""},{"dropping-particle":"","family":"Zsoter","given":"E","non-dropping-particle":"","parse-names":false,"suffix":""},{"dropping-particle":"","family":"Buontempo","given":"C","non-dropping-particle":"","parse-names":false,"suffix":""},{"dropping-particle":"","family":"Thépaut","given":"J.-N.","non-dropping-particle":"","parse-names":false,"suffix":""}],"container-title":"Earth System Science Data","id":"ITEM-2","issue":"9","issued":{"date-parts":[["2021"]]},"page":"4349-4383","title":"ERA5-Land: a state-of-the-art global reanalysis dataset for land applications","type":"article-journal","volume":"13"},"uris":["http://www.mendeley.com/documents/?uuid=bc9dd64d-e9c9-4115-a63d-7f0afe0f6fac"]}],"mendeley":{"formattedCitation":"[3,4]","plainTextFormattedCitation":"[3,4]","previouslyFormattedCitation":"[3,4]"},"properties":{"noteIndex":0},"schema":"https://github.com/citation-style-language/schema/raw/master/csl-citation.json"}</w:instrText>
      </w:r>
      <w:r w:rsidRPr="00D819A8">
        <w:rPr>
          <w:rFonts w:ascii="Times New Roman" w:hAnsi="Times New Roman" w:cs="Times New Roman"/>
          <w:lang w:val="en-US"/>
        </w:rPr>
        <w:fldChar w:fldCharType="separate"/>
      </w:r>
      <w:r w:rsidR="003812C0" w:rsidRPr="003812C0">
        <w:rPr>
          <w:rFonts w:ascii="Times New Roman" w:hAnsi="Times New Roman" w:cs="Times New Roman"/>
          <w:noProof/>
          <w:lang w:val="en-US"/>
        </w:rPr>
        <w:t>[3,4]</w:t>
      </w:r>
      <w:r w:rsidRPr="00D819A8">
        <w:rPr>
          <w:rFonts w:ascii="Times New Roman" w:hAnsi="Times New Roman" w:cs="Times New Roman"/>
          <w:lang w:val="en-US"/>
        </w:rPr>
        <w:fldChar w:fldCharType="end"/>
      </w:r>
      <w:r w:rsidRPr="00D819A8">
        <w:rPr>
          <w:rFonts w:ascii="Times New Roman" w:hAnsi="Times New Roman" w:cs="Times New Roman"/>
          <w:lang w:val="en-US"/>
        </w:rPr>
        <w:t xml:space="preserve">, provided by the Copernicus Climate Data Store (CDS) of the European Centre for Medium-Range Weather Forecasts (ECMWF). The extracted time series strictly encompasses the same period as the epidemiological survey (March 2003 to December 2024) and covers the total spatial extent of the study area within the transboundary </w:t>
      </w:r>
      <w:proofErr w:type="spellStart"/>
      <w:r w:rsidRPr="00D819A8">
        <w:rPr>
          <w:rFonts w:ascii="Times New Roman" w:hAnsi="Times New Roman" w:cs="Times New Roman"/>
          <w:lang w:val="en-US"/>
        </w:rPr>
        <w:t>Oiapoque</w:t>
      </w:r>
      <w:proofErr w:type="spellEnd"/>
      <w:r w:rsidRPr="00D819A8">
        <w:rPr>
          <w:rFonts w:ascii="Times New Roman" w:hAnsi="Times New Roman" w:cs="Times New Roman"/>
          <w:lang w:val="en-US"/>
        </w:rPr>
        <w:t xml:space="preserve"> basin. The variables selected to model entomological suitability were the monthly mean 2-meter air temperature and the total monthly accumulated precipitation, both derived from the native high-resolution (approx. 9 km) ERA5-Land grid.</w:t>
      </w:r>
    </w:p>
    <w:p w14:paraId="26CE3A7A"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To accurately capture the biological dynamics of the vector (Anopheles) and the extrinsic incubation period of Plasmodium, the model eschewed synchronous climate data in favor of temporal lags well-established in tropical health geography literature. A one-month lag (Lag 1) was applied to the mean temperature, reflecting the critical timeframe required for larval development and the optimization of adult mosquito </w:t>
      </w:r>
      <w:r w:rsidRPr="00D819A8">
        <w:rPr>
          <w:rFonts w:ascii="Times New Roman" w:hAnsi="Times New Roman" w:cs="Times New Roman"/>
          <w:lang w:val="en-US"/>
        </w:rPr>
        <w:lastRenderedPageBreak/>
        <w:t xml:space="preserve">survival. Simultaneously, a two-month lag (Lag 2) was applied to accumulated precipitation. This two-month delay accounts for the ecological time needed for the formation of lentic breeding sites, puddles, and the recession of riverbanks following rainfall peaks, which create ideal conditions for vector proliferation. </w:t>
      </w:r>
    </w:p>
    <w:p w14:paraId="50A60EC5" w14:textId="77777777" w:rsidR="00FB05F6" w:rsidRPr="00D819A8" w:rsidRDefault="00FB05F6" w:rsidP="00FB05F6">
      <w:pPr>
        <w:ind w:firstLine="708"/>
        <w:jc w:val="both"/>
        <w:rPr>
          <w:rFonts w:ascii="Times New Roman" w:hAnsi="Times New Roman" w:cs="Times New Roman"/>
          <w:lang w:val="en-US"/>
        </w:rPr>
      </w:pPr>
    </w:p>
    <w:p w14:paraId="0D917B1A" w14:textId="77777777" w:rsidR="00FB05F6" w:rsidRPr="00D819A8" w:rsidRDefault="00FB05F6" w:rsidP="00FB05F6">
      <w:pPr>
        <w:jc w:val="both"/>
        <w:rPr>
          <w:rFonts w:ascii="Times New Roman" w:hAnsi="Times New Roman" w:cs="Times New Roman"/>
          <w:lang w:val="en-US"/>
        </w:rPr>
      </w:pPr>
      <w:r w:rsidRPr="00D819A8">
        <w:rPr>
          <w:rFonts w:ascii="Times New Roman" w:hAnsi="Times New Roman" w:cs="Times New Roman"/>
          <w:b/>
          <w:bCs/>
          <w:lang w:val="en-US"/>
        </w:rPr>
        <w:t>2.1.3. Land Use and Land Cover (LULC) Dynamics</w:t>
      </w:r>
    </w:p>
    <w:p w14:paraId="212C5EA0" w14:textId="784DD00F"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The </w:t>
      </w:r>
      <w:proofErr w:type="spellStart"/>
      <w:r w:rsidRPr="00D819A8">
        <w:rPr>
          <w:rFonts w:ascii="Times New Roman" w:hAnsi="Times New Roman" w:cs="Times New Roman"/>
          <w:lang w:val="en-US"/>
        </w:rPr>
        <w:t>spatio</w:t>
      </w:r>
      <w:proofErr w:type="spellEnd"/>
      <w:r w:rsidRPr="00D819A8">
        <w:rPr>
          <w:rFonts w:ascii="Times New Roman" w:hAnsi="Times New Roman" w:cs="Times New Roman"/>
          <w:lang w:val="en-US"/>
        </w:rPr>
        <w:t xml:space="preserve">-temporal evolution of economic attraction surfaces and environmental risk was characterized using annual Land Use and Land Cover (LULC) data extracted from Collection 10 of the </w:t>
      </w:r>
      <w:proofErr w:type="spellStart"/>
      <w:r w:rsidRPr="00D819A8">
        <w:rPr>
          <w:rFonts w:ascii="Times New Roman" w:hAnsi="Times New Roman" w:cs="Times New Roman"/>
          <w:lang w:val="en-US"/>
        </w:rPr>
        <w:t>MapBiomas</w:t>
      </w:r>
      <w:proofErr w:type="spellEnd"/>
      <w:r w:rsidRPr="00D819A8">
        <w:rPr>
          <w:rFonts w:ascii="Times New Roman" w:hAnsi="Times New Roman" w:cs="Times New Roman"/>
          <w:lang w:val="en-US"/>
        </w:rPr>
        <w:t xml:space="preserve"> Amazonia project </w:t>
      </w:r>
      <w:r w:rsidRPr="00D819A8">
        <w:rPr>
          <w:rFonts w:ascii="Times New Roman" w:hAnsi="Times New Roman" w:cs="Times New Roman"/>
          <w:lang w:val="en-US"/>
        </w:rPr>
        <w:fldChar w:fldCharType="begin" w:fldLock="1"/>
      </w:r>
      <w:r w:rsidR="004C301D">
        <w:rPr>
          <w:rFonts w:ascii="Times New Roman" w:hAnsi="Times New Roman" w:cs="Times New Roman"/>
          <w:lang w:val="en-US"/>
        </w:rPr>
        <w:instrText>ADDIN CSL_CITATION {"citationItems":[{"id":"ITEM-1","itemData":{"DOI":"10.3390/rs12172735","ISSN":"2072-4292","abstract":"Brazil has a monitoring system to track annual forest conversion in the Amazon and most recently to monitor the Cerrado biome. However, there is still a gap of annual land use and land cover (LULC) information in all Brazilian biomes in the country. Existing countrywide efforts to map land use and land cover lack regularly updates and high spatial resolution time-series data to better understand historical land use and land cover dynamics, and the subsequent impacts in the country biomes. In this study, we described a novel approach and the results achieved by a multi-disciplinary network called MapBiomas to reconstruct annual land use and land cover information between 1985 and 2017 for Brazil, based on random forest applied to Landsat archive using Google Earth Engine. We mapped five major classes: forest, non-forest natural formation, farming, non-vegetated areas, and water. These classes were broken into two sub-classification levels leading to the most comprehensive and detailed mapping for the country at a 30 m pixel resolution. The average overall accuracy of the land use and land cover time-series, based on a stratified random sample of 75,000 pixel locations, was 89% ranging from 73 to 95% in the biomes. The 33 years of LULC change data series revealed that Brazil lost 71 Mha of natural vegetation, mostly to cattle ranching and agriculture activities. Pasture expanded by 46% from 1985 to 2017, and agriculture by 172%, mostly replacing old pasture fields. We also identified that 86 Mha of the converted native vegetation was undergoing some level of regrowth. Several applications of the MapBiomas dataset are underway, suggesting that reconstructing historical land use and land cover change maps is useful for advancing the science and to guide social, economic and environmental policy decision-making processes in Brazil.","author":[{"dropping-particle":"","family":"Souza","given":"Carlos M","non-dropping-particle":"","parse-names":false,"suffix":""},{"dropping-particle":"","family":"Z. Shimbo","given":"Julia","non-dropping-particle":"","parse-names":false,"suffix":""},{"dropping-particle":"","family":"Rosa","given":"Marcos R","non-dropping-particle":"","parse-names":false,"suffix":""},{"dropping-particle":"","family":"Parente","given":"Leandro L","non-dropping-particle":"","parse-names":false,"suffix":""},{"dropping-particle":"","family":"A. Alencar","given":"Ane","non-dropping-particle":"","parse-names":false,"suffix":""},{"dropping-particle":"","family":"Rudorff","given":"Bernardo F T","non-dropping-particle":"","parse-names":false,"suffix":""},{"dropping-particle":"","family":"Hasenack","given":"Heinrich","non-dropping-particle":"","parse-names":false,"suffix":""},{"dropping-particle":"","family":"Matsumoto","given":"Marcelo","non-dropping-particle":"","parse-names":false,"suffix":""},{"dropping-particle":"","family":"G. Ferreira","given":"Laerte","non-dropping-particle":"","parse-names":false,"suffix":""},{"dropping-particle":"","family":"Souza-Filho","given":"Pedro W M","non-dropping-particle":"","parse-names":false,"suffix":""},{"dropping-particle":"","family":"Oliveira","given":"Sergio W","non-dropping-particle":"de","parse-names":false,"suffix":""},{"dropping-particle":"","family":"Rocha","given":"Washington F","non-dropping-particle":"","parse-names":false,"suffix":""},{"dropping-particle":"V","family":"Fonseca","given":"Antônio","non-dropping-particle":"","parse-names":false,"suffix":""},{"dropping-particle":"","family":"Marques","given":"Camila B","non-dropping-particle":"","parse-names":false,"suffix":""},{"dropping-particle":"","family":"Diniz","given":"Cesar G","non-dropping-particle":"","parse-names":false,"suffix":""},{"dropping-particle":"","family":"Costa","given":"Diego","non-dropping-particle":"","parse-names":false,"suffix":""},{"dropping-particle":"","family":"Monteiro","given":"Dyeden","non-dropping-particle":"","parse-names":false,"suffix":""},{"dropping-particle":"","family":"Rosa","given":"Eduardo R","non-dropping-particle":"","parse-names":false,"suffix":""},{"dropping-particle":"","family":"Vélez-Martin","given":"Eduardo","non-dropping-particle":"","parse-names":false,"suffix":""},{"dropping-particle":"","family":"Weber","given":"Eliseu J","non-dropping-particle":"","parse-names":false,"suffix":""},{"dropping-particle":"","family":"Lenti","given":"Felipe E B","non-dropping-particle":"","parse-names":false,"suffix":""},{"dropping-particle":"","family":"Paternost","given":"Fernando F","non-dropping-particle":"","parse-names":false,"suffix":""},{"dropping-particle":"","family":"Pareyn","given":"Frans G C","non-dropping-particle":"","parse-names":false,"suffix":""},{"dropping-particle":"V","family":"Siqueira","given":"João","non-dropping-particle":"","parse-names":false,"suffix":""},{"dropping-particle":"","family":"Viera","given":"José L","non-dropping-particle":"","parse-names":false,"suffix":""},{"dropping-particle":"","family":"Neto","given":"Luiz C Ferreira","non-dropping-particle":"","parse-names":false,"suffix":""},{"dropping-particle":"","family":"Saraiva","given":"Marciano M","non-dropping-particle":"","parse-names":false,"suffix":""},{"dropping-particle":"","family":"Sales","given":"Marcio H","non-dropping-particle":"","parse-names":false,"suffix":""},{"dropping-particle":"","family":"Salgado","given":"Moises P G","non-dropping-particle":"","parse-names":false,"suffix":""},{"dropping-particle":"","family":"Vasconcelos","given":"Rodrigo","non-dropping-particle":"","parse-names":false,"suffix":""},{"dropping-particle":"","family":"Galano","given":"Soltan","non-dropping-particle":"","parse-names":false,"suffix":""},{"dropping-particle":"V","family":"Mesquita","given":"Vinicius","non-dropping-particle":"","parse-names":false,"suffix":""},{"dropping-particle":"","family":"Azevedo","given":"Tasso","non-dropping-particle":"","parse-names":false,"suffix":""}],"container-title":"Remote Sensing","id":"ITEM-1","issue":"17","issued":{"date-parts":[["2020"]]},"title":"Reconstructing Three Decades of Land Use and Land Cover Changes in Brazilian Biomes with Landsat Archive and Earth Engine","type":"article-journal","volume":"12"},"uris":["http://www.mendeley.com/documents/?uuid=016be8c2-6be6-44b6-b564-9320ff70016f"]},{"id":"ITEM-2","itemData":{"URL":"https://brasil.mapbiomas.org/","accessed":{"date-parts":[["2026","7","27"]]},"author":[{"dropping-particle":"","family":"Projeto MapBiomas","given":"","non-dropping-particle":"","parse-names":false,"suffix":""}],"container-title":"Mapbiomas","id":"ITEM-2","issued":{"date-parts":[["2026"]]},"title":"Coleção 10.1 da Série Anual de Mapas de Cobertura e Uso da Terra do Brasil","type":"webpage"},"uris":["http://www.mendeley.com/documents/?uuid=4008b550-ea86-4471-a531-a5d961787dcb"]}],"mendeley":{"formattedCitation":"[5,6]","plainTextFormattedCitation":"[5,6]","previouslyFormattedCitation":"[5,6]"},"properties":{"noteIndex":0},"schema":"https://github.com/citation-style-language/schema/raw/master/csl-citation.json"}</w:instrText>
      </w:r>
      <w:r w:rsidRPr="00D819A8">
        <w:rPr>
          <w:rFonts w:ascii="Times New Roman" w:hAnsi="Times New Roman" w:cs="Times New Roman"/>
          <w:lang w:val="en-US"/>
        </w:rPr>
        <w:fldChar w:fldCharType="separate"/>
      </w:r>
      <w:r w:rsidR="003812C0" w:rsidRPr="003812C0">
        <w:rPr>
          <w:rFonts w:ascii="Times New Roman" w:hAnsi="Times New Roman" w:cs="Times New Roman"/>
          <w:noProof/>
          <w:lang w:val="en-US"/>
        </w:rPr>
        <w:t>[5,6]</w:t>
      </w:r>
      <w:r w:rsidRPr="00D819A8">
        <w:rPr>
          <w:rFonts w:ascii="Times New Roman" w:hAnsi="Times New Roman" w:cs="Times New Roman"/>
          <w:lang w:val="en-US"/>
        </w:rPr>
        <w:fldChar w:fldCharType="end"/>
      </w:r>
      <w:r w:rsidRPr="00D819A8">
        <w:rPr>
          <w:rFonts w:ascii="Times New Roman" w:hAnsi="Times New Roman" w:cs="Times New Roman"/>
          <w:lang w:val="en-US"/>
        </w:rPr>
        <w:t>. This database, derived from Landsat imagery with a 30-meter spatial resolution, provided a continuous historical series from 2003 to 2024.</w:t>
      </w:r>
    </w:p>
    <w:p w14:paraId="3E36F339"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To align landscape dynamics with the epidemiological and statistical analysis, the original </w:t>
      </w:r>
      <w:proofErr w:type="spellStart"/>
      <w:r w:rsidRPr="00D819A8">
        <w:rPr>
          <w:rFonts w:ascii="Times New Roman" w:hAnsi="Times New Roman" w:cs="Times New Roman"/>
          <w:lang w:val="en-US"/>
        </w:rPr>
        <w:t>MapBiomas</w:t>
      </w:r>
      <w:proofErr w:type="spellEnd"/>
      <w:r w:rsidRPr="00D819A8">
        <w:rPr>
          <w:rFonts w:ascii="Times New Roman" w:hAnsi="Times New Roman" w:cs="Times New Roman"/>
          <w:lang w:val="en-US"/>
        </w:rPr>
        <w:t xml:space="preserve"> taxonomy was reclassified and quantified into ten specific macro-categories that comprise the temporal matrix of the study. Natural vegetation and water resource classes were grouped into Total Forest (</w:t>
      </w:r>
      <w:proofErr w:type="spellStart"/>
      <w:r w:rsidRPr="00D819A8">
        <w:rPr>
          <w:rFonts w:ascii="Times New Roman" w:hAnsi="Times New Roman" w:cs="Times New Roman"/>
          <w:i/>
          <w:iCs/>
          <w:lang w:val="en-US"/>
        </w:rPr>
        <w:t>Forest_tt</w:t>
      </w:r>
      <w:proofErr w:type="spellEnd"/>
      <w:r w:rsidRPr="00D819A8">
        <w:rPr>
          <w:rFonts w:ascii="Times New Roman" w:hAnsi="Times New Roman" w:cs="Times New Roman"/>
          <w:lang w:val="en-US"/>
        </w:rPr>
        <w:t>), Flooded Forest (</w:t>
      </w:r>
      <w:proofErr w:type="spellStart"/>
      <w:r w:rsidRPr="00D819A8">
        <w:rPr>
          <w:rFonts w:ascii="Times New Roman" w:hAnsi="Times New Roman" w:cs="Times New Roman"/>
          <w:i/>
          <w:iCs/>
          <w:lang w:val="en-US"/>
        </w:rPr>
        <w:t>Flooded_Forest</w:t>
      </w:r>
      <w:proofErr w:type="spellEnd"/>
      <w:r w:rsidRPr="00D819A8">
        <w:rPr>
          <w:rFonts w:ascii="Times New Roman" w:hAnsi="Times New Roman" w:cs="Times New Roman"/>
          <w:lang w:val="en-US"/>
        </w:rPr>
        <w:t>), Wetlands/Swamps (</w:t>
      </w:r>
      <w:proofErr w:type="spellStart"/>
      <w:r w:rsidRPr="00D819A8">
        <w:rPr>
          <w:rFonts w:ascii="Times New Roman" w:hAnsi="Times New Roman" w:cs="Times New Roman"/>
          <w:i/>
          <w:iCs/>
          <w:lang w:val="en-US"/>
        </w:rPr>
        <w:t>Flooded_GrassSwamp</w:t>
      </w:r>
      <w:proofErr w:type="spellEnd"/>
      <w:r w:rsidRPr="00D819A8">
        <w:rPr>
          <w:rFonts w:ascii="Times New Roman" w:hAnsi="Times New Roman" w:cs="Times New Roman"/>
          <w:lang w:val="en-US"/>
        </w:rPr>
        <w:t>), and Water Bodies (</w:t>
      </w:r>
      <w:r w:rsidRPr="00D819A8">
        <w:rPr>
          <w:rFonts w:ascii="Times New Roman" w:hAnsi="Times New Roman" w:cs="Times New Roman"/>
          <w:i/>
          <w:iCs/>
          <w:lang w:val="en-US"/>
        </w:rPr>
        <w:t>LULC_WATER</w:t>
      </w:r>
      <w:r w:rsidRPr="00D819A8">
        <w:rPr>
          <w:rFonts w:ascii="Times New Roman" w:hAnsi="Times New Roman" w:cs="Times New Roman"/>
          <w:lang w:val="en-US"/>
        </w:rPr>
        <w:t>). Vegetation suppression dynamics were quantified through the metrics of Primary Deforestation (</w:t>
      </w:r>
      <w:proofErr w:type="spellStart"/>
      <w:r w:rsidRPr="00D819A8">
        <w:rPr>
          <w:rFonts w:ascii="Times New Roman" w:hAnsi="Times New Roman" w:cs="Times New Roman"/>
          <w:i/>
          <w:iCs/>
          <w:lang w:val="en-US"/>
        </w:rPr>
        <w:t>Deforestation_Primary</w:t>
      </w:r>
      <w:proofErr w:type="spellEnd"/>
      <w:r w:rsidRPr="00D819A8">
        <w:rPr>
          <w:rFonts w:ascii="Times New Roman" w:hAnsi="Times New Roman" w:cs="Times New Roman"/>
          <w:lang w:val="en-US"/>
        </w:rPr>
        <w:t>) and Secondary Deforestation (</w:t>
      </w:r>
      <w:proofErr w:type="spellStart"/>
      <w:r w:rsidRPr="00D819A8">
        <w:rPr>
          <w:rFonts w:ascii="Times New Roman" w:hAnsi="Times New Roman" w:cs="Times New Roman"/>
          <w:i/>
          <w:iCs/>
          <w:lang w:val="en-US"/>
        </w:rPr>
        <w:t>Deforestation_Second</w:t>
      </w:r>
      <w:proofErr w:type="spellEnd"/>
      <w:r w:rsidRPr="00D819A8">
        <w:rPr>
          <w:rFonts w:ascii="Times New Roman" w:hAnsi="Times New Roman" w:cs="Times New Roman"/>
          <w:lang w:val="en-US"/>
        </w:rPr>
        <w:t>), which were consolidated into a Total Deforestation variable (</w:t>
      </w:r>
      <w:proofErr w:type="spellStart"/>
      <w:r w:rsidRPr="00D819A8">
        <w:rPr>
          <w:rFonts w:ascii="Times New Roman" w:hAnsi="Times New Roman" w:cs="Times New Roman"/>
          <w:i/>
          <w:iCs/>
          <w:lang w:val="en-US"/>
        </w:rPr>
        <w:t>Deforestation_TT</w:t>
      </w:r>
      <w:proofErr w:type="spellEnd"/>
      <w:r w:rsidRPr="00D819A8">
        <w:rPr>
          <w:rFonts w:ascii="Times New Roman" w:hAnsi="Times New Roman" w:cs="Times New Roman"/>
          <w:lang w:val="en-US"/>
        </w:rPr>
        <w:t>). Finally, surfaces under strong anthropic pressure were isolated into the categories of Agriculture (</w:t>
      </w:r>
      <w:r w:rsidRPr="00D819A8">
        <w:rPr>
          <w:rFonts w:ascii="Times New Roman" w:hAnsi="Times New Roman" w:cs="Times New Roman"/>
          <w:i/>
          <w:iCs/>
          <w:lang w:val="en-US"/>
        </w:rPr>
        <w:t>Farming</w:t>
      </w:r>
      <w:r w:rsidRPr="00D819A8">
        <w:rPr>
          <w:rFonts w:ascii="Times New Roman" w:hAnsi="Times New Roman" w:cs="Times New Roman"/>
          <w:lang w:val="en-US"/>
        </w:rPr>
        <w:t>), Mining (</w:t>
      </w:r>
      <w:r w:rsidRPr="00D819A8">
        <w:rPr>
          <w:rFonts w:ascii="Times New Roman" w:hAnsi="Times New Roman" w:cs="Times New Roman"/>
          <w:i/>
          <w:iCs/>
          <w:lang w:val="en-US"/>
        </w:rPr>
        <w:t>Mining</w:t>
      </w:r>
      <w:r w:rsidRPr="00D819A8">
        <w:rPr>
          <w:rFonts w:ascii="Times New Roman" w:hAnsi="Times New Roman" w:cs="Times New Roman"/>
          <w:lang w:val="en-US"/>
        </w:rPr>
        <w:t>), and Urban Areas (</w:t>
      </w:r>
      <w:proofErr w:type="spellStart"/>
      <w:r w:rsidRPr="00D819A8">
        <w:rPr>
          <w:rFonts w:ascii="Times New Roman" w:hAnsi="Times New Roman" w:cs="Times New Roman"/>
          <w:i/>
          <w:iCs/>
          <w:lang w:val="en-US"/>
        </w:rPr>
        <w:t>Urban_area</w:t>
      </w:r>
      <w:proofErr w:type="spellEnd"/>
      <w:r w:rsidRPr="00D819A8">
        <w:rPr>
          <w:rFonts w:ascii="Times New Roman" w:hAnsi="Times New Roman" w:cs="Times New Roman"/>
          <w:lang w:val="en-US"/>
        </w:rPr>
        <w:t>).</w:t>
      </w:r>
    </w:p>
    <w:p w14:paraId="5D1D960A"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The annual values of the area occupied by each of these categories were calculated for the entire basin. Subsequently, these annual data were replicated at a monthly temporal resolution, reflecting the corresponding LULC values of each year across all months of that period. This procedure allowed the landscape evolution to be harmonized with the monthly periodicity of the epidemiological and climatic data.</w:t>
      </w:r>
    </w:p>
    <w:p w14:paraId="5311F0A6" w14:textId="77777777" w:rsidR="00FB05F6" w:rsidRPr="00D819A8" w:rsidRDefault="00FB05F6" w:rsidP="00FB05F6">
      <w:pPr>
        <w:ind w:firstLine="708"/>
        <w:jc w:val="both"/>
        <w:rPr>
          <w:rFonts w:ascii="Times New Roman" w:hAnsi="Times New Roman" w:cs="Times New Roman"/>
          <w:lang w:val="en-US"/>
        </w:rPr>
      </w:pPr>
    </w:p>
    <w:p w14:paraId="7249E32C" w14:textId="77777777" w:rsidR="00FB05F6" w:rsidRPr="00D819A8" w:rsidRDefault="00FB05F6" w:rsidP="00FB05F6">
      <w:pPr>
        <w:jc w:val="both"/>
        <w:rPr>
          <w:rFonts w:ascii="Times New Roman" w:hAnsi="Times New Roman" w:cs="Times New Roman"/>
          <w:lang w:val="en-US"/>
        </w:rPr>
      </w:pPr>
      <w:r w:rsidRPr="00D819A8">
        <w:rPr>
          <w:rFonts w:ascii="Times New Roman" w:hAnsi="Times New Roman" w:cs="Times New Roman"/>
          <w:b/>
          <w:bCs/>
          <w:lang w:val="en-US"/>
        </w:rPr>
        <w:t>2.1.4. Healthcare Infrastructure and Human Resources</w:t>
      </w:r>
    </w:p>
    <w:p w14:paraId="179D0B25" w14:textId="1D41828F"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Institutional mitigation capacity and healthcare coverage were integrated into the model by mapping care facilities and historically quantifying the workforce. Data were extracted from the National Registry of Healthcare Establishments (CNES - </w:t>
      </w:r>
      <w:proofErr w:type="spellStart"/>
      <w:r w:rsidRPr="00D819A8">
        <w:rPr>
          <w:rFonts w:ascii="Times New Roman" w:hAnsi="Times New Roman" w:cs="Times New Roman"/>
          <w:i/>
          <w:iCs/>
          <w:lang w:val="en-US"/>
        </w:rPr>
        <w:t>Cadastro</w:t>
      </w:r>
      <w:proofErr w:type="spellEnd"/>
      <w:r w:rsidRPr="00D819A8">
        <w:rPr>
          <w:rFonts w:ascii="Times New Roman" w:hAnsi="Times New Roman" w:cs="Times New Roman"/>
          <w:i/>
          <w:iCs/>
          <w:lang w:val="en-US"/>
        </w:rPr>
        <w:t xml:space="preserve"> Nacional de </w:t>
      </w:r>
      <w:proofErr w:type="spellStart"/>
      <w:r w:rsidRPr="00D819A8">
        <w:rPr>
          <w:rFonts w:ascii="Times New Roman" w:hAnsi="Times New Roman" w:cs="Times New Roman"/>
          <w:i/>
          <w:iCs/>
          <w:lang w:val="en-US"/>
        </w:rPr>
        <w:t>Estabelecimentos</w:t>
      </w:r>
      <w:proofErr w:type="spellEnd"/>
      <w:r w:rsidRPr="00D819A8">
        <w:rPr>
          <w:rFonts w:ascii="Times New Roman" w:hAnsi="Times New Roman" w:cs="Times New Roman"/>
          <w:i/>
          <w:iCs/>
          <w:lang w:val="en-US"/>
        </w:rPr>
        <w:t xml:space="preserve"> de </w:t>
      </w:r>
      <w:proofErr w:type="spellStart"/>
      <w:r w:rsidRPr="00D819A8">
        <w:rPr>
          <w:rFonts w:ascii="Times New Roman" w:hAnsi="Times New Roman" w:cs="Times New Roman"/>
          <w:i/>
          <w:iCs/>
          <w:lang w:val="en-US"/>
        </w:rPr>
        <w:t>Saúde</w:t>
      </w:r>
      <w:proofErr w:type="spellEnd"/>
      <w:r w:rsidRPr="00D819A8">
        <w:rPr>
          <w:rFonts w:ascii="Times New Roman" w:hAnsi="Times New Roman" w:cs="Times New Roman"/>
          <w:lang w:val="en-US"/>
        </w:rPr>
        <w:t>), provided by the Informatics Department of the Brazilian Unified Health System (</w:t>
      </w:r>
      <w:proofErr w:type="spellStart"/>
      <w:r w:rsidRPr="00D819A8">
        <w:rPr>
          <w:rFonts w:ascii="Times New Roman" w:hAnsi="Times New Roman" w:cs="Times New Roman"/>
          <w:lang w:val="en-US"/>
        </w:rPr>
        <w:t>DataSUS</w:t>
      </w:r>
      <w:proofErr w:type="spellEnd"/>
      <w:r w:rsidRPr="00D819A8">
        <w:rPr>
          <w:rFonts w:ascii="Times New Roman" w:hAnsi="Times New Roman" w:cs="Times New Roman"/>
          <w:lang w:val="en-US"/>
        </w:rPr>
        <w:t xml:space="preserve">) </w:t>
      </w:r>
      <w:r w:rsidRPr="00D819A8">
        <w:rPr>
          <w:rFonts w:ascii="Times New Roman" w:hAnsi="Times New Roman" w:cs="Times New Roman"/>
          <w:lang w:val="en-US"/>
        </w:rPr>
        <w:fldChar w:fldCharType="begin" w:fldLock="1"/>
      </w:r>
      <w:r w:rsidR="004C301D">
        <w:rPr>
          <w:rFonts w:ascii="Times New Roman" w:hAnsi="Times New Roman" w:cs="Times New Roman"/>
          <w:lang w:val="en-US"/>
        </w:rPr>
        <w:instrText>ADDIN CSL_CITATION {"citationItems":[{"id":"ITEM-1","itemData":{"URL":"https://datasus.saude.gov.br/transferencia-de-arquivos/#","accessed":{"date-parts":[["2026","6","27"]]},"author":[{"dropping-particle":"","family":"Ministério da Saúde","given":"","non-dropping-particle":"","parse-names":false,"suffix":""}],"container-title":"Departamento de Informática do SUS (DATASUS)","id":"ITEM-1","issued":{"date-parts":[["2026"]]},"title":"Cadastro Nacional de Estabelecimentos de Saúde (CNES)","type":"webpage"},"uris":["http://www.mendeley.com/documents/?uuid=950d3f89-66ff-4af8-8e42-2bf8a4ab9c5d"]}],"mendeley":{"formattedCitation":"[7]","plainTextFormattedCitation":"[7]","previouslyFormattedCitation":"[7]"},"properties":{"noteIndex":0},"schema":"https://github.com/citation-style-language/schema/raw/master/csl-citation.json"}</w:instrText>
      </w:r>
      <w:r w:rsidRPr="00D819A8">
        <w:rPr>
          <w:rFonts w:ascii="Times New Roman" w:hAnsi="Times New Roman" w:cs="Times New Roman"/>
          <w:lang w:val="en-US"/>
        </w:rPr>
        <w:fldChar w:fldCharType="separate"/>
      </w:r>
      <w:r w:rsidR="003812C0" w:rsidRPr="003812C0">
        <w:rPr>
          <w:rFonts w:ascii="Times New Roman" w:hAnsi="Times New Roman" w:cs="Times New Roman"/>
          <w:noProof/>
          <w:lang w:val="en-US"/>
        </w:rPr>
        <w:t>[7]</w:t>
      </w:r>
      <w:r w:rsidRPr="00D819A8">
        <w:rPr>
          <w:rFonts w:ascii="Times New Roman" w:hAnsi="Times New Roman" w:cs="Times New Roman"/>
          <w:lang w:val="en-US"/>
        </w:rPr>
        <w:fldChar w:fldCharType="end"/>
      </w:r>
      <w:r w:rsidRPr="00D819A8">
        <w:rPr>
          <w:rFonts w:ascii="Times New Roman" w:hAnsi="Times New Roman" w:cs="Times New Roman"/>
          <w:lang w:val="en-US"/>
        </w:rPr>
        <w:t>, covering a continuous monthly time series from January 2003 to December 2024.</w:t>
      </w:r>
    </w:p>
    <w:p w14:paraId="7EC13D2A"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 xml:space="preserve">For geospatial anchoring within the GIS environment, the establishment database (CNESST) was utilized to extract the geographic coordinates (latitude and longitude) of the Basic Health Units (UBS) and operational care facilities within the </w:t>
      </w:r>
      <w:proofErr w:type="spellStart"/>
      <w:r w:rsidRPr="00D819A8">
        <w:rPr>
          <w:rFonts w:ascii="Times New Roman" w:hAnsi="Times New Roman" w:cs="Times New Roman"/>
          <w:lang w:val="en-US"/>
        </w:rPr>
        <w:t>Oiapoque</w:t>
      </w:r>
      <w:proofErr w:type="spellEnd"/>
      <w:r w:rsidRPr="00D819A8">
        <w:rPr>
          <w:rFonts w:ascii="Times New Roman" w:hAnsi="Times New Roman" w:cs="Times New Roman"/>
          <w:lang w:val="en-US"/>
        </w:rPr>
        <w:t xml:space="preserve"> basin. To quantify the mobile response capacity, the professional database (CNESPF) was </w:t>
      </w:r>
      <w:r w:rsidRPr="00D819A8">
        <w:rPr>
          <w:rFonts w:ascii="Times New Roman" w:hAnsi="Times New Roman" w:cs="Times New Roman"/>
          <w:lang w:val="en-US"/>
        </w:rPr>
        <w:lastRenderedPageBreak/>
        <w:t>accessed, applying a strict filter based on the Brazilian Classification of Occupations (CBO) codes. The monthly active professionals associated with malaria prevention and combat were tallied: Endemic Disease Combat Agents (CBO 515105), Community Health Agents (CBO 515125), and Indigenous Health Agents (CBO 515140).</w:t>
      </w:r>
    </w:p>
    <w:p w14:paraId="56547356"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The processing of these data was conducted at two scales: (</w:t>
      </w:r>
      <w:proofErr w:type="spellStart"/>
      <w:r w:rsidRPr="00D819A8">
        <w:rPr>
          <w:rFonts w:ascii="Times New Roman" w:hAnsi="Times New Roman" w:cs="Times New Roman"/>
          <w:lang w:val="en-US"/>
        </w:rPr>
        <w:t>i</w:t>
      </w:r>
      <w:proofErr w:type="spellEnd"/>
      <w:r w:rsidRPr="00D819A8">
        <w:rPr>
          <w:rFonts w:ascii="Times New Roman" w:hAnsi="Times New Roman" w:cs="Times New Roman"/>
          <w:lang w:val="en-US"/>
        </w:rPr>
        <w:t>) a macro aggregation, consolidating the total monthly available agents across the entire region to populate the temporal matrix for statistical analysis (</w:t>
      </w:r>
      <w:r w:rsidRPr="00D819A8">
        <w:rPr>
          <w:rFonts w:ascii="Times New Roman" w:hAnsi="Times New Roman" w:cs="Times New Roman"/>
          <w:i/>
          <w:iCs/>
          <w:lang w:val="en-US"/>
        </w:rPr>
        <w:t>TT_AGENTS</w:t>
      </w:r>
      <w:r w:rsidRPr="00D819A8">
        <w:rPr>
          <w:rFonts w:ascii="Times New Roman" w:hAnsi="Times New Roman" w:cs="Times New Roman"/>
          <w:lang w:val="en-US"/>
        </w:rPr>
        <w:t>); and (ii) a micro aggregation, calculating the allocation of agents per healthcare facility. This dual-scale approach allowed not only for the evaluation of the workforce's temporal impact on the epidemiological curve but also for the parameterization of the origin points and spatial blockage capacity of the mobile health agents within the spatially explicit simulation (ABM-GIS).</w:t>
      </w:r>
    </w:p>
    <w:p w14:paraId="00D9867C" w14:textId="77777777" w:rsidR="00FB05F6" w:rsidRPr="00D819A8" w:rsidRDefault="00FB05F6" w:rsidP="00FB05F6">
      <w:pPr>
        <w:ind w:firstLine="708"/>
        <w:jc w:val="both"/>
        <w:rPr>
          <w:rFonts w:ascii="Times New Roman" w:hAnsi="Times New Roman" w:cs="Times New Roman"/>
          <w:lang w:val="en-US"/>
        </w:rPr>
      </w:pPr>
    </w:p>
    <w:p w14:paraId="3408E72A" w14:textId="77777777" w:rsidR="00FB05F6" w:rsidRPr="00D819A8" w:rsidRDefault="00FB05F6" w:rsidP="00FB05F6">
      <w:pPr>
        <w:jc w:val="both"/>
        <w:rPr>
          <w:rFonts w:ascii="Times New Roman" w:hAnsi="Times New Roman" w:cs="Times New Roman"/>
          <w:lang w:val="en-US"/>
        </w:rPr>
      </w:pPr>
      <w:r w:rsidRPr="00D819A8">
        <w:rPr>
          <w:rFonts w:ascii="Times New Roman" w:hAnsi="Times New Roman" w:cs="Times New Roman"/>
          <w:b/>
          <w:bCs/>
          <w:lang w:val="en-US"/>
        </w:rPr>
        <w:t>2.1.5. Data Consolidation and Temporal Matrix</w:t>
      </w:r>
    </w:p>
    <w:p w14:paraId="5498FEDD" w14:textId="77777777" w:rsidR="00FB05F6" w:rsidRPr="00D819A8" w:rsidRDefault="00FB05F6" w:rsidP="00FB05F6">
      <w:pPr>
        <w:ind w:firstLine="708"/>
        <w:jc w:val="both"/>
        <w:rPr>
          <w:rFonts w:ascii="Times New Roman" w:hAnsi="Times New Roman" w:cs="Times New Roman"/>
          <w:lang w:val="en-US"/>
        </w:rPr>
      </w:pPr>
      <w:r w:rsidRPr="00D819A8">
        <w:rPr>
          <w:rFonts w:ascii="Times New Roman" w:hAnsi="Times New Roman" w:cs="Times New Roman"/>
          <w:lang w:val="en-US"/>
        </w:rPr>
        <w:t>To enable exploratory analysis and subsequent statistical parameterization, all epidemiological, climatic, landscape (LULC), and institutional variables described in the previous sections were harmonized and consolidated into a single structured data matrix.</w:t>
      </w:r>
    </w:p>
    <w:p w14:paraId="6B50A847" w14:textId="3F09F584" w:rsidR="00FB05F6" w:rsidRPr="004C301D" w:rsidRDefault="00FB05F6" w:rsidP="00FB05F6">
      <w:pPr>
        <w:rPr>
          <w:rFonts w:ascii="Times New Roman" w:hAnsi="Times New Roman" w:cs="Times New Roman"/>
          <w:lang w:val="en-US"/>
        </w:rPr>
      </w:pPr>
      <w:r w:rsidRPr="00D819A8">
        <w:rPr>
          <w:rFonts w:ascii="Times New Roman" w:hAnsi="Times New Roman" w:cs="Times New Roman"/>
          <w:lang w:val="en-US"/>
        </w:rPr>
        <w:t>The relational alignment of the disparate data sources was ensured through the creation of a common temporal identifier (</w:t>
      </w:r>
      <w:r w:rsidRPr="00D819A8">
        <w:rPr>
          <w:rFonts w:ascii="Times New Roman" w:hAnsi="Times New Roman" w:cs="Times New Roman"/>
          <w:i/>
          <w:iCs/>
          <w:lang w:val="en-US"/>
        </w:rPr>
        <w:t>Year-Month</w:t>
      </w:r>
      <w:r w:rsidRPr="00D819A8">
        <w:rPr>
          <w:rFonts w:ascii="Times New Roman" w:hAnsi="Times New Roman" w:cs="Times New Roman"/>
          <w:lang w:val="en-US"/>
        </w:rPr>
        <w:t xml:space="preserve">), aggregating all observations for the transboundary </w:t>
      </w:r>
      <w:proofErr w:type="spellStart"/>
      <w:r w:rsidRPr="00D819A8">
        <w:rPr>
          <w:rFonts w:ascii="Times New Roman" w:hAnsi="Times New Roman" w:cs="Times New Roman"/>
          <w:lang w:val="en-US"/>
        </w:rPr>
        <w:t>Oiapoque</w:t>
      </w:r>
      <w:proofErr w:type="spellEnd"/>
      <w:r w:rsidRPr="00D819A8">
        <w:rPr>
          <w:rFonts w:ascii="Times New Roman" w:hAnsi="Times New Roman" w:cs="Times New Roman"/>
          <w:lang w:val="en-US"/>
        </w:rPr>
        <w:t xml:space="preserve"> basin. The final dataset encompasses 262 months of continuous observation (March 2003 to December 2024). This synthesis table acts as the core data infrastructure for the regression modeling, ensuring that the impact of lagged climatic fluctuations, the annual evolution of land use classes, and the variation in the healthcare workforce are evaluated synchronously against the monthly volume of malaria infections. The high-resolution spatial demographic distribution, required for agent allocation in the simulation, was treated as an independent parameter exclusive to the spatially explicit modeling (ABM-GIS), thereby avoiding multicollinearity effects with the urban area variable (</w:t>
      </w:r>
      <w:proofErr w:type="spellStart"/>
      <w:r w:rsidRPr="00D819A8">
        <w:rPr>
          <w:rFonts w:ascii="Times New Roman" w:hAnsi="Times New Roman" w:cs="Times New Roman"/>
          <w:i/>
          <w:iCs/>
          <w:lang w:val="en-US"/>
        </w:rPr>
        <w:t>Urban_area</w:t>
      </w:r>
      <w:proofErr w:type="spellEnd"/>
      <w:r w:rsidRPr="00D819A8">
        <w:rPr>
          <w:rFonts w:ascii="Times New Roman" w:hAnsi="Times New Roman" w:cs="Times New Roman"/>
          <w:lang w:val="en-US"/>
        </w:rPr>
        <w:t xml:space="preserve">) during this analytical phase. Table is available in </w:t>
      </w:r>
      <w:proofErr w:type="spellStart"/>
      <w:r w:rsidR="00874DE6">
        <w:rPr>
          <w:rFonts w:ascii="Times New Roman" w:hAnsi="Times New Roman" w:cs="Times New Roman"/>
          <w:lang w:val="en-US"/>
        </w:rPr>
        <w:t>Zenodo</w:t>
      </w:r>
      <w:proofErr w:type="spellEnd"/>
      <w:r w:rsidR="002544AE">
        <w:rPr>
          <w:rFonts w:ascii="Times New Roman" w:hAnsi="Times New Roman" w:cs="Times New Roman"/>
          <w:lang w:val="en-US"/>
        </w:rPr>
        <w:t xml:space="preserve"> </w:t>
      </w:r>
      <w:r w:rsidR="002544AE" w:rsidRPr="004C301D">
        <w:rPr>
          <w:rFonts w:ascii="Times New Roman" w:hAnsi="Times New Roman" w:cs="Times New Roman"/>
          <w:lang w:val="en-US"/>
        </w:rPr>
        <w:t>(</w:t>
      </w:r>
      <w:hyperlink r:id="rId5" w:tgtFrame="_blank" w:history="1">
        <w:r w:rsidR="002544AE" w:rsidRPr="004C301D">
          <w:rPr>
            <w:rStyle w:val="Hyperlink"/>
            <w:rFonts w:ascii="Times New Roman" w:hAnsi="Times New Roman" w:cs="Times New Roman"/>
            <w:lang w:val="en-US"/>
          </w:rPr>
          <w:t>https://doi.org/10.5281/zenodo.22663582</w:t>
        </w:r>
      </w:hyperlink>
      <w:r w:rsidR="002544AE" w:rsidRPr="004C301D">
        <w:rPr>
          <w:rFonts w:ascii="Times New Roman" w:hAnsi="Times New Roman" w:cs="Times New Roman"/>
          <w:lang w:val="en-US"/>
        </w:rPr>
        <w:t>)</w:t>
      </w:r>
      <w:r w:rsidR="004C301D" w:rsidRPr="004C301D">
        <w:rPr>
          <w:rFonts w:ascii="Times New Roman" w:hAnsi="Times New Roman" w:cs="Times New Roman"/>
          <w:lang w:val="en-US"/>
        </w:rPr>
        <w:t xml:space="preserve"> </w:t>
      </w:r>
      <w:r w:rsidR="004C301D">
        <w:rPr>
          <w:rFonts w:ascii="Times New Roman" w:hAnsi="Times New Roman" w:cs="Times New Roman"/>
        </w:rPr>
        <w:fldChar w:fldCharType="begin" w:fldLock="1"/>
      </w:r>
      <w:r w:rsidR="004C301D" w:rsidRPr="004C301D">
        <w:rPr>
          <w:rFonts w:ascii="Times New Roman" w:hAnsi="Times New Roman" w:cs="Times New Roman"/>
          <w:lang w:val="en-US"/>
        </w:rPr>
        <w:instrText>ADDIN CSL_CITATION {"citationItems":[{"id":"ITEM-1","itemData":{"DOI":"10.5281/zenodo.22663582","author":[{"dropping-particle":"","family":"Leite Rodrigues","given":"André","non-dropping-particle":"","parse-names":false,"suffix":""},{"dropping-particle":"","family":"Alves","given":"André","non-dropping-particle":"","parse-names":false,"suffix":""},{"dropping-particle":"","family":"Soares","given":"Sofia","non-dropping-particle":"","parse-names":false,"suffix":""},{"dropping-particle":"","family":"Louro","given":"Ana","non-dropping-particle":"","parse-names":false,"suffix":""},{"dropping-particle":"","family":"Abrantes","given":"Patricia","non-dropping-particle":"","parse-names":false,"suffix":""},{"dropping-particle":"","family":"Morgado","given":"Paulo","non-dropping-particle":"","parse-names":false,"suffix":""},{"dropping-particle":"","family":"Costa","given":"Eduarda","non-dropping-particle":"da","parse-names":false,"suffix":""}],"id":"ITEM-1","issued":{"date-parts":[["2026"]]},"publisher":"Zenodo","title":"ABM-GIS Simulation Framework and Dataset for Malaria in the Cross-Border Oiapoque Basin","type":"article"},"uris":["http://www.mendeley.com/documents/?uuid=e2d45c23-27e5-438a-a8df-09064f9db644"]}],"mendeley":{"formattedCitation":"[8]","plainTextFormattedCitation":"[8]"},"properties":{"noteIndex":0},"schema":"https://github.com/citation-style-language/schema/raw/master/csl-citation.json"}</w:instrText>
      </w:r>
      <w:r w:rsidR="004C301D">
        <w:rPr>
          <w:rFonts w:ascii="Times New Roman" w:hAnsi="Times New Roman" w:cs="Times New Roman"/>
        </w:rPr>
        <w:fldChar w:fldCharType="separate"/>
      </w:r>
      <w:r w:rsidR="004C301D" w:rsidRPr="004C301D">
        <w:rPr>
          <w:rFonts w:ascii="Times New Roman" w:hAnsi="Times New Roman" w:cs="Times New Roman"/>
          <w:noProof/>
          <w:lang w:val="en-US"/>
        </w:rPr>
        <w:t>[8]</w:t>
      </w:r>
      <w:r w:rsidR="004C301D">
        <w:rPr>
          <w:rFonts w:ascii="Times New Roman" w:hAnsi="Times New Roman" w:cs="Times New Roman"/>
        </w:rPr>
        <w:fldChar w:fldCharType="end"/>
      </w:r>
      <w:r w:rsidR="002544AE" w:rsidRPr="004C301D">
        <w:rPr>
          <w:rFonts w:ascii="Times New Roman" w:hAnsi="Times New Roman" w:cs="Times New Roman"/>
          <w:lang w:val="en-US"/>
        </w:rPr>
        <w:t>.</w:t>
      </w:r>
    </w:p>
    <w:p w14:paraId="579FFBD4" w14:textId="77777777" w:rsidR="004C301D" w:rsidRPr="004C301D" w:rsidRDefault="004C301D" w:rsidP="00FB05F6">
      <w:pPr>
        <w:rPr>
          <w:rFonts w:ascii="Times New Roman" w:hAnsi="Times New Roman" w:cs="Times New Roman"/>
          <w:lang w:val="en-US"/>
        </w:rPr>
      </w:pPr>
    </w:p>
    <w:p w14:paraId="4B965021" w14:textId="1CA6B632" w:rsidR="004C301D" w:rsidRPr="004C301D" w:rsidRDefault="004C301D" w:rsidP="00FB05F6">
      <w:pPr>
        <w:rPr>
          <w:rFonts w:ascii="Times New Roman" w:hAnsi="Times New Roman" w:cs="Times New Roman"/>
          <w:lang w:val="en-US"/>
        </w:rPr>
      </w:pPr>
      <w:r w:rsidRPr="004C301D">
        <w:rPr>
          <w:rFonts w:ascii="Times New Roman" w:hAnsi="Times New Roman" w:cs="Times New Roman"/>
          <w:lang w:val="en-US"/>
        </w:rPr>
        <w:t>References</w:t>
      </w:r>
    </w:p>
    <w:p w14:paraId="77175F91" w14:textId="77777777" w:rsidR="004C301D" w:rsidRPr="004C301D" w:rsidRDefault="004C301D" w:rsidP="00FB05F6">
      <w:pPr>
        <w:rPr>
          <w:rFonts w:ascii="Times New Roman" w:hAnsi="Times New Roman" w:cs="Times New Roman"/>
          <w:lang w:val="en-US"/>
        </w:rPr>
      </w:pPr>
    </w:p>
    <w:p w14:paraId="4D0110B8" w14:textId="6C242530"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Pr>
          <w:b/>
          <w:bCs/>
          <w:lang w:val="en-US"/>
        </w:rPr>
        <w:fldChar w:fldCharType="begin" w:fldLock="1"/>
      </w:r>
      <w:r>
        <w:rPr>
          <w:b/>
          <w:bCs/>
          <w:lang w:val="en-US"/>
        </w:rPr>
        <w:instrText xml:space="preserve">ADDIN Mendeley Bibliography CSL_BIBLIOGRAPHY </w:instrText>
      </w:r>
      <w:r>
        <w:rPr>
          <w:b/>
          <w:bCs/>
          <w:lang w:val="en-US"/>
        </w:rPr>
        <w:fldChar w:fldCharType="separate"/>
      </w:r>
      <w:r w:rsidRPr="004C301D">
        <w:rPr>
          <w:rFonts w:ascii="Aptos" w:hAnsi="Aptos" w:cs="Times New Roman"/>
          <w:noProof/>
          <w:kern w:val="0"/>
        </w:rPr>
        <w:t>[1]</w:t>
      </w:r>
      <w:r w:rsidRPr="004C301D">
        <w:rPr>
          <w:rFonts w:ascii="Aptos" w:hAnsi="Aptos" w:cs="Times New Roman"/>
          <w:noProof/>
          <w:kern w:val="0"/>
        </w:rPr>
        <w:tab/>
        <w:t>Fundação Oswaldo Cruz (Fiocruz). Malaria Lite 1.2 (Expert version). Inst Comun e Informação Científica e Tecnológica Em Saúde 2020. https://shiny.icict.fiocruz.br/publicirdmalaria/.</w:t>
      </w:r>
    </w:p>
    <w:p w14:paraId="3CEB3CD5" w14:textId="77777777"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sidRPr="004C301D">
        <w:rPr>
          <w:rFonts w:ascii="Aptos" w:hAnsi="Aptos" w:cs="Times New Roman"/>
          <w:noProof/>
          <w:kern w:val="0"/>
        </w:rPr>
        <w:t>[2]</w:t>
      </w:r>
      <w:r w:rsidRPr="004C301D">
        <w:rPr>
          <w:rFonts w:ascii="Aptos" w:hAnsi="Aptos" w:cs="Times New Roman"/>
          <w:noProof/>
          <w:kern w:val="0"/>
        </w:rPr>
        <w:tab/>
        <w:t xml:space="preserve">Saldanha R, Mosnier É, Barcellos C, Carbunar A, Charron C, Desconnets J-C, et al. Contributing to Elimination of Cross-Border Malaria Through a Standardized Solution for Case Surveillance, Data Sharing, and Data Interpretation: Development of a Cross-Border Monitoring System. JMIR </w:t>
      </w:r>
      <w:r w:rsidRPr="004C301D">
        <w:rPr>
          <w:rFonts w:ascii="Aptos" w:hAnsi="Aptos" w:cs="Times New Roman"/>
          <w:noProof/>
          <w:kern w:val="0"/>
        </w:rPr>
        <w:lastRenderedPageBreak/>
        <w:t>Public Heal Surveill 2020;6:e15409. https://doi.org/10.2196/15409.</w:t>
      </w:r>
    </w:p>
    <w:p w14:paraId="278996FD" w14:textId="77777777"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sidRPr="004C301D">
        <w:rPr>
          <w:rFonts w:ascii="Aptos" w:hAnsi="Aptos" w:cs="Times New Roman"/>
          <w:noProof/>
          <w:kern w:val="0"/>
        </w:rPr>
        <w:t>[3]</w:t>
      </w:r>
      <w:r w:rsidRPr="004C301D">
        <w:rPr>
          <w:rFonts w:ascii="Aptos" w:hAnsi="Aptos" w:cs="Times New Roman"/>
          <w:noProof/>
          <w:kern w:val="0"/>
        </w:rPr>
        <w:tab/>
        <w:t>Muñoz Sabater J. ERA5-Land monthly averaged data from 1950 to present. Copernicus Clim Chang Serv Clim Data Store 2019. https://doi.org/10.24381/cds.68d2bb30.</w:t>
      </w:r>
    </w:p>
    <w:p w14:paraId="6472390E" w14:textId="77777777"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sidRPr="004C301D">
        <w:rPr>
          <w:rFonts w:ascii="Aptos" w:hAnsi="Aptos" w:cs="Times New Roman"/>
          <w:noProof/>
          <w:kern w:val="0"/>
        </w:rPr>
        <w:t>[4]</w:t>
      </w:r>
      <w:r w:rsidRPr="004C301D">
        <w:rPr>
          <w:rFonts w:ascii="Aptos" w:hAnsi="Aptos" w:cs="Times New Roman"/>
          <w:noProof/>
          <w:kern w:val="0"/>
        </w:rPr>
        <w:tab/>
        <w:t>Muñoz-Sabater J, Dutra E, Agust\’\i-Panareda A, Albergel C, Arduini G, Balsamo G, et al. ERA5-Land: a state-of-the-art global reanalysis dataset for land applications. Earth Syst Sci Data 2021;13:4349–83. https://doi.org/10.5194/essd-13-4349-2021.</w:t>
      </w:r>
    </w:p>
    <w:p w14:paraId="0D03C36D" w14:textId="77777777"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sidRPr="004C301D">
        <w:rPr>
          <w:rFonts w:ascii="Aptos" w:hAnsi="Aptos" w:cs="Times New Roman"/>
          <w:noProof/>
          <w:kern w:val="0"/>
        </w:rPr>
        <w:t>[5]</w:t>
      </w:r>
      <w:r w:rsidRPr="004C301D">
        <w:rPr>
          <w:rFonts w:ascii="Aptos" w:hAnsi="Aptos" w:cs="Times New Roman"/>
          <w:noProof/>
          <w:kern w:val="0"/>
        </w:rPr>
        <w:tab/>
        <w:t>Souza CM, Z. Shimbo J, Rosa MR, Parente LL, A. Alencar A, Rudorff BFT, et al. Reconstructing Three Decades of Land Use and Land Cover Changes in Brazilian Biomes with Landsat Archive and Earth Engine. Remote Sens 2020;12. https://doi.org/10.3390/rs12172735.</w:t>
      </w:r>
    </w:p>
    <w:p w14:paraId="646CF14E" w14:textId="77777777"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sidRPr="004C301D">
        <w:rPr>
          <w:rFonts w:ascii="Aptos" w:hAnsi="Aptos" w:cs="Times New Roman"/>
          <w:noProof/>
          <w:kern w:val="0"/>
        </w:rPr>
        <w:t>[6]</w:t>
      </w:r>
      <w:r w:rsidRPr="004C301D">
        <w:rPr>
          <w:rFonts w:ascii="Aptos" w:hAnsi="Aptos" w:cs="Times New Roman"/>
          <w:noProof/>
          <w:kern w:val="0"/>
        </w:rPr>
        <w:tab/>
        <w:t>Projeto MapBiomas. Coleção 10.1 da Série Anual de Mapas de Cobertura e Uso da Terra do Brasil. Mapbiomas 2026. https://brasil.mapbiomas.org/ (accessed July 27, 2026).</w:t>
      </w:r>
    </w:p>
    <w:p w14:paraId="42722CD4" w14:textId="77777777" w:rsidR="004C301D" w:rsidRPr="004C301D" w:rsidRDefault="004C301D" w:rsidP="004C301D">
      <w:pPr>
        <w:widowControl w:val="0"/>
        <w:autoSpaceDE w:val="0"/>
        <w:autoSpaceDN w:val="0"/>
        <w:adjustRightInd w:val="0"/>
        <w:spacing w:line="240" w:lineRule="auto"/>
        <w:ind w:left="640" w:hanging="640"/>
        <w:rPr>
          <w:rFonts w:ascii="Aptos" w:hAnsi="Aptos" w:cs="Times New Roman"/>
          <w:noProof/>
          <w:kern w:val="0"/>
        </w:rPr>
      </w:pPr>
      <w:r w:rsidRPr="004C301D">
        <w:rPr>
          <w:rFonts w:ascii="Aptos" w:hAnsi="Aptos" w:cs="Times New Roman"/>
          <w:noProof/>
          <w:kern w:val="0"/>
        </w:rPr>
        <w:t>[7]</w:t>
      </w:r>
      <w:r w:rsidRPr="004C301D">
        <w:rPr>
          <w:rFonts w:ascii="Aptos" w:hAnsi="Aptos" w:cs="Times New Roman"/>
          <w:noProof/>
          <w:kern w:val="0"/>
        </w:rPr>
        <w:tab/>
        <w:t>Ministério da Saúde. Cadastro Nacional de Estabelecimentos de Saúde (CNES). Dep Informática Do SUS 2026. https://datasus.saude.gov.br/transferencia-de-arquivos/# (accessed June 27, 2026).</w:t>
      </w:r>
    </w:p>
    <w:p w14:paraId="312EA5A5" w14:textId="77777777" w:rsidR="004C301D" w:rsidRPr="004C301D" w:rsidRDefault="004C301D" w:rsidP="004C301D">
      <w:pPr>
        <w:widowControl w:val="0"/>
        <w:autoSpaceDE w:val="0"/>
        <w:autoSpaceDN w:val="0"/>
        <w:adjustRightInd w:val="0"/>
        <w:spacing w:line="240" w:lineRule="auto"/>
        <w:ind w:left="640" w:hanging="640"/>
        <w:rPr>
          <w:rFonts w:ascii="Aptos" w:hAnsi="Aptos"/>
          <w:noProof/>
        </w:rPr>
      </w:pPr>
      <w:r w:rsidRPr="004C301D">
        <w:rPr>
          <w:rFonts w:ascii="Aptos" w:hAnsi="Aptos" w:cs="Times New Roman"/>
          <w:noProof/>
          <w:kern w:val="0"/>
        </w:rPr>
        <w:t>[8]</w:t>
      </w:r>
      <w:r w:rsidRPr="004C301D">
        <w:rPr>
          <w:rFonts w:ascii="Aptos" w:hAnsi="Aptos" w:cs="Times New Roman"/>
          <w:noProof/>
          <w:kern w:val="0"/>
        </w:rPr>
        <w:tab/>
        <w:t>Leite Rodrigues A, Alves A, Soares S, Louro A, Abrantes P, Morgado P, et al. ABM-GIS Simulation Framework and Dataset for Malaria in the Cross-Border Oiapoque Basin 2026. https://doi.org/10.5281/zenodo.22663582.</w:t>
      </w:r>
    </w:p>
    <w:p w14:paraId="4157D8E6" w14:textId="4C381CAD" w:rsidR="004C301D" w:rsidRPr="00FB05F6" w:rsidRDefault="004C301D" w:rsidP="00FB05F6">
      <w:pPr>
        <w:rPr>
          <w:b/>
          <w:bCs/>
          <w:lang w:val="en-US"/>
        </w:rPr>
      </w:pPr>
      <w:r>
        <w:rPr>
          <w:b/>
          <w:bCs/>
          <w:lang w:val="en-US"/>
        </w:rPr>
        <w:fldChar w:fldCharType="end"/>
      </w:r>
    </w:p>
    <w:sectPr w:rsidR="004C301D" w:rsidRPr="00FB05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5F6"/>
    <w:rsid w:val="00146528"/>
    <w:rsid w:val="001E0FBE"/>
    <w:rsid w:val="00245910"/>
    <w:rsid w:val="002544AE"/>
    <w:rsid w:val="003812C0"/>
    <w:rsid w:val="003956BA"/>
    <w:rsid w:val="003C7266"/>
    <w:rsid w:val="003E4E6D"/>
    <w:rsid w:val="0049565F"/>
    <w:rsid w:val="004C301D"/>
    <w:rsid w:val="00550171"/>
    <w:rsid w:val="00874DE6"/>
    <w:rsid w:val="00921F28"/>
    <w:rsid w:val="00C3181F"/>
    <w:rsid w:val="00FB05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5CD8"/>
  <w15:chartTrackingRefBased/>
  <w15:docId w15:val="{4099D62C-C9C8-4CF8-A5E8-A0AC50F87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B05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B05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B05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B05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B05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B05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B05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B05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B05F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05F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B05F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B05F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B05F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B05F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B05F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B05F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B05F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B05F6"/>
    <w:rPr>
      <w:rFonts w:eastAsiaTheme="majorEastAsia" w:cstheme="majorBidi"/>
      <w:color w:val="272727" w:themeColor="text1" w:themeTint="D8"/>
    </w:rPr>
  </w:style>
  <w:style w:type="paragraph" w:styleId="Ttulo">
    <w:name w:val="Title"/>
    <w:basedOn w:val="Normal"/>
    <w:next w:val="Normal"/>
    <w:link w:val="TtuloChar"/>
    <w:uiPriority w:val="10"/>
    <w:qFormat/>
    <w:rsid w:val="00FB0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B05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B05F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B05F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B05F6"/>
    <w:pPr>
      <w:spacing w:before="160"/>
      <w:jc w:val="center"/>
    </w:pPr>
    <w:rPr>
      <w:i/>
      <w:iCs/>
      <w:color w:val="404040" w:themeColor="text1" w:themeTint="BF"/>
    </w:rPr>
  </w:style>
  <w:style w:type="character" w:customStyle="1" w:styleId="CitaoChar">
    <w:name w:val="Citação Char"/>
    <w:basedOn w:val="Fontepargpadro"/>
    <w:link w:val="Citao"/>
    <w:uiPriority w:val="29"/>
    <w:rsid w:val="00FB05F6"/>
    <w:rPr>
      <w:i/>
      <w:iCs/>
      <w:color w:val="404040" w:themeColor="text1" w:themeTint="BF"/>
    </w:rPr>
  </w:style>
  <w:style w:type="paragraph" w:styleId="PargrafodaLista">
    <w:name w:val="List Paragraph"/>
    <w:basedOn w:val="Normal"/>
    <w:uiPriority w:val="34"/>
    <w:qFormat/>
    <w:rsid w:val="00FB05F6"/>
    <w:pPr>
      <w:ind w:left="720"/>
      <w:contextualSpacing/>
    </w:pPr>
  </w:style>
  <w:style w:type="character" w:styleId="nfaseIntensa">
    <w:name w:val="Intense Emphasis"/>
    <w:basedOn w:val="Fontepargpadro"/>
    <w:uiPriority w:val="21"/>
    <w:qFormat/>
    <w:rsid w:val="00FB05F6"/>
    <w:rPr>
      <w:i/>
      <w:iCs/>
      <w:color w:val="0F4761" w:themeColor="accent1" w:themeShade="BF"/>
    </w:rPr>
  </w:style>
  <w:style w:type="paragraph" w:styleId="CitaoIntensa">
    <w:name w:val="Intense Quote"/>
    <w:basedOn w:val="Normal"/>
    <w:next w:val="Normal"/>
    <w:link w:val="CitaoIntensaChar"/>
    <w:uiPriority w:val="30"/>
    <w:qFormat/>
    <w:rsid w:val="00FB0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B05F6"/>
    <w:rPr>
      <w:i/>
      <w:iCs/>
      <w:color w:val="0F4761" w:themeColor="accent1" w:themeShade="BF"/>
    </w:rPr>
  </w:style>
  <w:style w:type="character" w:styleId="RefernciaIntensa">
    <w:name w:val="Intense Reference"/>
    <w:basedOn w:val="Fontepargpadro"/>
    <w:uiPriority w:val="32"/>
    <w:qFormat/>
    <w:rsid w:val="00FB05F6"/>
    <w:rPr>
      <w:b/>
      <w:bCs/>
      <w:smallCaps/>
      <w:color w:val="0F4761" w:themeColor="accent1" w:themeShade="BF"/>
      <w:spacing w:val="5"/>
    </w:rPr>
  </w:style>
  <w:style w:type="character" w:styleId="Hyperlink">
    <w:name w:val="Hyperlink"/>
    <w:basedOn w:val="Fontepargpadro"/>
    <w:uiPriority w:val="99"/>
    <w:unhideWhenUsed/>
    <w:rsid w:val="002544AE"/>
    <w:rPr>
      <w:color w:val="467886" w:themeColor="hyperlink"/>
      <w:u w:val="single"/>
    </w:rPr>
  </w:style>
  <w:style w:type="character" w:styleId="MenoPendente">
    <w:name w:val="Unresolved Mention"/>
    <w:basedOn w:val="Fontepargpadro"/>
    <w:uiPriority w:val="99"/>
    <w:semiHidden/>
    <w:unhideWhenUsed/>
    <w:rsid w:val="002544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oi.org/10.5281/zenodo.22663582"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686B5-3AFD-4D30-ADBA-A86B70378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4255</Words>
  <Characters>22977</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Leite Rodrigues</dc:creator>
  <cp:keywords/>
  <dc:description/>
  <cp:lastModifiedBy>André Leite Rodrigues</cp:lastModifiedBy>
  <cp:revision>6</cp:revision>
  <dcterms:created xsi:type="dcterms:W3CDTF">2026-08-07T16:22:00Z</dcterms:created>
  <dcterms:modified xsi:type="dcterms:W3CDTF">2026-09-14T10:22:00Z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http://www.zotero.org/styles/elsevier-vancouver</vt:lpwstr>
  </property>
  <property fmtid="{D5CDD505-2E9C-101B-9397-08002B2CF9AE}" pid="9" name="Mendeley Recent Style Name 3_1">
    <vt:lpwstr>Elsevier - Vancouver</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http://www.zotero.org/styles/springer-vancouver-brackets</vt:lpwstr>
  </property>
  <property fmtid="{D5CDD505-2E9C-101B-9397-08002B2CF9AE}" pid="19" name="Mendeley Recent Style Name 8_1">
    <vt:lpwstr>Springer - Vancouver (brackets)</vt:lpwstr>
  </property>
  <property fmtid="{D5CDD505-2E9C-101B-9397-08002B2CF9AE}" pid="20" name="Mendeley Recent Style Id 9_1">
    <vt:lpwstr>http://www.zotero.org/styles/vancouver-brackets-doi</vt:lpwstr>
  </property>
  <property fmtid="{D5CDD505-2E9C-101B-9397-08002B2CF9AE}" pid="21" name="Mendeley Recent Style Name 9_1">
    <vt:lpwstr>Vancouver (brackets) with DOI</vt:lpwstr>
  </property>
  <property fmtid="{D5CDD505-2E9C-101B-9397-08002B2CF9AE}" pid="22" name="Mendeley Document_1">
    <vt:lpwstr>True</vt:lpwstr>
  </property>
  <property fmtid="{D5CDD505-2E9C-101B-9397-08002B2CF9AE}" pid="23" name="Mendeley Citation Style_1">
    <vt:lpwstr>http://www.zotero.org/styles/elsevier-vancouver</vt:lpwstr>
  </property>
  <property fmtid="{D5CDD505-2E9C-101B-9397-08002B2CF9AE}" pid="24" name="Mendeley Unique User Id_1">
    <vt:lpwstr>62abd931-0960-340e-bf47-aa5881a8f6df</vt:lpwstr>
  </property>
</Properties>
</file>